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440"/>
        <w:spacing w:after="0"/>
        <w:rPr>
          <w:sz w:val="20"/>
          <w:szCs w:val="20"/>
          <w:color w:val="auto"/>
        </w:rPr>
      </w:pPr>
      <w:r>
        <w:rPr>
          <w:rFonts w:ascii="Arial" w:cs="Arial" w:eastAsia="Arial" w:hAnsi="Arial"/>
          <w:sz w:val="5"/>
          <w:szCs w:val="5"/>
          <w:color w:val="auto"/>
        </w:rPr>
        <w:t>_______________________________________________________________________________________</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4" w:lineRule="exact"/>
        <w:rPr>
          <w:sz w:val="24"/>
          <w:szCs w:val="24"/>
          <w:color w:val="auto"/>
        </w:rPr>
      </w:pPr>
    </w:p>
    <w:p>
      <w:pPr>
        <w:ind w:left="4440"/>
        <w:spacing w:after="0"/>
        <w:rPr>
          <w:sz w:val="20"/>
          <w:szCs w:val="20"/>
          <w:color w:val="auto"/>
        </w:rPr>
      </w:pPr>
      <w:r>
        <w:rPr>
          <w:rFonts w:ascii="Arial" w:cs="Arial" w:eastAsia="Arial" w:hAnsi="Arial"/>
          <w:sz w:val="5"/>
          <w:szCs w:val="5"/>
          <w:color w:val="auto"/>
        </w:rPr>
        <w:t>_______________________________________________________________________________________</w:t>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73" w:lineRule="exact"/>
        <w:rPr>
          <w:sz w:val="24"/>
          <w:szCs w:val="24"/>
          <w:color w:val="auto"/>
        </w:rPr>
      </w:pPr>
    </w:p>
    <w:p>
      <w:pPr>
        <w:ind w:left="480" w:hanging="454"/>
        <w:spacing w:after="0"/>
        <w:tabs>
          <w:tab w:leader="none" w:pos="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480" w:hanging="454"/>
        <w:spacing w:after="0"/>
        <w:tabs>
          <w:tab w:leader="none" w:pos="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001-39205</w:t>
      </w:r>
    </w:p>
    <w:p>
      <w:pPr>
        <w:spacing w:after="0" w:line="70" w:lineRule="exact"/>
        <w:rPr>
          <w:sz w:val="24"/>
          <w:szCs w:val="24"/>
          <w:color w:val="auto"/>
        </w:rPr>
      </w:pPr>
    </w:p>
    <w:p>
      <w:pPr>
        <w:ind w:left="4440"/>
        <w:spacing w:after="0"/>
        <w:rPr>
          <w:sz w:val="20"/>
          <w:szCs w:val="20"/>
          <w:color w:val="auto"/>
        </w:rPr>
      </w:pPr>
      <w:r>
        <w:rPr>
          <w:rFonts w:ascii="Arial" w:cs="Arial" w:eastAsia="Arial" w:hAnsi="Arial"/>
          <w:sz w:val="5"/>
          <w:szCs w:val="5"/>
          <w:color w:val="auto"/>
        </w:rPr>
        <w:t>_______________________________________________________________________________________</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REYNOLDS CONSUMER PRODUCTS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0" w:lineRule="exact"/>
        <w:rPr>
          <w:sz w:val="24"/>
          <w:szCs w:val="24"/>
          <w:color w:val="auto"/>
        </w:rPr>
      </w:pPr>
    </w:p>
    <w:tbl>
      <w:tblPr>
        <w:tblLayout w:type="fixed"/>
        <w:tblInd w:w="1980" w:type="dxa"/>
        <w:tblCellMar>
          <w:top w:w="0" w:type="dxa"/>
          <w:left w:w="0" w:type="dxa"/>
          <w:bottom w:w="0" w:type="dxa"/>
          <w:right w:w="0" w:type="dxa"/>
        </w:tblCellMar>
      </w:tblPr>
      <w:tr>
        <w:trPr>
          <w:trHeight w:val="68"/>
        </w:trPr>
        <w:tc>
          <w:tcPr>
            <w:tcW w:w="2080" w:type="dxa"/>
            <w:vAlign w:val="bottom"/>
          </w:tcPr>
          <w:p>
            <w:pPr>
              <w:spacing w:after="0"/>
              <w:rPr>
                <w:sz w:val="5"/>
                <w:szCs w:val="5"/>
                <w:color w:val="auto"/>
              </w:rPr>
            </w:pPr>
          </w:p>
        </w:tc>
        <w:tc>
          <w:tcPr>
            <w:tcW w:w="5000" w:type="dxa"/>
            <w:vAlign w:val="bottom"/>
          </w:tcPr>
          <w:p>
            <w:pPr>
              <w:jc w:val="right"/>
              <w:ind w:right="2199"/>
              <w:spacing w:after="0"/>
              <w:rPr>
                <w:sz w:val="20"/>
                <w:szCs w:val="20"/>
                <w:color w:val="auto"/>
              </w:rPr>
            </w:pPr>
            <w:r>
              <w:rPr>
                <w:rFonts w:ascii="Arial" w:cs="Arial" w:eastAsia="Arial" w:hAnsi="Arial"/>
                <w:sz w:val="5"/>
                <w:szCs w:val="5"/>
                <w:color w:val="auto"/>
              </w:rPr>
              <w:t>_______________________________________________________________________________________</w:t>
            </w:r>
          </w:p>
        </w:tc>
      </w:tr>
      <w:tr>
        <w:trPr>
          <w:trHeight w:val="281"/>
        </w:trPr>
        <w:tc>
          <w:tcPr>
            <w:tcW w:w="2080" w:type="dxa"/>
            <w:vAlign w:val="bottom"/>
          </w:tcPr>
          <w:p>
            <w:pPr>
              <w:jc w:val="center"/>
              <w:ind w:right="328"/>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left="3679"/>
              <w:spacing w:after="0"/>
              <w:rPr>
                <w:sz w:val="20"/>
                <w:szCs w:val="20"/>
                <w:color w:val="auto"/>
              </w:rPr>
            </w:pPr>
            <w:r>
              <w:rPr>
                <w:rFonts w:ascii="Arial" w:cs="Arial" w:eastAsia="Arial" w:hAnsi="Arial"/>
                <w:sz w:val="18"/>
                <w:szCs w:val="18"/>
                <w:b w:val="1"/>
                <w:bCs w:val="1"/>
                <w:color w:val="auto"/>
                <w:w w:val="89"/>
              </w:rPr>
              <w:t>45-3464426</w:t>
            </w:r>
          </w:p>
        </w:tc>
      </w:tr>
      <w:tr>
        <w:trPr>
          <w:trHeight w:val="171"/>
        </w:trPr>
        <w:tc>
          <w:tcPr>
            <w:tcW w:w="2080" w:type="dxa"/>
            <w:vAlign w:val="bottom"/>
          </w:tcPr>
          <w:p>
            <w:pPr>
              <w:jc w:val="center"/>
              <w:ind w:right="348"/>
              <w:spacing w:after="0"/>
              <w:rPr>
                <w:sz w:val="20"/>
                <w:szCs w:val="20"/>
                <w:color w:val="auto"/>
              </w:rPr>
            </w:pPr>
            <w:r>
              <w:rPr>
                <w:rFonts w:ascii="Arial" w:cs="Arial" w:eastAsia="Arial" w:hAnsi="Arial"/>
                <w:sz w:val="13"/>
                <w:szCs w:val="13"/>
                <w:b w:val="1"/>
                <w:bCs w:val="1"/>
                <w:color w:val="auto"/>
                <w:w w:val="87"/>
              </w:rPr>
              <w:t>(State or Other Jurisdiction of</w:t>
            </w:r>
          </w:p>
        </w:tc>
        <w:tc>
          <w:tcPr>
            <w:tcW w:w="5000" w:type="dxa"/>
            <w:vAlign w:val="bottom"/>
          </w:tcPr>
          <w:p>
            <w:pPr>
              <w:jc w:val="center"/>
              <w:ind w:left="3679"/>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2080" w:type="dxa"/>
            <w:vAlign w:val="bottom"/>
          </w:tcPr>
          <w:p>
            <w:pPr>
              <w:jc w:val="center"/>
              <w:ind w:right="328"/>
              <w:spacing w:after="0"/>
              <w:rPr>
                <w:sz w:val="20"/>
                <w:szCs w:val="20"/>
                <w:color w:val="auto"/>
              </w:rPr>
            </w:pPr>
            <w:r>
              <w:rPr>
                <w:rFonts w:ascii="Arial" w:cs="Arial" w:eastAsia="Arial" w:hAnsi="Arial"/>
                <w:sz w:val="13"/>
                <w:szCs w:val="13"/>
                <w:b w:val="1"/>
                <w:bCs w:val="1"/>
                <w:color w:val="auto"/>
                <w:w w:val="89"/>
              </w:rPr>
              <w:t>Incorporation or Organization)</w:t>
            </w:r>
          </w:p>
        </w:tc>
        <w:tc>
          <w:tcPr>
            <w:tcW w:w="5000" w:type="dxa"/>
            <w:vAlign w:val="bottom"/>
          </w:tcPr>
          <w:p>
            <w:pPr>
              <w:jc w:val="center"/>
              <w:ind w:left="3679"/>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1900 W. Field Court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Lake Forest, Illinois 60045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(800) 879-5067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51" w:lineRule="exact"/>
        <w:rPr>
          <w:sz w:val="24"/>
          <w:szCs w:val="24"/>
          <w:color w:val="auto"/>
        </w:rPr>
      </w:pPr>
    </w:p>
    <w:p>
      <w:pPr>
        <w:ind w:left="4440"/>
        <w:spacing w:after="0"/>
        <w:rPr>
          <w:sz w:val="20"/>
          <w:szCs w:val="20"/>
          <w:color w:val="auto"/>
        </w:rPr>
      </w:pPr>
      <w:r>
        <w:rPr>
          <w:rFonts w:ascii="Arial" w:cs="Arial" w:eastAsia="Arial" w:hAnsi="Arial"/>
          <w:sz w:val="5"/>
          <w:szCs w:val="5"/>
          <w:color w:val="auto"/>
        </w:rPr>
        <w:t>_______________________________________________________________________________________</w:t>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6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200"/>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0" w:type="dxa"/>
            <w:vAlign w:val="bottom"/>
          </w:tcPr>
          <w:p>
            <w:pPr>
              <w:spacing w:after="0"/>
              <w:rPr>
                <w:sz w:val="17"/>
                <w:szCs w:val="17"/>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0"/>
              </w:rPr>
              <w:t>Symbol</w:t>
            </w:r>
          </w:p>
        </w:tc>
        <w:tc>
          <w:tcPr>
            <w:tcW w:w="160" w:type="dxa"/>
            <w:vAlign w:val="bottom"/>
          </w:tcPr>
          <w:p>
            <w:pPr>
              <w:spacing w:after="0"/>
              <w:rPr>
                <w:sz w:val="17"/>
                <w:szCs w:val="17"/>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3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03"/>
        </w:trPr>
        <w:tc>
          <w:tcPr>
            <w:tcW w:w="3900" w:type="dxa"/>
            <w:vAlign w:val="bottom"/>
          </w:tcPr>
          <w:p>
            <w:pPr>
              <w:jc w:val="center"/>
              <w:spacing w:after="0"/>
              <w:rPr>
                <w:sz w:val="20"/>
                <w:szCs w:val="20"/>
                <w:color w:val="auto"/>
              </w:rPr>
            </w:pPr>
            <w:r>
              <w:rPr>
                <w:rFonts w:ascii="Arial" w:cs="Arial" w:eastAsia="Arial" w:hAnsi="Arial"/>
                <w:sz w:val="16"/>
                <w:szCs w:val="16"/>
                <w:color w:val="auto"/>
                <w:w w:val="91"/>
              </w:rPr>
              <w:t>Common stock, $0.001 par value</w:t>
            </w:r>
          </w:p>
        </w:tc>
        <w:tc>
          <w:tcPr>
            <w:tcW w:w="180" w:type="dxa"/>
            <w:vAlign w:val="bottom"/>
          </w:tcPr>
          <w:p>
            <w:pPr>
              <w:spacing w:after="0"/>
              <w:rPr>
                <w:sz w:val="17"/>
                <w:szCs w:val="17"/>
                <w:color w:val="auto"/>
              </w:rPr>
            </w:pPr>
          </w:p>
        </w:tc>
        <w:tc>
          <w:tcPr>
            <w:tcW w:w="3320" w:type="dxa"/>
            <w:vAlign w:val="bottom"/>
          </w:tcPr>
          <w:p>
            <w:pPr>
              <w:jc w:val="center"/>
              <w:spacing w:after="0"/>
              <w:rPr>
                <w:sz w:val="20"/>
                <w:szCs w:val="20"/>
                <w:color w:val="auto"/>
              </w:rPr>
            </w:pPr>
            <w:r>
              <w:rPr>
                <w:rFonts w:ascii="Arial" w:cs="Arial" w:eastAsia="Arial" w:hAnsi="Arial"/>
                <w:sz w:val="16"/>
                <w:szCs w:val="16"/>
                <w:color w:val="auto"/>
                <w:w w:val="98"/>
              </w:rPr>
              <w:t>REYN</w:t>
            </w:r>
          </w:p>
        </w:tc>
        <w:tc>
          <w:tcPr>
            <w:tcW w:w="160" w:type="dxa"/>
            <w:vAlign w:val="bottom"/>
          </w:tcPr>
          <w:p>
            <w:pPr>
              <w:spacing w:after="0"/>
              <w:rPr>
                <w:sz w:val="17"/>
                <w:szCs w:val="17"/>
                <w:color w:val="auto"/>
              </w:rPr>
            </w:pPr>
          </w:p>
        </w:tc>
        <w:tc>
          <w:tcPr>
            <w:tcW w:w="368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04" w:lineRule="exact"/>
        <w:rPr>
          <w:sz w:val="24"/>
          <w:szCs w:val="24"/>
          <w:color w:val="auto"/>
        </w:rPr>
      </w:pPr>
    </w:p>
    <w:p>
      <w:pPr>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1"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11" w:lineRule="exact"/>
        <w:rPr>
          <w:sz w:val="24"/>
          <w:szCs w:val="24"/>
          <w:color w:val="auto"/>
        </w:rPr>
      </w:pPr>
    </w:p>
    <w:p>
      <w:pPr>
        <w:ind w:right="12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5"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jc w:val="right"/>
              <w:ind w:right="119"/>
              <w:spacing w:after="0"/>
              <w:rPr>
                <w:sz w:val="20"/>
                <w:szCs w:val="20"/>
                <w:color w:val="auto"/>
              </w:rPr>
            </w:pPr>
            <w:r>
              <w:rPr>
                <w:rFonts w:ascii="Arial" w:cs="Arial" w:eastAsia="Arial" w:hAnsi="Arial"/>
                <w:sz w:val="16"/>
                <w:szCs w:val="16"/>
                <w:color w:val="auto"/>
              </w:rPr>
              <w:t>Accelerated filer</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o</w:t>
            </w:r>
          </w:p>
        </w:tc>
      </w:tr>
      <w:tr>
        <w:trPr>
          <w:trHeight w:val="271"/>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40"/>
              <w:spacing w:after="0"/>
              <w:rPr>
                <w:sz w:val="20"/>
                <w:szCs w:val="20"/>
                <w:color w:val="auto"/>
              </w:rPr>
            </w:pPr>
            <w:r>
              <w:rPr>
                <w:rFonts w:ascii="Arial" w:cs="Arial" w:eastAsia="Arial" w:hAnsi="Arial"/>
                <w:sz w:val="16"/>
                <w:szCs w:val="16"/>
                <w:color w:val="auto"/>
              </w:rPr>
              <w:t>o</w:t>
            </w:r>
          </w:p>
        </w:tc>
        <w:tc>
          <w:tcPr>
            <w:tcW w:w="5160" w:type="dxa"/>
            <w:vAlign w:val="bottom"/>
          </w:tcPr>
          <w:p>
            <w:pPr>
              <w:jc w:val="right"/>
              <w:ind w:right="119"/>
              <w:spacing w:after="0"/>
              <w:rPr>
                <w:sz w:val="20"/>
                <w:szCs w:val="20"/>
                <w:color w:val="auto"/>
              </w:rPr>
            </w:pPr>
            <w:r>
              <w:rPr>
                <w:rFonts w:ascii="Arial" w:cs="Arial" w:eastAsia="Arial" w:hAnsi="Arial"/>
                <w:sz w:val="16"/>
                <w:szCs w:val="16"/>
                <w:color w:val="auto"/>
              </w:rPr>
              <w:t>Smaller reporting company</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o</w:t>
            </w:r>
          </w:p>
        </w:tc>
      </w:tr>
      <w:tr>
        <w:trPr>
          <w:trHeight w:val="297"/>
        </w:trPr>
        <w:tc>
          <w:tcPr>
            <w:tcW w:w="21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660" w:type="dxa"/>
            <w:vAlign w:val="bottom"/>
          </w:tcPr>
          <w:p>
            <w:pPr>
              <w:ind w:left="340"/>
              <w:spacing w:after="0"/>
              <w:rPr>
                <w:sz w:val="20"/>
                <w:szCs w:val="20"/>
                <w:color w:val="auto"/>
              </w:rPr>
            </w:pPr>
            <w:r>
              <w:rPr>
                <w:rFonts w:ascii="Arial" w:cs="Arial" w:eastAsia="Arial" w:hAnsi="Arial"/>
                <w:sz w:val="16"/>
                <w:szCs w:val="16"/>
                <w:color w:val="auto"/>
              </w:rPr>
              <w:t>o</w:t>
            </w:r>
          </w:p>
        </w:tc>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104" w:lineRule="exact"/>
        <w:rPr>
          <w:sz w:val="24"/>
          <w:szCs w:val="24"/>
          <w:color w:val="auto"/>
        </w:rPr>
      </w:pPr>
    </w:p>
    <w:p>
      <w:pPr>
        <w:ind w:right="580"/>
        <w:spacing w:after="0" w:line="264"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right="3060"/>
        <w:spacing w:after="0" w:line="245"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o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31, 2023, the registrant had 210,009,231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9"/>
        </w:trPr>
        <w:tc>
          <w:tcPr>
            <w:tcW w:w="10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60" w:type="dxa"/>
            <w:vAlign w:val="bottom"/>
            <w:vMerge w:val="continue"/>
          </w:tcPr>
          <w:p>
            <w:pPr>
              <w:spacing w:after="0"/>
              <w:rPr>
                <w:sz w:val="17"/>
                <w:szCs w:val="17"/>
                <w:color w:val="auto"/>
              </w:rPr>
            </w:pPr>
          </w:p>
        </w:tc>
        <w:tc>
          <w:tcPr>
            <w:tcW w:w="9520" w:type="dxa"/>
            <w:vAlign w:val="bottom"/>
            <w:gridSpan w:val="20"/>
          </w:tcPr>
          <w:p>
            <w:pPr>
              <w:spacing w:after="0" w:line="196" w:lineRule="exact"/>
              <w:rPr>
                <w:sz w:val="20"/>
                <w:szCs w:val="20"/>
                <w:color w:val="auto"/>
              </w:rPr>
            </w:pPr>
            <w:r>
              <w:rPr>
                <w:rFonts w:ascii="Arial" w:cs="Arial" w:eastAsia="Arial" w:hAnsi="Arial"/>
                <w:sz w:val="18"/>
                <w:szCs w:val="18"/>
                <w:color w:val="0000FF"/>
              </w:rPr>
              <w:t>FINANCIAL INFORMATION</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Financial Statements (Unaudited)</w:t>
            </w:r>
          </w:p>
        </w:tc>
        <w:tc>
          <w:tcPr>
            <w:tcW w:w="7100" w:type="dxa"/>
            <w:vAlign w:val="bottom"/>
            <w:gridSpan w:val="10"/>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952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Income for the three and six months ended June 30, 2023 and 2022</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1"/>
                <w:szCs w:val="21"/>
                <w:color w:val="auto"/>
              </w:rPr>
            </w:pPr>
          </w:p>
        </w:tc>
        <w:tc>
          <w:tcPr>
            <w:tcW w:w="888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8"/>
              </w:rPr>
              <w:t>Condensed Consolidated Statements of Comprehensive Income for the three and six months ended June 30, 2023 and 2022</w:t>
            </w:r>
          </w:p>
        </w:tc>
        <w:tc>
          <w:tcPr>
            <w:tcW w:w="6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61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8"/>
              </w:rPr>
              <w:t>Condensed Consolidated Balance Sheets as of June 30, 2023 and December 31, 2022</w:t>
            </w:r>
          </w:p>
        </w:tc>
        <w:tc>
          <w:tcPr>
            <w:tcW w:w="3380" w:type="dxa"/>
            <w:vAlign w:val="bottom"/>
            <w:gridSpan w:val="6"/>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86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9"/>
              </w:rPr>
              <w:t>Condensed Consolidated Statements of Stockholders’ Equity for the three and six months ended June 30, 2023 and 2022</w:t>
            </w:r>
          </w:p>
        </w:tc>
        <w:tc>
          <w:tcPr>
            <w:tcW w:w="840" w:type="dxa"/>
            <w:vAlign w:val="bottom"/>
            <w:gridSpan w:val="2"/>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73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8"/>
              </w:rPr>
              <w:t>Condensed Consolidated Statements of Cash Flows for the six months ended June 30, 2023 and 2022</w:t>
            </w:r>
          </w:p>
        </w:tc>
        <w:tc>
          <w:tcPr>
            <w:tcW w:w="2220" w:type="dxa"/>
            <w:vAlign w:val="bottom"/>
            <w:gridSpan w:val="4"/>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9520" w:type="dxa"/>
            <w:vAlign w:val="bottom"/>
            <w:gridSpan w:val="20"/>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952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3"/>
          </w:tcPr>
          <w:p>
            <w:pPr>
              <w:spacing w:after="0"/>
              <w:rPr>
                <w:sz w:val="21"/>
                <w:szCs w:val="21"/>
                <w:color w:val="auto"/>
              </w:rPr>
            </w:pPr>
          </w:p>
        </w:tc>
        <w:tc>
          <w:tcPr>
            <w:tcW w:w="3080" w:type="dxa"/>
            <w:vAlign w:val="bottom"/>
            <w:gridSpan w:val="5"/>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952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952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540" w:type="dxa"/>
            <w:vAlign w:val="bottom"/>
            <w:tcBorders>
              <w:top w:val="single" w:sz="8" w:color="0000FF"/>
            </w:tcBorders>
            <w:gridSpan w:val="2"/>
          </w:tcPr>
          <w:p>
            <w:pPr>
              <w:spacing w:after="0"/>
              <w:rPr>
                <w:sz w:val="21"/>
                <w:szCs w:val="21"/>
                <w:color w:val="auto"/>
              </w:rPr>
            </w:pPr>
          </w:p>
        </w:tc>
        <w:tc>
          <w:tcPr>
            <w:tcW w:w="7640" w:type="dxa"/>
            <w:vAlign w:val="bottom"/>
            <w:gridSpan w:val="13"/>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8"/>
                <w:szCs w:val="18"/>
                <w:color w:val="auto"/>
              </w:rPr>
              <w:t>Item 1A.</w:t>
            </w:r>
          </w:p>
        </w:tc>
        <w:tc>
          <w:tcPr>
            <w:tcW w:w="952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952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Defaults Upon Senior Securities</w:t>
            </w:r>
          </w:p>
        </w:tc>
        <w:tc>
          <w:tcPr>
            <w:tcW w:w="5180" w:type="dxa"/>
            <w:vAlign w:val="bottom"/>
            <w:gridSpan w:val="9"/>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Mine Safety Disclosures</w:t>
            </w:r>
          </w:p>
        </w:tc>
        <w:tc>
          <w:tcPr>
            <w:tcW w:w="7200" w:type="dxa"/>
            <w:vAlign w:val="bottom"/>
            <w:gridSpan w:val="11"/>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2"/>
          </w:tcPr>
          <w:p>
            <w:pPr>
              <w:spacing w:after="0"/>
              <w:rPr>
                <w:sz w:val="21"/>
                <w:szCs w:val="21"/>
                <w:color w:val="auto"/>
              </w:rPr>
            </w:pPr>
          </w:p>
        </w:tc>
        <w:tc>
          <w:tcPr>
            <w:tcW w:w="7760" w:type="dxa"/>
            <w:vAlign w:val="bottom"/>
            <w:gridSpan w:val="14"/>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952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60" w:type="dxa"/>
            <w:vAlign w:val="bottom"/>
            <w:gridSpan w:val="1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1"/>
                <w:szCs w:val="21"/>
                <w:color w:val="auto"/>
              </w:rPr>
            </w:pPr>
          </w:p>
        </w:tc>
        <w:tc>
          <w:tcPr>
            <w:tcW w:w="7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Signatures</w:t>
            </w:r>
          </w:p>
        </w:tc>
        <w:tc>
          <w:tcPr>
            <w:tcW w:w="8760" w:type="dxa"/>
            <w:vAlign w:val="bottom"/>
            <w:gridSpan w:val="18"/>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contains certain statements that constitute “forward-looking statements” within the meaning of the Private Securities Litigation Reform Act of 1995.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in our Annual Report on Form 10-K for the fiscal year ended December 31, 2022 and as updated in our Quarterly Reports on Form 10-Q. You should specifically consider the numerous risks outlined in those “Risk Factors” sections. These risks and uncertainties include factors related to:</w:t>
      </w:r>
    </w:p>
    <w:p>
      <w:pPr>
        <w:spacing w:after="0" w:line="77" w:lineRule="exact"/>
        <w:rPr>
          <w:sz w:val="20"/>
          <w:szCs w:val="20"/>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preferences, lifestyle and environmental concerns;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relationships with our major customers, consolidation of our customer bases and loss of a significant customer;</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pricing pressures;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or disruption at, any of our key manufacturing facilities;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suppliers of raw materials and any interruption in our supply of raw materials;</w:t>
      </w:r>
    </w:p>
    <w:p>
      <w:pPr>
        <w:spacing w:after="0" w:line="117" w:lineRule="exact"/>
        <w:rPr>
          <w:rFonts w:ascii="Arial" w:cs="Arial" w:eastAsia="Arial" w:hAnsi="Arial"/>
          <w:sz w:val="18"/>
          <w:szCs w:val="18"/>
          <w:color w:val="auto"/>
        </w:rPr>
      </w:pPr>
    </w:p>
    <w:p>
      <w:pPr>
        <w:ind w:left="880" w:right="20" w:hanging="431"/>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due to an accident, labor issues, weather conditions, natural disaster, the emergence of a pandemic or disease outbreak, such as coronavirus or otherwise;</w:t>
      </w:r>
    </w:p>
    <w:p>
      <w:pPr>
        <w:spacing w:after="0" w:line="62"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unknown duration and economic, operational and financial impacts of the global COVID-19 pandemic;</w:t>
      </w:r>
    </w:p>
    <w:p>
      <w:pPr>
        <w:spacing w:after="0" w:line="117" w:lineRule="exact"/>
        <w:rPr>
          <w:rFonts w:ascii="Arial" w:cs="Arial" w:eastAsia="Arial" w:hAnsi="Arial"/>
          <w:sz w:val="18"/>
          <w:szCs w:val="18"/>
          <w:color w:val="auto"/>
        </w:rPr>
      </w:pPr>
    </w:p>
    <w:p>
      <w:pPr>
        <w:ind w:left="880" w:right="60" w:hanging="431"/>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of raw materials, energy, labor and freight, including the impact of tariffs, trade sanctions and similar matters affecting our importation of certain raw materials;</w:t>
      </w:r>
    </w:p>
    <w:p>
      <w:pPr>
        <w:spacing w:after="0" w:line="62"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shortages and increased labor costs;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brands that are critical to our success;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downturns in our target markets;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impacts from inflationary trends;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meeting our sales growth objectives and innovation goals; and</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market interest rates.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Quarterly Report on Form 10-Q to conform our prior statements to actual results or revised expectations.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 information about these factors and about the material factors or assumptions underlying such forward-looking statements is included in our Annual Report on Form 10-K for the fiscal year ended December 31, 2022, which was filed on February 8, 2023, under Part I, Item 1A. “Risk Factors” and as updated in our Quarterly Reports on Form 10-Q.</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25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For the Three Months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For the Six Months Ended</w:t>
            </w:r>
          </w:p>
        </w:tc>
      </w:tr>
      <w:tr>
        <w:trPr>
          <w:trHeight w:val="186"/>
        </w:trPr>
        <w:tc>
          <w:tcPr>
            <w:tcW w:w="4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1100" w:type="dxa"/>
            <w:vAlign w:val="bottom"/>
          </w:tcPr>
          <w:p>
            <w:pPr>
              <w:spacing w:after="0"/>
              <w:rPr>
                <w:sz w:val="16"/>
                <w:szCs w:val="16"/>
                <w:color w:val="auto"/>
              </w:rPr>
            </w:pPr>
          </w:p>
        </w:tc>
      </w:tr>
      <w:tr>
        <w:trPr>
          <w:trHeight w:val="39"/>
        </w:trPr>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49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531"/>
              <w:spacing w:after="0"/>
              <w:rPr>
                <w:sz w:val="20"/>
                <w:szCs w:val="20"/>
                <w:color w:val="auto"/>
              </w:rPr>
            </w:pPr>
            <w:r>
              <w:rPr>
                <w:rFonts w:ascii="Arial" w:cs="Arial" w:eastAsia="Arial" w:hAnsi="Arial"/>
                <w:sz w:val="14"/>
                <w:szCs w:val="14"/>
                <w:b w:val="1"/>
                <w:bCs w:val="1"/>
                <w:color w:val="auto"/>
              </w:rPr>
              <w:t>2022</w:t>
            </w:r>
          </w:p>
        </w:tc>
      </w:tr>
      <w:tr>
        <w:trPr>
          <w:trHeight w:val="26"/>
        </w:trPr>
        <w:tc>
          <w:tcPr>
            <w:tcW w:w="4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6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r>
      <w:tr>
        <w:trPr>
          <w:trHeight w:val="263"/>
        </w:trPr>
        <w:tc>
          <w:tcPr>
            <w:tcW w:w="4900" w:type="dxa"/>
            <w:vAlign w:val="bottom"/>
          </w:tcPr>
          <w:p>
            <w:pPr>
              <w:ind w:left="20"/>
              <w:spacing w:after="0"/>
              <w:rPr>
                <w:sz w:val="20"/>
                <w:szCs w:val="20"/>
                <w:color w:val="auto"/>
              </w:rPr>
            </w:pPr>
            <w:r>
              <w:rPr>
                <w:rFonts w:ascii="Arial" w:cs="Arial" w:eastAsia="Arial" w:hAnsi="Arial"/>
                <w:sz w:val="18"/>
                <w:szCs w:val="18"/>
                <w:color w:val="auto"/>
              </w:rPr>
              <w:t>Related party net revenues</w:t>
            </w: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revenues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1,762</w:t>
            </w:r>
          </w:p>
        </w:tc>
      </w:tr>
      <w:tr>
        <w:trPr>
          <w:trHeight w:val="263"/>
        </w:trPr>
        <w:tc>
          <w:tcPr>
            <w:tcW w:w="49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9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166</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9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138</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83"/>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980" w:type="dxa"/>
            <w:vAlign w:val="bottom"/>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06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104</w:t>
            </w:r>
          </w:p>
        </w:tc>
      </w:tr>
      <w:tr>
        <w:trPr>
          <w:trHeight w:val="250"/>
        </w:trPr>
        <w:tc>
          <w:tcPr>
            <w:tcW w:w="49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6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0.32</w:t>
            </w:r>
          </w:p>
        </w:tc>
        <w:tc>
          <w:tcPr>
            <w:tcW w:w="10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0.40</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r>
      <w:tr>
        <w:trPr>
          <w:trHeight w:val="264"/>
        </w:trPr>
        <w:tc>
          <w:tcPr>
            <w:tcW w:w="490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77"/>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9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210.0</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209.9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880" w:type="dxa"/>
            <w:vAlign w:val="bottom"/>
          </w:tcPr>
          <w:p>
            <w:pPr>
              <w:spacing w:after="0"/>
              <w:rPr>
                <w:sz w:val="15"/>
                <w:szCs w:val="15"/>
                <w:color w:val="auto"/>
              </w:rPr>
            </w:pPr>
          </w:p>
        </w:tc>
        <w:tc>
          <w:tcPr>
            <w:tcW w:w="2680" w:type="dxa"/>
            <w:vAlign w:val="bottom"/>
            <w:gridSpan w:val="4"/>
          </w:tcPr>
          <w:p>
            <w:pPr>
              <w:jc w:val="center"/>
              <w:ind w:left="359"/>
              <w:spacing w:after="0"/>
              <w:rPr>
                <w:sz w:val="20"/>
                <w:szCs w:val="20"/>
                <w:color w:val="auto"/>
              </w:rPr>
            </w:pPr>
            <w:r>
              <w:rPr>
                <w:rFonts w:ascii="Arial" w:cs="Arial" w:eastAsia="Arial" w:hAnsi="Arial"/>
                <w:sz w:val="14"/>
                <w:szCs w:val="14"/>
                <w:b w:val="1"/>
                <w:bCs w:val="1"/>
                <w:color w:val="auto"/>
                <w:w w:val="94"/>
              </w:rPr>
              <w:t>For the Three Months Ended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For the Six Months Ended</w:t>
            </w:r>
          </w:p>
        </w:tc>
      </w:tr>
      <w:tr>
        <w:trPr>
          <w:trHeight w:val="186"/>
        </w:trPr>
        <w:tc>
          <w:tcPr>
            <w:tcW w:w="4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gridSpan w:val="3"/>
          </w:tcPr>
          <w:p>
            <w:pPr>
              <w:jc w:val="center"/>
              <w:ind w:right="550"/>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Pr>
          <w:p>
            <w:pPr>
              <w:spacing w:after="0"/>
              <w:rPr>
                <w:sz w:val="16"/>
                <w:szCs w:val="16"/>
                <w:color w:val="auto"/>
              </w:rPr>
            </w:pPr>
          </w:p>
        </w:tc>
      </w:tr>
      <w:tr>
        <w:trPr>
          <w:trHeight w:val="39"/>
        </w:trPr>
        <w:tc>
          <w:tcPr>
            <w:tcW w:w="48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4"/>
        </w:trPr>
        <w:tc>
          <w:tcPr>
            <w:tcW w:w="4880" w:type="dxa"/>
            <w:vAlign w:val="bottom"/>
          </w:tcPr>
          <w:p>
            <w:pPr>
              <w:spacing w:after="0"/>
              <w:rPr>
                <w:sz w:val="16"/>
                <w:szCs w:val="16"/>
                <w:color w:val="auto"/>
              </w:rPr>
            </w:pPr>
          </w:p>
        </w:tc>
        <w:tc>
          <w:tcPr>
            <w:tcW w:w="1080" w:type="dxa"/>
            <w:vAlign w:val="bottom"/>
          </w:tcPr>
          <w:p>
            <w:pPr>
              <w:jc w:val="right"/>
              <w:ind w:right="99"/>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6"/>
                <w:szCs w:val="16"/>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6"/>
        </w:trPr>
        <w:tc>
          <w:tcPr>
            <w:tcW w:w="48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66</w:t>
            </w:r>
          </w:p>
        </w:tc>
        <w:tc>
          <w:tcPr>
            <w:tcW w:w="1160" w:type="dxa"/>
            <w:vAlign w:val="bottom"/>
            <w:tcBorders>
              <w:bottom w:val="single" w:sz="8" w:color="CCEEFF"/>
            </w:tcBorders>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5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Other comprehensive (loss) income, net of income taxes:</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benefit plans</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4880" w:type="dxa"/>
            <w:vAlign w:val="bottom"/>
          </w:tcPr>
          <w:p>
            <w:pPr>
              <w:ind w:left="180"/>
              <w:spacing w:after="0"/>
              <w:rPr>
                <w:sz w:val="20"/>
                <w:szCs w:val="20"/>
                <w:color w:val="auto"/>
              </w:rPr>
            </w:pPr>
            <w:r>
              <w:rPr>
                <w:rFonts w:ascii="Arial" w:cs="Arial" w:eastAsia="Arial" w:hAnsi="Arial"/>
                <w:sz w:val="18"/>
                <w:szCs w:val="18"/>
                <w:color w:val="auto"/>
              </w:rPr>
              <w:t>Interest rate derivatives</w:t>
            </w:r>
          </w:p>
        </w:tc>
        <w:tc>
          <w:tcPr>
            <w:tcW w:w="10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6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income taxes</w:t>
            </w:r>
          </w:p>
        </w:tc>
        <w:tc>
          <w:tcPr>
            <w:tcW w:w="108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7"/>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4"/>
                <w:szCs w:val="24"/>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r>
    </w:tbl>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for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32"/>
              <w:spacing w:after="0"/>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5"/>
        </w:trPr>
        <w:tc>
          <w:tcPr>
            <w:tcW w:w="7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32"/>
              <w:spacing w:after="0"/>
              <w:rPr>
                <w:sz w:val="20"/>
                <w:szCs w:val="20"/>
                <w:color w:val="auto"/>
              </w:rPr>
            </w:pPr>
            <w:r>
              <w:rPr>
                <w:rFonts w:ascii="Arial" w:cs="Arial" w:eastAsia="Arial" w:hAnsi="Arial"/>
                <w:sz w:val="14"/>
                <w:szCs w:val="14"/>
                <w:b w:val="1"/>
                <w:bCs w:val="1"/>
                <w:color w:val="auto"/>
                <w:w w:val="90"/>
              </w:rPr>
              <w:t>As of June 30,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2"/>
              </w:rPr>
              <w:t>As of December 31,</w:t>
            </w:r>
          </w:p>
        </w:tc>
      </w:tr>
      <w:tr>
        <w:trPr>
          <w:trHeight w:val="186"/>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r>
      <w:tr>
        <w:trPr>
          <w:trHeight w:val="26"/>
        </w:trPr>
        <w:tc>
          <w:tcPr>
            <w:tcW w:w="7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$1 and $1)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party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1,146</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1,171</w:t>
            </w: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 of accumulated depreciation of $859 and $821)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Operating lease right-of-use assets, net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1,031</w:t>
            </w: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4,882</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4,929</w:t>
            </w:r>
          </w:p>
        </w:tc>
      </w:tr>
      <w:tr>
        <w:trPr>
          <w:trHeight w:val="34"/>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party payables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and 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465</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496</w:t>
            </w: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Long-term operating lease liabilities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Long-term postretirement benefit obligation</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3,023</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3,061</w:t>
            </w: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7)</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$0.001 par value; 2,000 shares authorized; 210 shares issued and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7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1,385</w:t>
            </w: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7"/>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3"/>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1,859</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1,868</w:t>
            </w:r>
          </w:p>
        </w:tc>
      </w:tr>
      <w:tr>
        <w:trPr>
          <w:trHeight w:val="236"/>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4,882</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4,929</w:t>
            </w:r>
          </w:p>
        </w:tc>
      </w:tr>
      <w:tr>
        <w:trPr>
          <w:trHeight w:val="34"/>
        </w:trPr>
        <w:tc>
          <w:tcPr>
            <w:tcW w:w="7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3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32"/>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93"/>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3480" w:type="dxa"/>
            <w:vAlign w:val="bottom"/>
          </w:tcPr>
          <w:p>
            <w:pPr>
              <w:spacing w:after="0"/>
              <w:rPr>
                <w:sz w:val="14"/>
                <w:szCs w:val="14"/>
                <w:color w:val="auto"/>
              </w:rPr>
            </w:pPr>
          </w:p>
        </w:tc>
        <w:tc>
          <w:tcPr>
            <w:tcW w:w="1120" w:type="dxa"/>
            <w:vAlign w:val="bottom"/>
          </w:tcPr>
          <w:p>
            <w:pPr>
              <w:jc w:val="right"/>
              <w:ind w:right="15"/>
              <w:spacing w:after="0"/>
              <w:rPr>
                <w:sz w:val="20"/>
                <w:szCs w:val="20"/>
                <w:color w:val="auto"/>
              </w:rPr>
            </w:pPr>
            <w:r>
              <w:rPr>
                <w:rFonts w:ascii="Arial" w:cs="Arial" w:eastAsia="Arial" w:hAnsi="Arial"/>
                <w:sz w:val="14"/>
                <w:szCs w:val="14"/>
                <w:b w:val="1"/>
                <w:bCs w:val="1"/>
                <w:color w:val="auto"/>
              </w:rPr>
              <w:t>Common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432"/>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352"/>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186"/>
        </w:trPr>
        <w:tc>
          <w:tcPr>
            <w:tcW w:w="3480" w:type="dxa"/>
            <w:vAlign w:val="bottom"/>
          </w:tcPr>
          <w:p>
            <w:pPr>
              <w:spacing w:after="0"/>
              <w:rPr>
                <w:sz w:val="16"/>
                <w:szCs w:val="16"/>
                <w:color w:val="auto"/>
              </w:rPr>
            </w:pPr>
          </w:p>
        </w:tc>
        <w:tc>
          <w:tcPr>
            <w:tcW w:w="1120" w:type="dxa"/>
            <w:vAlign w:val="bottom"/>
          </w:tcPr>
          <w:p>
            <w:pPr>
              <w:jc w:val="right"/>
              <w:ind w:right="135"/>
              <w:spacing w:after="0"/>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432"/>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352"/>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32"/>
              <w:spacing w:after="0"/>
              <w:rPr>
                <w:sz w:val="20"/>
                <w:szCs w:val="20"/>
                <w:color w:val="auto"/>
              </w:rPr>
            </w:pPr>
            <w:r>
              <w:rPr>
                <w:rFonts w:ascii="Arial" w:cs="Arial" w:eastAsia="Arial" w:hAnsi="Arial"/>
                <w:sz w:val="14"/>
                <w:szCs w:val="14"/>
                <w:b w:val="1"/>
                <w:bCs w:val="1"/>
                <w:color w:val="auto"/>
              </w:rPr>
              <w:t>Equity</w:t>
            </w:r>
          </w:p>
        </w:tc>
      </w:tr>
      <w:tr>
        <w:trPr>
          <w:trHeight w:val="39"/>
        </w:trPr>
        <w:tc>
          <w:tcPr>
            <w:tcW w:w="34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12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1,381</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1,756</w:t>
            </w:r>
          </w:p>
        </w:tc>
      </w:tr>
      <w:tr>
        <w:trPr>
          <w:trHeight w:val="243"/>
        </w:trPr>
        <w:tc>
          <w:tcPr>
            <w:tcW w:w="34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3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Other comprehensive income, net of income</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3480" w:type="dxa"/>
            <w:vAlign w:val="bottom"/>
          </w:tcPr>
          <w:p>
            <w:pPr>
              <w:ind w:left="180"/>
              <w:spacing w:after="0"/>
              <w:rPr>
                <w:sz w:val="20"/>
                <w:szCs w:val="20"/>
                <w:color w:val="auto"/>
              </w:rPr>
            </w:pPr>
            <w:r>
              <w:rPr>
                <w:rFonts w:ascii="Arial" w:cs="Arial" w:eastAsia="Arial" w:hAnsi="Arial"/>
                <w:sz w:val="18"/>
                <w:szCs w:val="18"/>
                <w:color w:val="auto"/>
              </w:rPr>
              <w:t>Dividends ($0.23 per share declared and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480" w:type="dxa"/>
            <w:vAlign w:val="bottom"/>
          </w:tcPr>
          <w:p>
            <w:pPr>
              <w:ind w:left="180"/>
              <w:spacing w:after="0"/>
              <w:rPr>
                <w:sz w:val="20"/>
                <w:szCs w:val="20"/>
                <w:color w:val="auto"/>
              </w:rPr>
            </w:pPr>
            <w:r>
              <w:rPr>
                <w:rFonts w:ascii="Arial" w:cs="Arial" w:eastAsia="Arial" w:hAnsi="Arial"/>
                <w:sz w:val="18"/>
                <w:szCs w:val="18"/>
                <w:color w:val="auto"/>
              </w:rPr>
              <w:t>paid)</w:t>
            </w:r>
          </w:p>
        </w:tc>
        <w:tc>
          <w:tcPr>
            <w:tcW w:w="11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34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2022</w:t>
            </w:r>
          </w:p>
        </w:tc>
        <w:tc>
          <w:tcPr>
            <w:tcW w:w="112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1,381</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1,767</w:t>
            </w:r>
          </w:p>
        </w:tc>
      </w:tr>
      <w:tr>
        <w:trPr>
          <w:trHeight w:val="243"/>
        </w:trPr>
        <w:tc>
          <w:tcPr>
            <w:tcW w:w="34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3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Other comprehensive income, net of income</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3480" w:type="dxa"/>
            <w:vAlign w:val="bottom"/>
          </w:tcPr>
          <w:p>
            <w:pPr>
              <w:ind w:left="180"/>
              <w:spacing w:after="0"/>
              <w:rPr>
                <w:sz w:val="20"/>
                <w:szCs w:val="20"/>
                <w:color w:val="auto"/>
              </w:rPr>
            </w:pPr>
            <w:r>
              <w:rPr>
                <w:rFonts w:ascii="Arial" w:cs="Arial" w:eastAsia="Arial" w:hAnsi="Arial"/>
                <w:sz w:val="18"/>
                <w:szCs w:val="18"/>
                <w:color w:val="auto"/>
              </w:rPr>
              <w:t>Dividends ($0.23 per share declared and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480" w:type="dxa"/>
            <w:vAlign w:val="bottom"/>
          </w:tcPr>
          <w:p>
            <w:pPr>
              <w:ind w:left="180"/>
              <w:spacing w:after="0"/>
              <w:rPr>
                <w:sz w:val="20"/>
                <w:szCs w:val="20"/>
                <w:color w:val="auto"/>
              </w:rPr>
            </w:pPr>
            <w:r>
              <w:rPr>
                <w:rFonts w:ascii="Arial" w:cs="Arial" w:eastAsia="Arial" w:hAnsi="Arial"/>
                <w:sz w:val="18"/>
                <w:szCs w:val="18"/>
                <w:color w:val="auto"/>
              </w:rPr>
              <w:t>paid)</w:t>
            </w:r>
          </w:p>
        </w:tc>
        <w:tc>
          <w:tcPr>
            <w:tcW w:w="11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3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Balance as of June 30, 2022</w:t>
            </w:r>
          </w:p>
        </w:tc>
        <w:tc>
          <w:tcPr>
            <w:tcW w:w="1120" w:type="dxa"/>
            <w:vAlign w:val="bottom"/>
            <w:tcBorders>
              <w:top w:val="single" w:sz="8" w:color="auto"/>
            </w:tcBorders>
          </w:tcPr>
          <w:p>
            <w:pPr>
              <w:jc w:val="right"/>
              <w:ind w:right="935"/>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1,383</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1,776</w:t>
            </w:r>
          </w:p>
        </w:tc>
      </w:tr>
      <w:tr>
        <w:trPr>
          <w:trHeight w:val="27"/>
        </w:trPr>
        <w:tc>
          <w:tcPr>
            <w:tcW w:w="3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4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1120" w:type="dxa"/>
            <w:vAlign w:val="bottom"/>
          </w:tcPr>
          <w:p>
            <w:pPr>
              <w:jc w:val="right"/>
              <w:ind w:right="935"/>
              <w:spacing w:after="0"/>
              <w:rPr>
                <w:sz w:val="20"/>
                <w:szCs w:val="20"/>
                <w:color w:val="auto"/>
              </w:rPr>
            </w:pPr>
            <w:r>
              <w:rPr>
                <w:rFonts w:ascii="Arial" w:cs="Arial" w:eastAsia="Arial" w:hAnsi="Arial"/>
                <w:sz w:val="18"/>
                <w:szCs w:val="18"/>
                <w:b w:val="1"/>
                <w:bCs w:val="1"/>
                <w:color w:val="auto"/>
                <w:w w:val="79"/>
              </w:rPr>
              <w:t>$</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1,385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431</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1,868</w:t>
            </w:r>
          </w:p>
        </w:tc>
      </w:tr>
      <w:tr>
        <w:trPr>
          <w:trHeight w:val="27"/>
        </w:trPr>
        <w:tc>
          <w:tcPr>
            <w:tcW w:w="3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3480" w:type="dxa"/>
            <w:vAlign w:val="bottom"/>
          </w:tcPr>
          <w:p>
            <w:pPr>
              <w:ind w:left="180"/>
              <w:spacing w:after="0"/>
              <w:rPr>
                <w:sz w:val="20"/>
                <w:szCs w:val="20"/>
                <w:color w:val="auto"/>
              </w:rPr>
            </w:pPr>
            <w:r>
              <w:rPr>
                <w:rFonts w:ascii="Arial" w:cs="Arial" w:eastAsia="Arial" w:hAnsi="Arial"/>
                <w:sz w:val="18"/>
                <w:szCs w:val="18"/>
                <w:color w:val="auto"/>
              </w:rPr>
              <w:t>Other comprehensive loss, net of income</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480" w:type="dxa"/>
            <w:vAlign w:val="bottom"/>
          </w:tcPr>
          <w:p>
            <w:pPr>
              <w:ind w:left="180"/>
              <w:spacing w:after="0"/>
              <w:rPr>
                <w:sz w:val="20"/>
                <w:szCs w:val="20"/>
                <w:color w:val="auto"/>
              </w:rPr>
            </w:pPr>
            <w:r>
              <w:rPr>
                <w:rFonts w:ascii="Arial" w:cs="Arial" w:eastAsia="Arial" w:hAnsi="Arial"/>
                <w:sz w:val="18"/>
                <w:szCs w:val="18"/>
                <w:color w:val="auto"/>
              </w:rPr>
              <w:t>taxes</w:t>
            </w:r>
          </w:p>
        </w:tc>
        <w:tc>
          <w:tcPr>
            <w:tcW w:w="11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($0.23 per share declared and</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paid)</w:t>
            </w:r>
          </w:p>
        </w:tc>
        <w:tc>
          <w:tcPr>
            <w:tcW w:w="1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63"/>
        </w:trPr>
        <w:tc>
          <w:tcPr>
            <w:tcW w:w="3480" w:type="dxa"/>
            <w:vAlign w:val="bottom"/>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2023</w:t>
            </w:r>
          </w:p>
        </w:tc>
        <w:tc>
          <w:tcPr>
            <w:tcW w:w="112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1,386</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1,825</w:t>
            </w:r>
          </w:p>
        </w:tc>
      </w:tr>
      <w:tr>
        <w:trPr>
          <w:trHeight w:val="243"/>
        </w:trPr>
        <w:tc>
          <w:tcPr>
            <w:tcW w:w="34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3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Other comprehensive income, net of income</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3480" w:type="dxa"/>
            <w:vAlign w:val="bottom"/>
          </w:tcPr>
          <w:p>
            <w:pPr>
              <w:ind w:left="180"/>
              <w:spacing w:after="0"/>
              <w:rPr>
                <w:sz w:val="20"/>
                <w:szCs w:val="20"/>
                <w:color w:val="auto"/>
              </w:rPr>
            </w:pPr>
            <w:r>
              <w:rPr>
                <w:rFonts w:ascii="Arial" w:cs="Arial" w:eastAsia="Arial" w:hAnsi="Arial"/>
                <w:sz w:val="18"/>
                <w:szCs w:val="18"/>
                <w:color w:val="auto"/>
              </w:rPr>
              <w:t>Dividends ($0.23 per share declared and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480" w:type="dxa"/>
            <w:vAlign w:val="bottom"/>
          </w:tcPr>
          <w:p>
            <w:pPr>
              <w:ind w:left="180"/>
              <w:spacing w:after="0"/>
              <w:rPr>
                <w:sz w:val="20"/>
                <w:szCs w:val="20"/>
                <w:color w:val="auto"/>
              </w:rPr>
            </w:pPr>
            <w:r>
              <w:rPr>
                <w:rFonts w:ascii="Arial" w:cs="Arial" w:eastAsia="Arial" w:hAnsi="Arial"/>
                <w:sz w:val="18"/>
                <w:szCs w:val="18"/>
                <w:color w:val="auto"/>
              </w:rPr>
              <w:t>paid)</w:t>
            </w:r>
          </w:p>
        </w:tc>
        <w:tc>
          <w:tcPr>
            <w:tcW w:w="11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3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1120" w:type="dxa"/>
            <w:vAlign w:val="bottom"/>
          </w:tcPr>
          <w:p>
            <w:pPr>
              <w:jc w:val="right"/>
              <w:ind w:right="935"/>
              <w:spacing w:after="0"/>
              <w:rPr>
                <w:sz w:val="20"/>
                <w:szCs w:val="20"/>
                <w:color w:val="auto"/>
              </w:rPr>
            </w:pPr>
            <w:r>
              <w:rPr>
                <w:rFonts w:ascii="Arial" w:cs="Arial" w:eastAsia="Arial" w:hAnsi="Arial"/>
                <w:sz w:val="18"/>
                <w:szCs w:val="18"/>
                <w:b w:val="1"/>
                <w:bCs w:val="1"/>
                <w:color w:val="auto"/>
                <w:w w:val="79"/>
              </w:rPr>
              <w:t>$</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1,389</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418</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1,859</w:t>
            </w:r>
          </w:p>
        </w:tc>
      </w:tr>
      <w:tr>
        <w:trPr>
          <w:trHeight w:val="20"/>
        </w:trPr>
        <w:tc>
          <w:tcPr>
            <w:tcW w:w="34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Six Months Ended</w:t>
      </w:r>
    </w:p>
    <w:p>
      <w:pPr>
        <w:spacing w:after="0" w:line="25"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34290</wp:posOffset>
            </wp:positionV>
            <wp:extent cx="1954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6"/>
        </w:trPr>
        <w:tc>
          <w:tcPr>
            <w:tcW w:w="8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provided by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operating cash flows:</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assets and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Related party receivables</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party payables</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Income taxes payable / receivable</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and other current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Other assets and liabilities</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Cash used in investing activities</w:t>
            </w:r>
          </w:p>
        </w:tc>
        <w:tc>
          <w:tcPr>
            <w:tcW w:w="10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0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63"/>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0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used in financing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Repayment of long-term debt</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Other financing activities</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7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r>
      <w:tr>
        <w:trPr>
          <w:trHeight w:val="250"/>
        </w:trPr>
        <w:tc>
          <w:tcPr>
            <w:tcW w:w="8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Cash paid:</w:t>
            </w: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Reynolds Consumer Products Inc. and its subsidiaries (“we”, “us” or “our”) produce and sell products across three broad categories: cooking products, waste and storage products and tableware. We sell our products under brands such as Reynolds and Hefty,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prepared the accompanying unaudited condensed consolidated financial statements in accordance with United States generally accepted accounting principles (“GAAP”) for interim financial information and the instructions to the Quarterly Report on Form 10-Q and Article 10 of Regulation S-X issued by the U.S. Securities and Exchange Commission (“SEC”). Accordingly, they do not include all of the information and notes required by GAAP for comprehensive annual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policies described in our Annual Report on Form 10-K for the year ended December 31, 2022, and should be read in conjunction with the disclosures therein. In our opinion, these interim condensed consolidated financial statements reflect all adjustments, consisting of normal recurring adjustments, necessary to state fairly the financial condition, results of operations and cash flows for the periods presented. Operating results for interim periods are not necessarily indicative of annual operating results.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March 2023, we initiated a voluntary Supply Chain Finance program (the “SCF”) with a global financial institution (the “SCF Bank”).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supplier’s decision to enter into the agreement and have no direct financial relationship with SCF Bank, as it relates to the SCF. Once a qualifying supplier elects to participate in the SCF and reaches an agreement with the SCF Bank, they elect which individual invoices they sell to the SCF Bank. The terms of our payment obligations are not impacted by a supplier’s participation in the SCF and as such, the SCF has no direct impact on our balance sheets, cash flows, or liquidity. Amounts due to suppliers who voluntarily participate in the SCF are included in accounts payable in our condensed consolidated balance sheet and our payments made under the SCF are reflected as an operating cash flow in the condensed consolidated statement of cash flows. </w:t>
      </w:r>
      <w:r>
        <w:rPr>
          <w:rFonts w:ascii="Arial" w:cs="Arial" w:eastAsia="Arial" w:hAnsi="Arial"/>
          <w:sz w:val="17"/>
          <w:szCs w:val="17"/>
          <w:color w:val="212529"/>
        </w:rPr>
        <w:t>As of</w:t>
      </w:r>
      <w:r>
        <w:rPr>
          <w:rFonts w:ascii="Arial" w:cs="Arial" w:eastAsia="Arial" w:hAnsi="Arial"/>
          <w:sz w:val="17"/>
          <w:szCs w:val="17"/>
          <w:color w:val="auto"/>
        </w:rPr>
        <w:t xml:space="preserve"> June 30, 2023</w:t>
      </w:r>
      <w:r>
        <w:rPr>
          <w:rFonts w:ascii="Arial" w:cs="Arial" w:eastAsia="Arial" w:hAnsi="Arial"/>
          <w:sz w:val="17"/>
          <w:szCs w:val="17"/>
          <w:color w:val="212529"/>
        </w:rPr>
        <w:t>, the amount of obligations outstanding that</w:t>
      </w:r>
      <w:r>
        <w:rPr>
          <w:rFonts w:ascii="Arial" w:cs="Arial" w:eastAsia="Arial" w:hAnsi="Arial"/>
          <w:sz w:val="17"/>
          <w:szCs w:val="17"/>
          <w:color w:val="auto"/>
        </w:rPr>
        <w:t xml:space="preserve"> </w:t>
      </w:r>
      <w:r>
        <w:rPr>
          <w:rFonts w:ascii="Arial" w:cs="Arial" w:eastAsia="Arial" w:hAnsi="Arial"/>
          <w:sz w:val="17"/>
          <w:szCs w:val="17"/>
          <w:color w:val="212529"/>
        </w:rPr>
        <w:t>we have confirmed as valid under the SCF was not material.</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New Accounting Standards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Guidance: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March 2020, the Financial Accounting Standards Board (“FASB”) issued Accounting Standards Update (“ASU”)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848): Facilitation of the Effects of Reference Rate Reform on Financial Reporting</w:t>
      </w:r>
      <w:r>
        <w:rPr>
          <w:rFonts w:ascii="Arial" w:cs="Arial" w:eastAsia="Arial" w:hAnsi="Arial"/>
          <w:sz w:val="17"/>
          <w:szCs w:val="17"/>
          <w:color w:val="auto"/>
        </w:rPr>
        <w:t>, and subsequently in January 2021, FASB issued ASU 2021-01,</w:t>
      </w:r>
      <w:r>
        <w:rPr>
          <w:rFonts w:ascii="Arial" w:cs="Arial" w:eastAsia="Arial" w:hAnsi="Arial"/>
          <w:sz w:val="17"/>
          <w:szCs w:val="17"/>
          <w:i w:val="1"/>
          <w:iCs w:val="1"/>
          <w:color w:val="auto"/>
        </w:rPr>
        <w:t xml:space="preserve"> Reference Rate Reform (Topic 848): Scope</w:t>
      </w:r>
      <w:r>
        <w:rPr>
          <w:rFonts w:ascii="Arial" w:cs="Arial" w:eastAsia="Arial" w:hAnsi="Arial"/>
          <w:sz w:val="17"/>
          <w:szCs w:val="17"/>
          <w:color w:val="auto"/>
        </w:rPr>
        <w:t>, both of which provide optional expedients and exceptions to applying the guidance on contract modifications,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hedge accounting, and other transactions, to simplify the accounting for transitioning from the London Interbank Offered Rate (“LIBOR”), and other interbank offered rates expected to be discontinued, to alternative reference rates. Each of these ASUs were effective upon its issuance and could be applied prospectively through December 31, 2022. In December 2022, the FASB issued ASU 2022-06, </w:t>
      </w:r>
      <w:r>
        <w:rPr>
          <w:rFonts w:ascii="Arial" w:cs="Arial" w:eastAsia="Arial" w:hAnsi="Arial"/>
          <w:sz w:val="17"/>
          <w:szCs w:val="17"/>
          <w:i w:val="1"/>
          <w:iCs w:val="1"/>
          <w:color w:val="auto"/>
        </w:rPr>
        <w:t>Reference Rate Reform (Topic 848): Deferral of the Sunset</w:t>
      </w:r>
      <w:r>
        <w:rPr>
          <w:rFonts w:ascii="Arial" w:cs="Arial" w:eastAsia="Arial" w:hAnsi="Arial"/>
          <w:sz w:val="17"/>
          <w:szCs w:val="17"/>
          <w:color w:val="auto"/>
        </w:rPr>
        <w:t xml:space="preserve"> </w:t>
      </w:r>
      <w:r>
        <w:rPr>
          <w:rFonts w:ascii="Arial" w:cs="Arial" w:eastAsia="Arial" w:hAnsi="Arial"/>
          <w:sz w:val="17"/>
          <w:szCs w:val="17"/>
          <w:i w:val="1"/>
          <w:iCs w:val="1"/>
          <w:color w:val="auto"/>
        </w:rPr>
        <w:t>Date of Topic 848</w:t>
      </w:r>
      <w:r>
        <w:rPr>
          <w:rFonts w:ascii="Arial" w:cs="Arial" w:eastAsia="Arial" w:hAnsi="Arial"/>
          <w:sz w:val="17"/>
          <w:szCs w:val="17"/>
          <w:color w:val="auto"/>
        </w:rPr>
        <w:t>, which amended the sunset date of the guidance in Topic 848 to December 31, 2024 from December 31, 2022. We adopted the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as of January 1, 2023. As a result of the planned phase out of the LIBOR as a reference rate and adoption of ASU 2020-04 and ASU 2021-01, we have amended our Credit Agreement and interest rate swaps and applied practical expedients under the guidance. The adoption did not have a material impact on our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September 2022, FASB issued ASU 2022-04, </w:t>
      </w:r>
      <w:r>
        <w:rPr>
          <w:rFonts w:ascii="Arial" w:cs="Arial" w:eastAsia="Arial" w:hAnsi="Arial"/>
          <w:sz w:val="18"/>
          <w:szCs w:val="18"/>
          <w:i w:val="1"/>
          <w:iCs w:val="1"/>
          <w:color w:val="auto"/>
        </w:rPr>
        <w:t>Liabilities - Supplier Finance Programs (Subtopic 405-50): Disclosure of Supplier Finance Program</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 These amendments require disclosure of the key terms of outstanding supplier finance programs and a rollforward of the related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These amendments are effective for fiscal years beginning after December 31, 2022, except for the amendment on rollforward information, which is effective for fiscal years beginning after December 31, 2023. We adopted the standard as of January 1, 2023. The adoption relates to disclosure only, and does not have an impact on our condensed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center"/>
              <w:ind w:right="216"/>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center"/>
              <w:ind w:right="255"/>
              <w:spacing w:after="0"/>
              <w:rPr>
                <w:sz w:val="20"/>
                <w:szCs w:val="20"/>
                <w:color w:val="auto"/>
              </w:rPr>
            </w:pPr>
            <w:r>
              <w:rPr>
                <w:rFonts w:ascii="Arial" w:cs="Arial" w:eastAsia="Arial" w:hAnsi="Arial"/>
                <w:sz w:val="14"/>
                <w:szCs w:val="14"/>
                <w:b w:val="1"/>
                <w:bCs w:val="1"/>
                <w:color w:val="auto"/>
                <w:w w:val="90"/>
              </w:rPr>
              <w:t>December 31,</w:t>
            </w:r>
          </w:p>
        </w:tc>
      </w:tr>
      <w:tr>
        <w:trPr>
          <w:trHeight w:val="186"/>
        </w:trPr>
        <w:tc>
          <w:tcPr>
            <w:tcW w:w="8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center"/>
              <w:ind w:right="255"/>
              <w:spacing w:after="0"/>
              <w:rPr>
                <w:sz w:val="20"/>
                <w:szCs w:val="20"/>
                <w:color w:val="auto"/>
              </w:rPr>
            </w:pPr>
            <w:r>
              <w:rPr>
                <w:rFonts w:ascii="Arial" w:cs="Arial" w:eastAsia="Arial" w:hAnsi="Arial"/>
                <w:sz w:val="14"/>
                <w:szCs w:val="14"/>
                <w:b w:val="1"/>
                <w:bCs w:val="1"/>
                <w:color w:val="auto"/>
                <w:w w:val="96"/>
              </w:rPr>
              <w:t>2022</w:t>
            </w:r>
          </w:p>
        </w:tc>
      </w:tr>
      <w:tr>
        <w:trPr>
          <w:trHeight w:val="39"/>
        </w:trPr>
        <w:tc>
          <w:tcPr>
            <w:tcW w:w="81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4"/>
        </w:trPr>
        <w:tc>
          <w:tcPr>
            <w:tcW w:w="8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6"/>
                <w:szCs w:val="16"/>
                <w:color w:val="auto"/>
              </w:rPr>
            </w:pPr>
          </w:p>
        </w:tc>
      </w:tr>
      <w:tr>
        <w:trPr>
          <w:trHeight w:val="26"/>
        </w:trPr>
        <w:tc>
          <w:tcPr>
            <w:tcW w:w="8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8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63"/>
        </w:trPr>
        <w:tc>
          <w:tcPr>
            <w:tcW w:w="8140" w:type="dxa"/>
            <w:vAlign w:val="bottom"/>
          </w:tcPr>
          <w:p>
            <w:pPr>
              <w:ind w:left="20"/>
              <w:spacing w:after="0"/>
              <w:rPr>
                <w:sz w:val="20"/>
                <w:szCs w:val="20"/>
                <w:color w:val="auto"/>
              </w:rPr>
            </w:pPr>
            <w:r>
              <w:rPr>
                <w:rFonts w:ascii="Arial" w:cs="Arial" w:eastAsia="Arial" w:hAnsi="Arial"/>
                <w:sz w:val="18"/>
                <w:szCs w:val="18"/>
                <w:color w:val="auto"/>
              </w:rPr>
              <w:t>Spare parts</w:t>
            </w: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8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614</w:t>
            </w:r>
          </w:p>
        </w:tc>
        <w:tc>
          <w:tcPr>
            <w:tcW w:w="4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722</w:t>
            </w:r>
          </w:p>
        </w:tc>
      </w:tr>
      <w:tr>
        <w:trPr>
          <w:trHeight w:val="696"/>
        </w:trPr>
        <w:tc>
          <w:tcPr>
            <w:tcW w:w="81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4 – Debt</w:t>
            </w: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324"/>
        </w:trPr>
        <w:tc>
          <w:tcPr>
            <w:tcW w:w="8140" w:type="dxa"/>
            <w:vAlign w:val="bottom"/>
          </w:tcPr>
          <w:p>
            <w:pPr>
              <w:spacing w:after="0"/>
              <w:rPr>
                <w:sz w:val="20"/>
                <w:szCs w:val="20"/>
                <w:color w:val="auto"/>
              </w:rPr>
            </w:pPr>
            <w:r>
              <w:rPr>
                <w:rFonts w:ascii="Arial" w:cs="Arial" w:eastAsia="Arial" w:hAnsi="Arial"/>
                <w:sz w:val="18"/>
                <w:szCs w:val="18"/>
                <w:color w:val="auto"/>
              </w:rPr>
              <w:t>Long-term debt consisted of the following:</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50"/>
        </w:trPr>
        <w:tc>
          <w:tcPr>
            <w:tcW w:w="8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216"/>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center"/>
              <w:ind w:right="235"/>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8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center"/>
              <w:ind w:right="235"/>
              <w:spacing w:after="0"/>
              <w:rPr>
                <w:sz w:val="20"/>
                <w:szCs w:val="20"/>
                <w:color w:val="auto"/>
              </w:rPr>
            </w:pPr>
            <w:r>
              <w:rPr>
                <w:rFonts w:ascii="Arial" w:cs="Arial" w:eastAsia="Arial" w:hAnsi="Arial"/>
                <w:sz w:val="14"/>
                <w:szCs w:val="14"/>
                <w:b w:val="1"/>
                <w:bCs w:val="1"/>
                <w:color w:val="auto"/>
                <w:w w:val="89"/>
              </w:rPr>
              <w:t>2022</w:t>
            </w:r>
          </w:p>
        </w:tc>
      </w:tr>
      <w:tr>
        <w:trPr>
          <w:trHeight w:val="25"/>
        </w:trPr>
        <w:tc>
          <w:tcPr>
            <w:tcW w:w="8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8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6"/>
                <w:szCs w:val="16"/>
                <w:color w:val="auto"/>
              </w:rPr>
            </w:pPr>
          </w:p>
        </w:tc>
      </w:tr>
      <w:tr>
        <w:trPr>
          <w:trHeight w:val="39"/>
        </w:trPr>
        <w:tc>
          <w:tcPr>
            <w:tcW w:w="8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4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Deferred financing transaction costs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Original issue discounts</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2,091</w:t>
            </w:r>
          </w:p>
        </w:tc>
      </w:tr>
      <w:tr>
        <w:trPr>
          <w:trHeight w:val="27"/>
        </w:trPr>
        <w:tc>
          <w:tcPr>
            <w:tcW w:w="8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7"/>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2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2,056</w:t>
            </w:r>
          </w:p>
        </w:tc>
        <w:tc>
          <w:tcPr>
            <w:tcW w:w="120" w:type="dxa"/>
            <w:vAlign w:val="bottom"/>
            <w:gridSpan w:val="2"/>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2,066</w:t>
            </w: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Debt Facilities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2020, we entered into external debt facilities (“External Debt Facilities”), which consist of (i) a $2,475 million senior secured term loan facility (“Term Loan Facility”); and (ii) a $250 million senior secured revolving credit facility (“Revolving Facility”). In February 2023 we amended the External Debt Facilities (as amended, the “Amended External Debt Facilities”) which replaced the interest rate benchmark from the LIBOR to the Secured Overnight Financing Rate (“SOFR”). Other than the foregoing, the material terms of the External Debt Facilities remain unchanged, and our election to use practical expedients under ASU 2020-04 and ASU 2021-01, as described in Note 2 - New Accounting Standards, resulted in no material impacts on our condensed consolidated financial statements.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Borrowings under the Amended External Debt Facilities bear interest at a rate per annum equal to, at our option, either a base rate plus an applicable margin of 0.75% or SOFR plus an applicable margin of 1.75%. During September 2020, May 2022 and August 2022, we entered into a series of interest rate swaps to hedge a portion of the interest rate exposure resulting from these borrowings. In conjunction with the amendment of our External Debt Facilities, we amended the outstanding interest rate swaps to replace the interest rate benchmark from the LIBOR to SOFR. Refer to Note 5 – Financial Instruments for further details.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Amended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Amended External Debt Facilities.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 event of default occurs, the lenders under the Amended External Debt Facilities are entitled to take various actions, including the acceleration of amounts due under the Amended External Debt Facilities and all actions permitted to be taken by secured creditors.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Facility matures in February 2027. The Term Loan Facility amortizes in equal quarterly installments of $6 million, which commenced in June 2020, with the balance payable on maturity.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Facility</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Revolving Facility matures in February 2025 and includes a sub-facility for letters of credit. As of June 30, 2023, we had no outstanding borrowings under the Revolving Facility, and we had $6 million of letters of credit outstanding, which reduces the borrowing capacity under the Revolving Facility.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Long-Term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our long-term debt as of June 30, 2023, which is a Level 2 fair value measurement, approximates the carrying value due to the variable market interest rate and the stability of our credit profile.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Derivatives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2020 and 2022, we entered into a series of interest rate swaps to fix the LIBOR of our External Debt Facilities. In February 2023, we amended our interest rate swaps to replace the interest rate benchmark from the LIBOR to SOFR. Other than the foregoing, the material terms of the interest rate swap agreements remained unchanged, and our election to use practical expedients under ASUs 2020-04 and 2021-01, as described in Note 2 - New Accounting Standards, resulted in no material impacts on our condensed consolidated financial statements. After the amendments, the aggregate notional amount of the interest rate swaps still in effect as of June 30, 2023 was $1,150 million, and the SOFR is fixed at an annual rate of 0.40% to 3.40% (for an annual effective interest rate of 2.15% to 5.15%, including margin).</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interest rate swaps outstanding as of June 30, 2023 hedge a portion of the interest rate exposure resulting from our Term Loan Facility for periods ranging from two to three years. We classified these instruments as cash flow hedges. The effective portion of the gain or loss on the open hedging instrument is recorded in accumulated other comprehensive income and is reclassified into earnings as interest expense, net when settled. The associated asset or liability on the open hedges is recorded at its fair value in other assets or other liabilities, as applicable. The fair value of the interest rate swaps was determined using a discounted cash flow method based on market-based swap yield curves, taking into account current interest rates, and is classified as Level 2 within the fair value hierarchy.</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the notional amounts, the annual rates, the weighted average annual effective rates, and the fair value of our interest rate derivatives: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w w:val="93"/>
              </w:rPr>
              <w:t>Weighted Average Annual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ind w:right="139"/>
              <w:spacing w:after="0"/>
              <w:rPr>
                <w:sz w:val="20"/>
                <w:szCs w:val="20"/>
                <w:color w:val="auto"/>
              </w:rPr>
            </w:pPr>
            <w:r>
              <w:rPr>
                <w:rFonts w:ascii="Arial" w:cs="Arial" w:eastAsia="Arial" w:hAnsi="Arial"/>
                <w:sz w:val="14"/>
                <w:szCs w:val="14"/>
                <w:b w:val="1"/>
                <w:bCs w:val="1"/>
                <w:color w:val="auto"/>
                <w:w w:val="99"/>
              </w:rPr>
              <w:t>Fair Value - Other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ind w:right="119"/>
              <w:spacing w:after="0"/>
              <w:rPr>
                <w:sz w:val="20"/>
                <w:szCs w:val="20"/>
                <w:color w:val="auto"/>
              </w:rPr>
            </w:pPr>
            <w:r>
              <w:rPr>
                <w:rFonts w:ascii="Arial" w:cs="Arial" w:eastAsia="Arial" w:hAnsi="Arial"/>
                <w:sz w:val="14"/>
                <w:szCs w:val="14"/>
                <w:b w:val="1"/>
                <w:bCs w:val="1"/>
                <w:color w:val="auto"/>
                <w:w w:val="99"/>
              </w:rPr>
              <w:t>Fair Value - Other</w:t>
            </w:r>
          </w:p>
        </w:tc>
      </w:tr>
      <w:tr>
        <w:trPr>
          <w:trHeight w:val="186"/>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380" w:type="dxa"/>
            <w:vAlign w:val="bottom"/>
          </w:tcPr>
          <w:p>
            <w:pPr>
              <w:jc w:val="right"/>
              <w:ind w:right="176"/>
              <w:spacing w:after="0"/>
              <w:rPr>
                <w:sz w:val="20"/>
                <w:szCs w:val="20"/>
                <w:color w:val="auto"/>
              </w:rPr>
            </w:pPr>
            <w:r>
              <w:rPr>
                <w:rFonts w:ascii="Arial" w:cs="Arial" w:eastAsia="Arial" w:hAnsi="Arial"/>
                <w:sz w:val="14"/>
                <w:szCs w:val="14"/>
                <w:b w:val="1"/>
                <w:bCs w:val="1"/>
                <w:color w:val="auto"/>
                <w:w w:val="97"/>
              </w:rPr>
              <w:t>Notional Amount</w:t>
            </w: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Annual Rate</w:t>
            </w:r>
          </w:p>
        </w:tc>
        <w:tc>
          <w:tcPr>
            <w:tcW w:w="100" w:type="dxa"/>
            <w:vAlign w:val="bottom"/>
          </w:tcPr>
          <w:p>
            <w:pPr>
              <w:spacing w:after="0"/>
              <w:rPr>
                <w:sz w:val="16"/>
                <w:szCs w:val="16"/>
                <w:color w:val="auto"/>
              </w:rPr>
            </w:pPr>
          </w:p>
        </w:tc>
        <w:tc>
          <w:tcPr>
            <w:tcW w:w="1680" w:type="dxa"/>
            <w:vAlign w:val="bottom"/>
          </w:tcPr>
          <w:p>
            <w:pPr>
              <w:jc w:val="right"/>
              <w:ind w:right="328"/>
              <w:spacing w:after="0"/>
              <w:rPr>
                <w:sz w:val="20"/>
                <w:szCs w:val="20"/>
                <w:color w:val="auto"/>
              </w:rPr>
            </w:pPr>
            <w:r>
              <w:rPr>
                <w:rFonts w:ascii="Arial" w:cs="Arial" w:eastAsia="Arial" w:hAnsi="Arial"/>
                <w:sz w:val="14"/>
                <w:szCs w:val="14"/>
                <w:b w:val="1"/>
                <w:bCs w:val="1"/>
                <w:color w:val="auto"/>
              </w:rPr>
              <w:t>Effective Rate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239"/>
              <w:spacing w:after="0"/>
              <w:rPr>
                <w:sz w:val="20"/>
                <w:szCs w:val="20"/>
                <w:color w:val="auto"/>
              </w:rPr>
            </w:pPr>
            <w:r>
              <w:rPr>
                <w:rFonts w:ascii="Arial" w:cs="Arial" w:eastAsia="Arial" w:hAnsi="Arial"/>
                <w:sz w:val="14"/>
                <w:szCs w:val="14"/>
                <w:b w:val="1"/>
                <w:bCs w:val="1"/>
                <w:color w:val="auto"/>
              </w:rPr>
              <w:t>Current Assets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499"/>
              <w:spacing w:after="0"/>
              <w:rPr>
                <w:sz w:val="20"/>
                <w:szCs w:val="20"/>
                <w:color w:val="auto"/>
              </w:rPr>
            </w:pPr>
            <w:r>
              <w:rPr>
                <w:rFonts w:ascii="Arial" w:cs="Arial" w:eastAsia="Arial" w:hAnsi="Arial"/>
                <w:sz w:val="14"/>
                <w:szCs w:val="14"/>
                <w:b w:val="1"/>
                <w:bCs w:val="1"/>
                <w:color w:val="auto"/>
              </w:rPr>
              <w:t>Assets</w:t>
            </w:r>
          </w:p>
        </w:tc>
      </w:tr>
      <w:tr>
        <w:trPr>
          <w:trHeight w:val="39"/>
        </w:trPr>
        <w:tc>
          <w:tcPr>
            <w:tcW w:w="29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June 30,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2.15% to 5.15%</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4.38 %</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303"/>
        </w:trPr>
        <w:tc>
          <w:tcPr>
            <w:tcW w:w="2960" w:type="dxa"/>
            <w:vAlign w:val="bottom"/>
          </w:tcPr>
          <w:p>
            <w:pPr>
              <w:ind w:left="20"/>
              <w:spacing w:after="0" w:line="207" w:lineRule="exact"/>
              <w:rPr>
                <w:sz w:val="20"/>
                <w:szCs w:val="20"/>
                <w:color w:val="auto"/>
              </w:rPr>
            </w:pPr>
            <w:r>
              <w:rPr>
                <w:rFonts w:ascii="Arial" w:cs="Arial" w:eastAsia="Arial" w:hAnsi="Arial"/>
                <w:sz w:val="18"/>
                <w:szCs w:val="18"/>
                <w:color w:val="auto"/>
              </w:rPr>
              <w:t>As of December 31, 2022</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2.19% to 5.19%</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4.42 %</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7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the interest rate swaps prior to the amendments entered into in February 2023, which was based on the LIBOR as of December 31, 2022.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6 – Stock-based Compensation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equity incentive plan was established in 2020, for purposes of granting stock-based compensation awards to certain members of our senior management, our non-executive directors and to certain employees, to incentivize their performance and align their interests with ours. We have granted restricted stock units (“RSUs”) to certain employees and non-employee directors that have a service-based vesting condition. In addition, we have granted performance stock units (“PSUs”) to certain members of management that have a performance-based vesting condition. We account for forfeitures of outstanding but unvested grants in the period they occur. A maximum of 10.5 million shares of common stock were initially available for issuance under equity incentive awards granted pursuant to the plan. In the three and six months ended June 30, 2023, zero and 0.2 million RSUs and zero and 0.2 million PSUs were granted, respectively.</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there were stock-based compensation awards representing 0.7 million shares outstanding compared to 0.4 million shares outstanding as of December 31, 2022. Stock-based compensation expense was $3 million and $6 million for the three and six months ended June 30, 2023, respectively, compared to $2 million and $3 million in the comparable prior year periods.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from time to time party to litigation, legal proceedings and tax examinations arising from our operations. Most of these matters involve allegations of damages against us relating to employment matters, consumer complaints, personal injury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as of June 30, 2023,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8 – Accumulated 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our balances of each component of accumulated other comprehensive income.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w w:val="99"/>
              </w:rPr>
              <w:t>Currency Translation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Employee Benefit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71"/>
              <w:spacing w:after="0"/>
              <w:rPr>
                <w:sz w:val="20"/>
                <w:szCs w:val="20"/>
                <w:color w:val="auto"/>
              </w:rPr>
            </w:pPr>
            <w:r>
              <w:rPr>
                <w:rFonts w:ascii="Arial" w:cs="Arial" w:eastAsia="Arial" w:hAnsi="Arial"/>
                <w:sz w:val="14"/>
                <w:szCs w:val="14"/>
                <w:b w:val="1"/>
                <w:bCs w:val="1"/>
                <w:color w:val="auto"/>
                <w:w w:val="94"/>
              </w:rPr>
              <w:t>Accumulated Other</w:t>
            </w:r>
          </w:p>
        </w:tc>
      </w:tr>
      <w:tr>
        <w:trPr>
          <w:trHeight w:val="200"/>
        </w:trPr>
        <w:tc>
          <w:tcPr>
            <w:tcW w:w="49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1260" w:type="dxa"/>
            <w:vAlign w:val="bottom"/>
          </w:tcPr>
          <w:p>
            <w:pPr>
              <w:ind w:left="12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492"/>
              <w:spacing w:after="0"/>
              <w:rPr>
                <w:sz w:val="20"/>
                <w:szCs w:val="20"/>
                <w:color w:val="auto"/>
              </w:rPr>
            </w:pPr>
            <w:r>
              <w:rPr>
                <w:rFonts w:ascii="Arial" w:cs="Arial" w:eastAsia="Arial" w:hAnsi="Arial"/>
                <w:sz w:val="14"/>
                <w:szCs w:val="14"/>
                <w:b w:val="1"/>
                <w:bCs w:val="1"/>
                <w:color w:val="auto"/>
              </w:rPr>
              <w:t>Plans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312"/>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Comprehensive Income</w:t>
            </w:r>
          </w:p>
        </w:tc>
      </w:tr>
      <w:tr>
        <w:trPr>
          <w:trHeight w:val="26"/>
        </w:trPr>
        <w:tc>
          <w:tcPr>
            <w:tcW w:w="4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w w:val="99"/>
              </w:rPr>
              <w:t>(6)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r>
      <w:tr>
        <w:trPr>
          <w:trHeight w:val="243"/>
        </w:trPr>
        <w:tc>
          <w:tcPr>
            <w:tcW w:w="4960" w:type="dxa"/>
            <w:vAlign w:val="bottom"/>
          </w:tcPr>
          <w:p>
            <w:pPr>
              <w:ind w:left="140"/>
              <w:spacing w:after="0"/>
              <w:rPr>
                <w:sz w:val="20"/>
                <w:szCs w:val="20"/>
                <w:color w:val="auto"/>
              </w:rPr>
            </w:pPr>
            <w:r>
              <w:rPr>
                <w:rFonts w:ascii="Arial" w:cs="Arial" w:eastAsia="Arial" w:hAnsi="Arial"/>
                <w:sz w:val="18"/>
                <w:szCs w:val="18"/>
                <w:color w:val="auto"/>
              </w:rPr>
              <w:t>Gain arising during the period</w:t>
            </w:r>
          </w:p>
        </w:tc>
        <w:tc>
          <w:tcPr>
            <w:tcW w:w="240" w:type="dxa"/>
            <w:vAlign w:val="bottom"/>
          </w:tcPr>
          <w:p>
            <w:pPr>
              <w:spacing w:after="0"/>
              <w:rPr>
                <w:sz w:val="21"/>
                <w:szCs w:val="21"/>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960" w:type="dxa"/>
            <w:vAlign w:val="bottom"/>
          </w:tcPr>
          <w:p>
            <w:pPr>
              <w:ind w:left="140"/>
              <w:spacing w:after="0"/>
              <w:rPr>
                <w:sz w:val="20"/>
                <w:szCs w:val="20"/>
                <w:color w:val="auto"/>
              </w:rPr>
            </w:pPr>
            <w:r>
              <w:rPr>
                <w:rFonts w:ascii="Arial" w:cs="Arial" w:eastAsia="Arial" w:hAnsi="Arial"/>
                <w:sz w:val="18"/>
                <w:szCs w:val="18"/>
                <w:color w:val="auto"/>
              </w:rPr>
              <w:t>Effect of deferred taxes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2022</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w w:val="99"/>
              </w:rPr>
              <w:t>(6)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r>
      <w:tr>
        <w:trPr>
          <w:trHeight w:val="243"/>
        </w:trPr>
        <w:tc>
          <w:tcPr>
            <w:tcW w:w="4960" w:type="dxa"/>
            <w:vAlign w:val="bottom"/>
          </w:tcPr>
          <w:p>
            <w:pPr>
              <w:ind w:left="140"/>
              <w:spacing w:after="0"/>
              <w:rPr>
                <w:sz w:val="20"/>
                <w:szCs w:val="20"/>
                <w:color w:val="auto"/>
              </w:rPr>
            </w:pPr>
            <w:r>
              <w:rPr>
                <w:rFonts w:ascii="Arial" w:cs="Arial" w:eastAsia="Arial" w:hAnsi="Arial"/>
                <w:sz w:val="18"/>
                <w:szCs w:val="18"/>
                <w:color w:val="auto"/>
              </w:rPr>
              <w:t>Gain arising during the period</w:t>
            </w:r>
          </w:p>
        </w:tc>
        <w:tc>
          <w:tcPr>
            <w:tcW w:w="240" w:type="dxa"/>
            <w:vAlign w:val="bottom"/>
          </w:tcPr>
          <w:p>
            <w:pPr>
              <w:spacing w:after="0"/>
              <w:rPr>
                <w:sz w:val="21"/>
                <w:szCs w:val="21"/>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4960" w:type="dxa"/>
            <w:vAlign w:val="bottom"/>
          </w:tcPr>
          <w:p>
            <w:pPr>
              <w:ind w:left="140"/>
              <w:spacing w:after="0"/>
              <w:rPr>
                <w:sz w:val="20"/>
                <w:szCs w:val="20"/>
                <w:color w:val="auto"/>
              </w:rPr>
            </w:pPr>
            <w:r>
              <w:rPr>
                <w:rFonts w:ascii="Arial" w:cs="Arial" w:eastAsia="Arial" w:hAnsi="Arial"/>
                <w:sz w:val="18"/>
                <w:szCs w:val="18"/>
                <w:color w:val="auto"/>
              </w:rPr>
              <w:t>Effect of deferred taxes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9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2022</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w w:val="99"/>
              </w:rPr>
              <w:t>(6)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w w:val="99"/>
              </w:rPr>
              <w:t>(7)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r>
      <w:tr>
        <w:trPr>
          <w:trHeight w:val="243"/>
        </w:trPr>
        <w:tc>
          <w:tcPr>
            <w:tcW w:w="4960" w:type="dxa"/>
            <w:vAlign w:val="bottom"/>
          </w:tcPr>
          <w:p>
            <w:pPr>
              <w:ind w:left="140"/>
              <w:spacing w:after="0"/>
              <w:rPr>
                <w:sz w:val="20"/>
                <w:szCs w:val="20"/>
                <w:color w:val="auto"/>
              </w:rPr>
            </w:pPr>
            <w:r>
              <w:rPr>
                <w:rFonts w:ascii="Arial" w:cs="Arial" w:eastAsia="Arial" w:hAnsi="Arial"/>
                <w:sz w:val="18"/>
                <w:szCs w:val="18"/>
                <w:color w:val="auto"/>
              </w:rPr>
              <w:t>Loss arising during the period</w:t>
            </w:r>
          </w:p>
        </w:tc>
        <w:tc>
          <w:tcPr>
            <w:tcW w:w="240" w:type="dxa"/>
            <w:vAlign w:val="bottom"/>
          </w:tcPr>
          <w:p>
            <w:pPr>
              <w:spacing w:after="0"/>
              <w:rPr>
                <w:sz w:val="21"/>
                <w:szCs w:val="21"/>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4960" w:type="dxa"/>
            <w:vAlign w:val="bottom"/>
          </w:tcPr>
          <w:p>
            <w:pPr>
              <w:ind w:left="140"/>
              <w:spacing w:after="0"/>
              <w:rPr>
                <w:sz w:val="20"/>
                <w:szCs w:val="20"/>
                <w:color w:val="auto"/>
              </w:rPr>
            </w:pPr>
            <w:r>
              <w:rPr>
                <w:rFonts w:ascii="Arial" w:cs="Arial" w:eastAsia="Arial" w:hAnsi="Arial"/>
                <w:sz w:val="18"/>
                <w:szCs w:val="18"/>
                <w:color w:val="auto"/>
              </w:rPr>
              <w:t>Effect of deferred taxes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2023</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w w:val="99"/>
              </w:rPr>
              <w:t>(7)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r>
      <w:tr>
        <w:trPr>
          <w:trHeight w:val="243"/>
        </w:trPr>
        <w:tc>
          <w:tcPr>
            <w:tcW w:w="4960" w:type="dxa"/>
            <w:vAlign w:val="bottom"/>
          </w:tcPr>
          <w:p>
            <w:pPr>
              <w:ind w:left="140"/>
              <w:spacing w:after="0"/>
              <w:rPr>
                <w:sz w:val="20"/>
                <w:szCs w:val="20"/>
                <w:color w:val="auto"/>
              </w:rPr>
            </w:pPr>
            <w:r>
              <w:rPr>
                <w:rFonts w:ascii="Arial" w:cs="Arial" w:eastAsia="Arial" w:hAnsi="Arial"/>
                <w:sz w:val="18"/>
                <w:szCs w:val="18"/>
                <w:color w:val="auto"/>
              </w:rPr>
              <w:t>Gain arising during the period</w:t>
            </w:r>
          </w:p>
        </w:tc>
        <w:tc>
          <w:tcPr>
            <w:tcW w:w="240" w:type="dxa"/>
            <w:vAlign w:val="bottom"/>
          </w:tcPr>
          <w:p>
            <w:pPr>
              <w:spacing w:after="0"/>
              <w:rPr>
                <w:sz w:val="21"/>
                <w:szCs w:val="21"/>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63"/>
        </w:trPr>
        <w:tc>
          <w:tcPr>
            <w:tcW w:w="4960" w:type="dxa"/>
            <w:vAlign w:val="bottom"/>
          </w:tcPr>
          <w:p>
            <w:pPr>
              <w:ind w:left="140"/>
              <w:spacing w:after="0"/>
              <w:rPr>
                <w:sz w:val="20"/>
                <w:szCs w:val="20"/>
                <w:color w:val="auto"/>
              </w:rPr>
            </w:pPr>
            <w:r>
              <w:rPr>
                <w:rFonts w:ascii="Arial" w:cs="Arial" w:eastAsia="Arial" w:hAnsi="Arial"/>
                <w:sz w:val="18"/>
                <w:szCs w:val="18"/>
                <w:color w:val="auto"/>
              </w:rPr>
              <w:t>Effect of deferred taxes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9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w w:val="99"/>
              </w:rPr>
              <w:t>(7)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Chief Executive Officer, who has been identified as our Chief Operating Decision Maker (“CODM”), has evaluated how he views and measures our performance. In applying the criteria set forth in the standards for reporting information about segments in financial statements, we have determined that 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 Our segments are described as follows: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Reynolds Cooking &amp; Baking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Reynolds Cooking &amp; Baking segment produces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Waste &amp; Storage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Hefty Waste &amp; Storage segment produces both branded and store brand trash and food storage bags. Our branded products are sold under the Hefty Ultra Strong and Hefty Strong brands for trash bags, and as the Hefty and Baggies brands for our food storage bags.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 w:name="page14"/>
    <w:bookmarkEnd w:id="13"/>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Tableware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Hefty Tableware segment sells both branded and store brand disposable and compostable plates, bowls, platters, cups and cutlery. Our Hefty branded products include dishes and party cups.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Products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Presto Products segment primarily sells store brand products in four main categories: food storage bags, trash bags, reusable storage containers and plastic wrap. Our Presto Products segment also includes our specialty business, which serves other consumer products companies by providing Fresh-Lock and Slide-Rite resealable closure systems.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by Segment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segment adjusted EBITDA (“Adjusted EBITDA”) as this is the financial measure by which management and our CODM allocate resources and analyze the performance of our reportable segments.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represents each segment’s earnings before interest, tax, depreciation and amortization and is further adjusted to exclude IPO and separation-related costs.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Transactions between segments are at negotiated prices.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Reynolds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Hefty</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Cooking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Waste &amp;</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5"/>
              <w:spacing w:after="0"/>
              <w:rPr>
                <w:sz w:val="20"/>
                <w:szCs w:val="20"/>
                <w:color w:val="auto"/>
              </w:rPr>
            </w:pPr>
            <w:r>
              <w:rPr>
                <w:rFonts w:ascii="Arial" w:cs="Arial" w:eastAsia="Arial" w:hAnsi="Arial"/>
                <w:sz w:val="14"/>
                <w:szCs w:val="14"/>
                <w:b w:val="1"/>
                <w:bCs w:val="1"/>
                <w:color w:val="auto"/>
                <w:w w:val="97"/>
              </w:rPr>
              <w:t>Hefty</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237"/>
              <w:spacing w:after="0"/>
              <w:rPr>
                <w:sz w:val="20"/>
                <w:szCs w:val="20"/>
                <w:color w:val="auto"/>
              </w:rPr>
            </w:pPr>
            <w:r>
              <w:rPr>
                <w:rFonts w:ascii="Arial" w:cs="Arial" w:eastAsia="Arial" w:hAnsi="Arial"/>
                <w:sz w:val="14"/>
                <w:szCs w:val="14"/>
                <w:b w:val="1"/>
                <w:bCs w:val="1"/>
                <w:color w:val="auto"/>
              </w:rPr>
              <w:t>Presto</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95"/>
              <w:spacing w:after="0"/>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Unallocated</w:t>
            </w:r>
            <w:r>
              <w:rPr>
                <w:rFonts w:ascii="Arial" w:cs="Arial" w:eastAsia="Arial" w:hAnsi="Arial"/>
                <w:sz w:val="18"/>
                <w:szCs w:val="18"/>
                <w:b w:val="1"/>
                <w:bCs w:val="1"/>
                <w:color w:val="auto"/>
                <w:vertAlign w:val="superscript"/>
              </w:rPr>
              <w:t>(1)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&amp; Baking</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8"/>
              </w:rPr>
              <w:t>Storage</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Tableware</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Products</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Three Months Ended June 30, 2023</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Arial" w:cs="Arial" w:eastAsia="Arial" w:hAnsi="Arial"/>
                <w:sz w:val="14"/>
                <w:szCs w:val="14"/>
                <w:b w:val="1"/>
                <w:bCs w:val="1"/>
                <w:color w:val="auto"/>
                <w:w w:val="99"/>
              </w:rPr>
              <w:t>(in millions)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center"/>
              <w:ind w:left="734"/>
              <w:spacing w:after="0"/>
              <w:rPr>
                <w:sz w:val="20"/>
                <w:szCs w:val="20"/>
                <w:color w:val="auto"/>
              </w:rPr>
            </w:pPr>
            <w:r>
              <w:rPr>
                <w:rFonts w:ascii="Arial" w:cs="Arial" w:eastAsia="Arial" w:hAnsi="Arial"/>
                <w:sz w:val="18"/>
                <w:szCs w:val="18"/>
                <w:color w:val="auto"/>
                <w:w w:val="99"/>
              </w:rPr>
              <w:t>(3)</w:t>
            </w: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940</w:t>
            </w:r>
          </w:p>
        </w:tc>
        <w:tc>
          <w:tcPr>
            <w:tcW w:w="0" w:type="dxa"/>
            <w:vAlign w:val="bottom"/>
          </w:tcPr>
          <w:p>
            <w:pPr>
              <w:spacing w:after="0"/>
              <w:rPr>
                <w:sz w:val="1"/>
                <w:szCs w:val="1"/>
                <w:color w:val="auto"/>
              </w:rPr>
            </w:pPr>
          </w:p>
        </w:tc>
      </w:tr>
      <w:tr>
        <w:trPr>
          <w:trHeight w:val="263"/>
        </w:trPr>
        <w:tc>
          <w:tcPr>
            <w:tcW w:w="3200" w:type="dxa"/>
            <w:vAlign w:val="bottom"/>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left="734"/>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734"/>
              <w:spacing w:after="0"/>
              <w:rPr>
                <w:sz w:val="20"/>
                <w:szCs w:val="20"/>
                <w:color w:val="auto"/>
              </w:rPr>
            </w:pPr>
            <w:r>
              <w:rPr>
                <w:rFonts w:ascii="Arial" w:cs="Arial" w:eastAsia="Arial" w:hAnsi="Arial"/>
                <w:sz w:val="18"/>
                <w:szCs w:val="18"/>
                <w:color w:val="auto"/>
                <w:w w:val="99"/>
              </w:rPr>
              <w:t>(6)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left="754"/>
              <w:spacing w:after="0"/>
              <w:rPr>
                <w:sz w:val="20"/>
                <w:szCs w:val="20"/>
                <w:color w:val="auto"/>
              </w:rPr>
            </w:pPr>
            <w:r>
              <w:rPr>
                <w:rFonts w:ascii="Arial" w:cs="Arial" w:eastAsia="Arial" w:hAnsi="Arial"/>
                <w:sz w:val="18"/>
                <w:szCs w:val="18"/>
                <w:color w:val="auto"/>
                <w:w w:val="79"/>
              </w:rPr>
              <w:t>9</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450"/>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Reynolds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Hefty</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Cooking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Waste &amp;</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5"/>
              <w:spacing w:after="0"/>
              <w:rPr>
                <w:sz w:val="20"/>
                <w:szCs w:val="20"/>
                <w:color w:val="auto"/>
              </w:rPr>
            </w:pPr>
            <w:r>
              <w:rPr>
                <w:rFonts w:ascii="Arial" w:cs="Arial" w:eastAsia="Arial" w:hAnsi="Arial"/>
                <w:sz w:val="14"/>
                <w:szCs w:val="14"/>
                <w:b w:val="1"/>
                <w:bCs w:val="1"/>
                <w:color w:val="auto"/>
                <w:w w:val="97"/>
              </w:rPr>
              <w:t>Hefty</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237"/>
              <w:spacing w:after="0"/>
              <w:rPr>
                <w:sz w:val="20"/>
                <w:szCs w:val="20"/>
                <w:color w:val="auto"/>
              </w:rPr>
            </w:pPr>
            <w:r>
              <w:rPr>
                <w:rFonts w:ascii="Arial" w:cs="Arial" w:eastAsia="Arial" w:hAnsi="Arial"/>
                <w:sz w:val="14"/>
                <w:szCs w:val="14"/>
                <w:b w:val="1"/>
                <w:bCs w:val="1"/>
                <w:color w:val="auto"/>
              </w:rPr>
              <w:t>Presto</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95"/>
              <w:spacing w:after="0"/>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Unallocated</w:t>
            </w:r>
            <w:r>
              <w:rPr>
                <w:rFonts w:ascii="Arial" w:cs="Arial" w:eastAsia="Arial" w:hAnsi="Arial"/>
                <w:sz w:val="18"/>
                <w:szCs w:val="18"/>
                <w:b w:val="1"/>
                <w:bCs w:val="1"/>
                <w:color w:val="auto"/>
                <w:vertAlign w:val="superscript"/>
              </w:rPr>
              <w:t>(1)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&amp; Baking</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8"/>
              </w:rPr>
              <w:t>Storage</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Tableware</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Products</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Three Months Ended June 30, 2022</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Arial" w:cs="Arial" w:eastAsia="Arial" w:hAnsi="Arial"/>
                <w:sz w:val="14"/>
                <w:szCs w:val="14"/>
                <w:b w:val="1"/>
                <w:bCs w:val="1"/>
                <w:color w:val="auto"/>
                <w:w w:val="99"/>
              </w:rPr>
              <w:t>(in millions)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center"/>
              <w:ind w:left="734"/>
              <w:spacing w:after="0"/>
              <w:rPr>
                <w:sz w:val="20"/>
                <w:szCs w:val="20"/>
                <w:color w:val="auto"/>
              </w:rPr>
            </w:pPr>
            <w:r>
              <w:rPr>
                <w:rFonts w:ascii="Arial" w:cs="Arial" w:eastAsia="Arial" w:hAnsi="Arial"/>
                <w:sz w:val="18"/>
                <w:szCs w:val="18"/>
                <w:color w:val="auto"/>
                <w:w w:val="99"/>
              </w:rPr>
              <w:t>(2)</w:t>
            </w: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917</w:t>
            </w:r>
          </w:p>
        </w:tc>
        <w:tc>
          <w:tcPr>
            <w:tcW w:w="0" w:type="dxa"/>
            <w:vAlign w:val="bottom"/>
          </w:tcPr>
          <w:p>
            <w:pPr>
              <w:spacing w:after="0"/>
              <w:rPr>
                <w:sz w:val="1"/>
                <w:szCs w:val="1"/>
                <w:color w:val="auto"/>
              </w:rPr>
            </w:pPr>
          </w:p>
        </w:tc>
      </w:tr>
      <w:tr>
        <w:trPr>
          <w:trHeight w:val="263"/>
        </w:trPr>
        <w:tc>
          <w:tcPr>
            <w:tcW w:w="3200" w:type="dxa"/>
            <w:vAlign w:val="bottom"/>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left="734"/>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734"/>
              <w:spacing w:after="0"/>
              <w:rPr>
                <w:sz w:val="20"/>
                <w:szCs w:val="20"/>
                <w:color w:val="auto"/>
              </w:rPr>
            </w:pPr>
            <w:r>
              <w:rPr>
                <w:rFonts w:ascii="Arial" w:cs="Arial" w:eastAsia="Arial" w:hAnsi="Arial"/>
                <w:sz w:val="18"/>
                <w:szCs w:val="18"/>
                <w:color w:val="auto"/>
                <w:w w:val="99"/>
              </w:rPr>
              <w:t>(5)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917</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center"/>
              <w:ind w:left="754"/>
              <w:spacing w:after="0"/>
              <w:rPr>
                <w:sz w:val="20"/>
                <w:szCs w:val="20"/>
                <w:color w:val="auto"/>
              </w:rPr>
            </w:pPr>
            <w:r>
              <w:rPr>
                <w:rFonts w:ascii="Arial" w:cs="Arial" w:eastAsia="Arial" w:hAnsi="Arial"/>
                <w:sz w:val="18"/>
                <w:szCs w:val="18"/>
                <w:color w:val="auto"/>
                <w:w w:val="79"/>
              </w:rPr>
              <w:t>9</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Reynolds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Hefty</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Cooking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Waste &amp;</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rPr>
              <w:t>Hefty</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237"/>
              <w:spacing w:after="0"/>
              <w:rPr>
                <w:sz w:val="20"/>
                <w:szCs w:val="20"/>
                <w:color w:val="auto"/>
              </w:rPr>
            </w:pPr>
            <w:r>
              <w:rPr>
                <w:rFonts w:ascii="Arial" w:cs="Arial" w:eastAsia="Arial" w:hAnsi="Arial"/>
                <w:sz w:val="14"/>
                <w:szCs w:val="14"/>
                <w:b w:val="1"/>
                <w:bCs w:val="1"/>
                <w:color w:val="auto"/>
              </w:rPr>
              <w:t>Presto</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55"/>
              <w:spacing w:after="0"/>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3"/>
              </w:rPr>
              <w:t>Unallocated</w:t>
            </w:r>
            <w:r>
              <w:rPr>
                <w:rFonts w:ascii="Arial" w:cs="Arial" w:eastAsia="Arial" w:hAnsi="Arial"/>
                <w:sz w:val="18"/>
                <w:szCs w:val="18"/>
                <w:b w:val="1"/>
                <w:bCs w:val="1"/>
                <w:color w:val="auto"/>
                <w:w w:val="93"/>
                <w:vertAlign w:val="superscript"/>
              </w:rPr>
              <w:t>(1)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&amp; Baking</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8"/>
              </w:rPr>
              <w:t>Storage</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Tableware</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Products</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 2023</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Arial" w:cs="Arial" w:eastAsia="Arial" w:hAnsi="Arial"/>
                <w:sz w:val="14"/>
                <w:szCs w:val="14"/>
                <w:b w:val="1"/>
                <w:bCs w:val="1"/>
                <w:color w:val="auto"/>
                <w:w w:val="99"/>
              </w:rPr>
              <w:t>(in millions)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1,821</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1,814</w:t>
            </w:r>
          </w:p>
        </w:tc>
        <w:tc>
          <w:tcPr>
            <w:tcW w:w="0" w:type="dxa"/>
            <w:vAlign w:val="bottom"/>
          </w:tcPr>
          <w:p>
            <w:pPr>
              <w:spacing w:after="0"/>
              <w:rPr>
                <w:sz w:val="1"/>
                <w:szCs w:val="1"/>
                <w:color w:val="auto"/>
              </w:rPr>
            </w:pPr>
          </w:p>
        </w:tc>
      </w:tr>
      <w:tr>
        <w:trPr>
          <w:trHeight w:val="264"/>
        </w:trPr>
        <w:tc>
          <w:tcPr>
            <w:tcW w:w="3200" w:type="dxa"/>
            <w:vAlign w:val="bottom"/>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450"/>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Reynolds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Hefty</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Cooking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Waste &amp;</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rPr>
              <w:t>Hefty</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237"/>
              <w:spacing w:after="0"/>
              <w:rPr>
                <w:sz w:val="20"/>
                <w:szCs w:val="20"/>
                <w:color w:val="auto"/>
              </w:rPr>
            </w:pPr>
            <w:r>
              <w:rPr>
                <w:rFonts w:ascii="Arial" w:cs="Arial" w:eastAsia="Arial" w:hAnsi="Arial"/>
                <w:sz w:val="14"/>
                <w:szCs w:val="14"/>
                <w:b w:val="1"/>
                <w:bCs w:val="1"/>
                <w:color w:val="auto"/>
              </w:rPr>
              <w:t>Presto</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55"/>
              <w:spacing w:after="0"/>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3"/>
              </w:rPr>
              <w:t>Unallocated</w:t>
            </w:r>
            <w:r>
              <w:rPr>
                <w:rFonts w:ascii="Arial" w:cs="Arial" w:eastAsia="Arial" w:hAnsi="Arial"/>
                <w:sz w:val="18"/>
                <w:szCs w:val="18"/>
                <w:b w:val="1"/>
                <w:bCs w:val="1"/>
                <w:color w:val="auto"/>
                <w:w w:val="93"/>
                <w:vertAlign w:val="superscript"/>
              </w:rPr>
              <w:t>(1)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&amp; Baking</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8"/>
              </w:rPr>
              <w:t>Storage</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Tableware</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Products</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 2022</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Arial" w:cs="Arial" w:eastAsia="Arial" w:hAnsi="Arial"/>
                <w:sz w:val="14"/>
                <w:szCs w:val="14"/>
                <w:b w:val="1"/>
                <w:bCs w:val="1"/>
                <w:color w:val="auto"/>
                <w:w w:val="99"/>
              </w:rPr>
              <w:t>(in millions)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1,762</w:t>
            </w:r>
          </w:p>
        </w:tc>
        <w:tc>
          <w:tcPr>
            <w:tcW w:w="0" w:type="dxa"/>
            <w:vAlign w:val="bottom"/>
          </w:tcPr>
          <w:p>
            <w:pPr>
              <w:spacing w:after="0"/>
              <w:rPr>
                <w:sz w:val="1"/>
                <w:szCs w:val="1"/>
                <w:color w:val="auto"/>
              </w:rPr>
            </w:pPr>
          </w:p>
        </w:tc>
      </w:tr>
      <w:tr>
        <w:trPr>
          <w:trHeight w:val="264"/>
        </w:trPr>
        <w:tc>
          <w:tcPr>
            <w:tcW w:w="3200" w:type="dxa"/>
            <w:vAlign w:val="bottom"/>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1,762</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w w:val="88"/>
              </w:rPr>
              <w:t>Reynolds</w:t>
            </w:r>
          </w:p>
        </w:tc>
        <w:tc>
          <w:tcPr>
            <w:tcW w:w="280" w:type="dxa"/>
            <w:vAlign w:val="bottom"/>
          </w:tcPr>
          <w:p>
            <w:pPr>
              <w:spacing w:after="0"/>
              <w:rPr>
                <w:sz w:val="14"/>
                <w:szCs w:val="14"/>
                <w:color w:val="auto"/>
              </w:rPr>
            </w:pPr>
          </w:p>
        </w:tc>
        <w:tc>
          <w:tcPr>
            <w:tcW w:w="860" w:type="dxa"/>
            <w:vAlign w:val="bottom"/>
          </w:tcPr>
          <w:p>
            <w:pPr>
              <w:jc w:val="center"/>
              <w:ind w:right="141"/>
              <w:spacing w:after="0"/>
              <w:rPr>
                <w:sz w:val="20"/>
                <w:szCs w:val="20"/>
                <w:color w:val="auto"/>
              </w:rPr>
            </w:pPr>
            <w:r>
              <w:rPr>
                <w:rFonts w:ascii="Arial" w:cs="Arial" w:eastAsia="Arial" w:hAnsi="Arial"/>
                <w:sz w:val="14"/>
                <w:szCs w:val="14"/>
                <w:b w:val="1"/>
                <w:bCs w:val="1"/>
                <w:color w:val="auto"/>
              </w:rPr>
              <w:t>Hefty</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5"/>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Cooking</w:t>
            </w:r>
          </w:p>
        </w:tc>
        <w:tc>
          <w:tcPr>
            <w:tcW w:w="280" w:type="dxa"/>
            <w:vAlign w:val="bottom"/>
          </w:tcPr>
          <w:p>
            <w:pPr>
              <w:spacing w:after="0"/>
              <w:rPr>
                <w:sz w:val="15"/>
                <w:szCs w:val="15"/>
                <w:color w:val="auto"/>
              </w:rPr>
            </w:pPr>
          </w:p>
        </w:tc>
        <w:tc>
          <w:tcPr>
            <w:tcW w:w="860" w:type="dxa"/>
            <w:vAlign w:val="bottom"/>
          </w:tcPr>
          <w:p>
            <w:pPr>
              <w:jc w:val="center"/>
              <w:ind w:right="141"/>
              <w:spacing w:after="0"/>
              <w:rPr>
                <w:sz w:val="20"/>
                <w:szCs w:val="20"/>
                <w:color w:val="auto"/>
              </w:rPr>
            </w:pPr>
            <w:r>
              <w:rPr>
                <w:rFonts w:ascii="Arial" w:cs="Arial" w:eastAsia="Arial" w:hAnsi="Arial"/>
                <w:sz w:val="14"/>
                <w:szCs w:val="14"/>
                <w:b w:val="1"/>
                <w:bCs w:val="1"/>
                <w:color w:val="auto"/>
                <w:w w:val="94"/>
              </w:rPr>
              <w:t>Waste &amp;</w:t>
            </w:r>
          </w:p>
        </w:tc>
        <w:tc>
          <w:tcPr>
            <w:tcW w:w="240" w:type="dxa"/>
            <w:vAlign w:val="bottom"/>
          </w:tcPr>
          <w:p>
            <w:pPr>
              <w:spacing w:after="0"/>
              <w:rPr>
                <w:sz w:val="15"/>
                <w:szCs w:val="15"/>
                <w:color w:val="auto"/>
              </w:rPr>
            </w:pPr>
          </w:p>
        </w:tc>
        <w:tc>
          <w:tcPr>
            <w:tcW w:w="920" w:type="dxa"/>
            <w:vAlign w:val="bottom"/>
          </w:tcPr>
          <w:p>
            <w:pPr>
              <w:jc w:val="right"/>
              <w:ind w:right="299"/>
              <w:spacing w:after="0"/>
              <w:rPr>
                <w:sz w:val="20"/>
                <w:szCs w:val="20"/>
                <w:color w:val="auto"/>
              </w:rPr>
            </w:pPr>
            <w:r>
              <w:rPr>
                <w:rFonts w:ascii="Arial" w:cs="Arial" w:eastAsia="Arial" w:hAnsi="Arial"/>
                <w:sz w:val="14"/>
                <w:szCs w:val="14"/>
                <w:b w:val="1"/>
                <w:bCs w:val="1"/>
                <w:color w:val="auto"/>
              </w:rPr>
              <w:t>Hefty</w:t>
            </w:r>
          </w:p>
        </w:tc>
        <w:tc>
          <w:tcPr>
            <w:tcW w:w="260" w:type="dxa"/>
            <w:vAlign w:val="bottom"/>
          </w:tcPr>
          <w:p>
            <w:pPr>
              <w:spacing w:after="0"/>
              <w:rPr>
                <w:sz w:val="15"/>
                <w:szCs w:val="15"/>
                <w:color w:val="auto"/>
              </w:rPr>
            </w:pPr>
          </w:p>
        </w:tc>
        <w:tc>
          <w:tcPr>
            <w:tcW w:w="900" w:type="dxa"/>
            <w:vAlign w:val="bottom"/>
          </w:tcPr>
          <w:p>
            <w:pPr>
              <w:jc w:val="right"/>
              <w:ind w:right="281"/>
              <w:spacing w:after="0"/>
              <w:rPr>
                <w:sz w:val="20"/>
                <w:szCs w:val="20"/>
                <w:color w:val="auto"/>
              </w:rPr>
            </w:pPr>
            <w:r>
              <w:rPr>
                <w:rFonts w:ascii="Arial" w:cs="Arial" w:eastAsia="Arial" w:hAnsi="Arial"/>
                <w:sz w:val="14"/>
                <w:szCs w:val="14"/>
                <w:b w:val="1"/>
                <w:bCs w:val="1"/>
                <w:color w:val="auto"/>
              </w:rPr>
              <w:t>Presto</w:t>
            </w:r>
          </w:p>
        </w:tc>
        <w:tc>
          <w:tcPr>
            <w:tcW w:w="260" w:type="dxa"/>
            <w:vAlign w:val="bottom"/>
          </w:tcPr>
          <w:p>
            <w:pPr>
              <w:spacing w:after="0"/>
              <w:rPr>
                <w:sz w:val="15"/>
                <w:szCs w:val="15"/>
                <w:color w:val="auto"/>
              </w:rPr>
            </w:pPr>
          </w:p>
        </w:tc>
        <w:tc>
          <w:tcPr>
            <w:tcW w:w="86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Segment</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6"/>
        </w:trPr>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w w:val="98"/>
              </w:rPr>
              <w:t>&amp; Baking</w:t>
            </w:r>
          </w:p>
        </w:tc>
        <w:tc>
          <w:tcPr>
            <w:tcW w:w="280" w:type="dxa"/>
            <w:vAlign w:val="bottom"/>
          </w:tcPr>
          <w:p>
            <w:pPr>
              <w:spacing w:after="0"/>
              <w:rPr>
                <w:sz w:val="16"/>
                <w:szCs w:val="16"/>
                <w:color w:val="auto"/>
              </w:rPr>
            </w:pPr>
          </w:p>
        </w:tc>
        <w:tc>
          <w:tcPr>
            <w:tcW w:w="860" w:type="dxa"/>
            <w:vAlign w:val="bottom"/>
          </w:tcPr>
          <w:p>
            <w:pPr>
              <w:jc w:val="center"/>
              <w:ind w:right="141"/>
              <w:spacing w:after="0"/>
              <w:rPr>
                <w:sz w:val="20"/>
                <w:szCs w:val="20"/>
                <w:color w:val="auto"/>
              </w:rPr>
            </w:pPr>
            <w:r>
              <w:rPr>
                <w:rFonts w:ascii="Arial" w:cs="Arial" w:eastAsia="Arial" w:hAnsi="Arial"/>
                <w:sz w:val="14"/>
                <w:szCs w:val="14"/>
                <w:b w:val="1"/>
                <w:bCs w:val="1"/>
                <w:color w:val="auto"/>
                <w:w w:val="91"/>
              </w:rPr>
              <w:t>Storage</w:t>
            </w:r>
          </w:p>
        </w:tc>
        <w:tc>
          <w:tcPr>
            <w:tcW w:w="2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Tableware</w:t>
            </w:r>
          </w:p>
        </w:tc>
        <w:tc>
          <w:tcPr>
            <w:tcW w:w="260" w:type="dxa"/>
            <w:vAlign w:val="bottom"/>
          </w:tcPr>
          <w:p>
            <w:pPr>
              <w:spacing w:after="0"/>
              <w:rPr>
                <w:sz w:val="16"/>
                <w:szCs w:val="16"/>
                <w:color w:val="auto"/>
              </w:rPr>
            </w:pPr>
          </w:p>
        </w:tc>
        <w:tc>
          <w:tcPr>
            <w:tcW w:w="900" w:type="dxa"/>
            <w:vAlign w:val="bottom"/>
          </w:tcPr>
          <w:p>
            <w:pPr>
              <w:jc w:val="right"/>
              <w:ind w:right="201"/>
              <w:spacing w:after="0"/>
              <w:rPr>
                <w:sz w:val="20"/>
                <w:szCs w:val="20"/>
                <w:color w:val="auto"/>
              </w:rPr>
            </w:pPr>
            <w:r>
              <w:rPr>
                <w:rFonts w:ascii="Arial" w:cs="Arial" w:eastAsia="Arial" w:hAnsi="Arial"/>
                <w:sz w:val="14"/>
                <w:szCs w:val="14"/>
                <w:b w:val="1"/>
                <w:bCs w:val="1"/>
                <w:color w:val="auto"/>
                <w:w w:val="98"/>
              </w:rPr>
              <w:t>Products</w:t>
            </w:r>
          </w:p>
        </w:tc>
        <w:tc>
          <w:tcPr>
            <w:tcW w:w="260" w:type="dxa"/>
            <w:vAlign w:val="bottom"/>
          </w:tcPr>
          <w:p>
            <w:pPr>
              <w:spacing w:after="0"/>
              <w:rPr>
                <w:sz w:val="16"/>
                <w:szCs w:val="16"/>
                <w:color w:val="auto"/>
              </w:rPr>
            </w:pPr>
          </w:p>
        </w:tc>
        <w:tc>
          <w:tcPr>
            <w:tcW w:w="860" w:type="dxa"/>
            <w:vAlign w:val="bottom"/>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6"/>
                <w:szCs w:val="16"/>
                <w:color w:val="auto"/>
              </w:rPr>
            </w:pPr>
          </w:p>
        </w:tc>
        <w:tc>
          <w:tcPr>
            <w:tcW w:w="1120" w:type="dxa"/>
            <w:vAlign w:val="bottom"/>
          </w:tcPr>
          <w:p>
            <w:pPr>
              <w:jc w:val="right"/>
              <w:ind w:right="156"/>
              <w:spacing w:after="0"/>
              <w:rPr>
                <w:sz w:val="20"/>
                <w:szCs w:val="20"/>
                <w:color w:val="auto"/>
              </w:rPr>
            </w:pPr>
            <w:r>
              <w:rPr>
                <w:rFonts w:ascii="Arial" w:cs="Arial" w:eastAsia="Arial" w:hAnsi="Arial"/>
                <w:sz w:val="14"/>
                <w:szCs w:val="14"/>
                <w:b w:val="1"/>
                <w:bCs w:val="1"/>
                <w:color w:val="auto"/>
                <w:w w:val="95"/>
              </w:rPr>
              <w:t>Unallocated</w:t>
            </w:r>
            <w:r>
              <w:rPr>
                <w:rFonts w:ascii="Arial" w:cs="Arial" w:eastAsia="Arial" w:hAnsi="Arial"/>
                <w:sz w:val="9"/>
                <w:szCs w:val="9"/>
                <w:b w:val="1"/>
                <w:bCs w:val="1"/>
                <w:color w:val="auto"/>
                <w:w w:val="95"/>
              </w:rPr>
              <w:t>(1)</w:t>
            </w:r>
          </w:p>
        </w:tc>
        <w:tc>
          <w:tcPr>
            <w:tcW w:w="320" w:type="dxa"/>
            <w:vAlign w:val="bottom"/>
          </w:tcPr>
          <w:p>
            <w:pPr>
              <w:spacing w:after="0"/>
              <w:rPr>
                <w:sz w:val="16"/>
                <w:szCs w:val="16"/>
                <w:color w:val="auto"/>
              </w:rPr>
            </w:pPr>
          </w:p>
        </w:tc>
        <w:tc>
          <w:tcPr>
            <w:tcW w:w="740" w:type="dxa"/>
            <w:vAlign w:val="bottom"/>
          </w:tcPr>
          <w:p>
            <w:pPr>
              <w:jc w:val="right"/>
              <w:ind w:right="236"/>
              <w:spacing w:after="0"/>
              <w:rPr>
                <w:sz w:val="20"/>
                <w:szCs w:val="20"/>
                <w:color w:val="auto"/>
              </w:rPr>
            </w:pPr>
            <w:r>
              <w:rPr>
                <w:rFonts w:ascii="Arial" w:cs="Arial" w:eastAsia="Arial" w:hAnsi="Arial"/>
                <w:sz w:val="14"/>
                <w:szCs w:val="14"/>
                <w:b w:val="1"/>
                <w:bCs w:val="1"/>
                <w:color w:val="auto"/>
              </w:rPr>
              <w:t>Total</w:t>
            </w:r>
          </w:p>
        </w:tc>
      </w:tr>
      <w:tr>
        <w:trPr>
          <w:trHeight w:val="39"/>
        </w:trPr>
        <w:tc>
          <w:tcPr>
            <w:tcW w:w="3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4"/>
        </w:trPr>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21"/>
              <w:spacing w:after="0"/>
              <w:rPr>
                <w:sz w:val="20"/>
                <w:szCs w:val="20"/>
                <w:color w:val="auto"/>
              </w:rPr>
            </w:pPr>
            <w:r>
              <w:rPr>
                <w:rFonts w:ascii="Arial" w:cs="Arial" w:eastAsia="Arial" w:hAnsi="Arial"/>
                <w:sz w:val="14"/>
                <w:szCs w:val="14"/>
                <w:b w:val="1"/>
                <w:bCs w:val="1"/>
                <w:color w:val="auto"/>
                <w:w w:val="99"/>
              </w:rPr>
              <w:t>(in millions)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9"/>
        </w:trPr>
        <w:tc>
          <w:tcPr>
            <w:tcW w:w="3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June 30, 2023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609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278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247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1,351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3,531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4,882</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As of December 31, 2022</w:t>
            </w:r>
          </w:p>
        </w:tc>
        <w:tc>
          <w:tcPr>
            <w:tcW w:w="16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Arial" w:cs="Arial" w:eastAsia="Arial" w:hAnsi="Arial"/>
                <w:sz w:val="18"/>
                <w:szCs w:val="18"/>
                <w:color w:val="auto"/>
              </w:rPr>
              <w:t>646</w:t>
            </w:r>
          </w:p>
        </w:tc>
        <w:tc>
          <w:tcPr>
            <w:tcW w:w="280" w:type="dxa"/>
            <w:vAlign w:val="bottom"/>
          </w:tcPr>
          <w:p>
            <w:pPr>
              <w:spacing w:after="0"/>
              <w:rPr>
                <w:sz w:val="21"/>
                <w:szCs w:val="21"/>
                <w:color w:val="auto"/>
              </w:rPr>
            </w:pPr>
          </w:p>
        </w:tc>
        <w:tc>
          <w:tcPr>
            <w:tcW w:w="860" w:type="dxa"/>
            <w:vAlign w:val="bottom"/>
          </w:tcPr>
          <w:p>
            <w:pPr>
              <w:jc w:val="right"/>
              <w:ind w:right="41"/>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226</w:t>
            </w:r>
          </w:p>
        </w:tc>
        <w:tc>
          <w:tcPr>
            <w:tcW w:w="26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8"/>
                <w:szCs w:val="18"/>
                <w:b w:val="1"/>
                <w:bCs w:val="1"/>
                <w:color w:val="auto"/>
              </w:rPr>
              <w:t>1,460</w:t>
            </w:r>
          </w:p>
        </w:tc>
        <w:tc>
          <w:tcPr>
            <w:tcW w:w="2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3,469</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4,929</w:t>
            </w:r>
          </w:p>
        </w:tc>
      </w:tr>
    </w:tbl>
    <w:p>
      <w:pPr>
        <w:spacing w:after="0" w:line="350" w:lineRule="exact"/>
        <w:rPr>
          <w:sz w:val="20"/>
          <w:szCs w:val="20"/>
          <w:color w:val="auto"/>
        </w:rPr>
      </w:pPr>
    </w:p>
    <w:p>
      <w:pPr>
        <w:ind w:left="340" w:right="140" w:hanging="332"/>
        <w:spacing w:after="0" w:line="31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Unallocated includes the elimination of intersegment revenues, other revenue adjustments and certain corporate costs, depreciation and amortization and assets not allocated to segments. Unallocated assets are comprised of cash, accounts receivable, other receivables, entity-wide property, plant and equipment, entity-wide operating lease right-of-use assets, goodwill, intangible assets, related party receivables and other assets.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segment Adjusted EBITDA to GAAP income before 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4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4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552"/>
              <w:spacing w:after="0"/>
              <w:rPr>
                <w:sz w:val="20"/>
                <w:szCs w:val="20"/>
                <w:color w:val="auto"/>
              </w:rPr>
            </w:pPr>
            <w:r>
              <w:rPr>
                <w:rFonts w:ascii="Arial" w:cs="Arial" w:eastAsia="Arial" w:hAnsi="Arial"/>
                <w:sz w:val="14"/>
                <w:szCs w:val="14"/>
                <w:b w:val="1"/>
                <w:bCs w:val="1"/>
                <w:color w:val="auto"/>
              </w:rPr>
              <w:t>2022</w:t>
            </w:r>
          </w:p>
        </w:tc>
      </w:tr>
      <w:tr>
        <w:trPr>
          <w:trHeight w:val="39"/>
        </w:trPr>
        <w:tc>
          <w:tcPr>
            <w:tcW w:w="42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4"/>
        </w:trPr>
        <w:tc>
          <w:tcPr>
            <w:tcW w:w="4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6"/>
                <w:szCs w:val="16"/>
                <w:color w:val="auto"/>
              </w:rPr>
            </w:pPr>
          </w:p>
        </w:tc>
      </w:tr>
      <w:tr>
        <w:trPr>
          <w:trHeight w:val="39"/>
        </w:trPr>
        <w:tc>
          <w:tcPr>
            <w:tcW w:w="4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8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8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Corporate / unallocated expenses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4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w w:val="93"/>
              </w:rPr>
              <w:t>Adjustments to reconcile to GAAP income before income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taxes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IPO and separation-related costs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Consolidated GAAP income before income taxes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240" w:type="dxa"/>
            <w:vAlign w:val="bottom"/>
          </w:tcPr>
          <w:p>
            <w:pPr>
              <w:spacing w:after="0"/>
              <w:rPr>
                <w:sz w:val="23"/>
                <w:szCs w:val="23"/>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260" w:type="dxa"/>
            <w:vAlign w:val="bottom"/>
          </w:tcPr>
          <w:p>
            <w:pPr>
              <w:spacing w:after="0"/>
              <w:rPr>
                <w:sz w:val="23"/>
                <w:szCs w:val="23"/>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240" w:type="dxa"/>
            <w:vAlign w:val="bottom"/>
          </w:tcPr>
          <w:p>
            <w:pPr>
              <w:spacing w:after="0"/>
              <w:rPr>
                <w:sz w:val="23"/>
                <w:szCs w:val="23"/>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r>
    </w:tbl>
    <w:p>
      <w:pPr>
        <w:spacing w:after="0" w:line="200" w:lineRule="exact"/>
        <w:rPr>
          <w:sz w:val="20"/>
          <w:szCs w:val="20"/>
          <w:color w:val="auto"/>
        </w:rPr>
      </w:pP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Information in Relation to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line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286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42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428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6"/>
                <w:szCs w:val="16"/>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553"/>
              <w:spacing w:after="0"/>
              <w:rPr>
                <w:sz w:val="20"/>
                <w:szCs w:val="20"/>
                <w:color w:val="auto"/>
              </w:rPr>
            </w:pPr>
            <w:r>
              <w:rPr>
                <w:rFonts w:ascii="Arial" w:cs="Arial" w:eastAsia="Arial" w:hAnsi="Arial"/>
                <w:sz w:val="14"/>
                <w:szCs w:val="14"/>
                <w:b w:val="1"/>
                <w:bCs w:val="1"/>
                <w:color w:val="auto"/>
              </w:rPr>
              <w:t>2022</w:t>
            </w:r>
          </w:p>
        </w:tc>
      </w:tr>
      <w:tr>
        <w:trPr>
          <w:trHeight w:val="39"/>
        </w:trPr>
        <w:tc>
          <w:tcPr>
            <w:tcW w:w="42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4"/>
        </w:trPr>
        <w:tc>
          <w:tcPr>
            <w:tcW w:w="4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0" w:type="dxa"/>
            <w:vAlign w:val="bottom"/>
            <w:gridSpan w:val="3"/>
          </w:tcPr>
          <w:p>
            <w:pPr>
              <w:jc w:val="right"/>
              <w:ind w:right="73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6"/>
                <w:szCs w:val="16"/>
                <w:color w:val="auto"/>
              </w:rPr>
            </w:pPr>
          </w:p>
        </w:tc>
      </w:tr>
      <w:tr>
        <w:trPr>
          <w:trHeight w:val="39"/>
        </w:trPr>
        <w:tc>
          <w:tcPr>
            <w:tcW w:w="4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Waste and storage products </w:t>
            </w:r>
            <w:r>
              <w:rPr>
                <w:rFonts w:ascii="Arial" w:cs="Arial" w:eastAsia="Arial" w:hAnsi="Arial"/>
                <w:sz w:val="23"/>
                <w:szCs w:val="23"/>
                <w:color w:val="auto"/>
                <w:vertAlign w:val="superscript"/>
              </w:rPr>
              <w:t>(1)</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3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6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Cooking products</w:t>
            </w: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604</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7"/>
        </w:trPr>
        <w:tc>
          <w:tcPr>
            <w:tcW w:w="4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Tableware</w:t>
            </w: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63"/>
        </w:trPr>
        <w:tc>
          <w:tcPr>
            <w:tcW w:w="4280" w:type="dxa"/>
            <w:vAlign w:val="bottom"/>
          </w:tcPr>
          <w:p>
            <w:pPr>
              <w:ind w:left="20"/>
              <w:spacing w:after="0"/>
              <w:rPr>
                <w:sz w:val="20"/>
                <w:szCs w:val="20"/>
                <w:color w:val="auto"/>
              </w:rPr>
            </w:pPr>
            <w:r>
              <w:rPr>
                <w:rFonts w:ascii="Arial" w:cs="Arial" w:eastAsia="Arial" w:hAnsi="Arial"/>
                <w:sz w:val="18"/>
                <w:szCs w:val="18"/>
                <w:color w:val="auto"/>
              </w:rPr>
              <w:t>Unallocated</w:t>
            </w:r>
          </w:p>
        </w:tc>
        <w:tc>
          <w:tcPr>
            <w:tcW w:w="10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7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940</w:t>
            </w: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917</w:t>
            </w:r>
          </w:p>
        </w:tc>
        <w:tc>
          <w:tcPr>
            <w:tcW w:w="2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1,814</w:t>
            </w:r>
          </w:p>
        </w:tc>
        <w:tc>
          <w:tcPr>
            <w:tcW w:w="2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1,762</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(1)  Waste and storage products are comprised of our Hefty Waste &amp; Storage and Presto Products segments.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Packaging Finance Limited (“PFL”) owns the majority of our outstanding common stock and owns the majority of the outstanding common stock of Pactiv Evergreen Inc. and its subsidiaries (“PEI Group”). We sell and purchase various goods and services with PEI Group under contractual arrangements that expire over a variety of periods through December 31, 2027. During the six months ended June 30, 2023, we amended these contractual arrangements with PEI Group, which, among other things, extended the expiration date for certain arrangements. Transactions between us and PEI Group are described below.</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six months ended June 30, 2023, revenues from products sold to PEI Group were $18 million and $40 million, respectively, compared to $21 million and $48 million in the comparable prior year periods. For the three and six months ended June 30, 2023, products purchased from PEI Group were $93 million and $199 million, respectively, compared to $100 million and $194 million in the comparable prior year periods. For the three and six months ended June 30, 2023, PEI Group charged us freight and warehousing costs of $9 million and $18 million, respectively, compared to $15 million and $29 million in the comparable prior year periods, which were included in cost of sales. The resulting related party receivables and payables are settled regularly in the normal course of business.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$36 million of the dividends paid during each of the three months ended June 30, 2023 and June 30, 2022, and $71 million of the dividends paid during each of the six months ended June 30, 2023 and June 30, 2022, were paid to PFL.</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Cash Dividend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27, 2023, our Board of Directors approved a cash dividend of $0.23 per common share to be paid on August 31, 2023 to shareholders of record on August 17,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Subsequent to June 30, 2023, we made a voluntary principal payment of $100 million related to our Term Loan Facility.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described above, there have been no events subsequent to June 30, 2023 which would require accrual or disclosure in these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management’s discussion and analysis is intended to help the reader understand our results of operations and financial condition and is provided as an addition to, and should be read in connection with, our condensed consolidated financial statements and the accompanying notes included elsewhere in this Quarterly Report on Form 10-Q and our consolidated financial statements and the accompanying notes contained in our Annual Report on Form 10-K for the year ended December 31, 2022.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 and its Business Segments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market-leading consumer products company with a presence in 95% of households across the United States. We produce and sell products across three broad categories: cooking products, waste and storage products and tableware. We sell our products under iconic brands such as Reynolds and Hefty and also under store brands that are strategically important to our customers. Overall, across both our branded and store brand offerings, we hold the #1 or #2 U.S. market share position in the majority of product categories in which we participate. Over 65% of our revenue comes from products that are #1 in their respective categories. We have developed our market-leading position by investing in our product categories and consistently developing innovative products that meet the evolving needs and preferences of the modern consumer.</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mix of branded and store brand products is a key competitive advantage that aligns our goal of growing the overall product categories with our customers’ goals and positions us as a trusted strategic partner to our retailers. Our Reynolds and Hefty brands have preeminent positions in their categories and carry strong brand recognition in household aisles.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manage our operations in four operating and reportable segments: Reynolds Cooking &amp; Baking, Hefty Waste &amp; Storage, Hefty Tableware and Presto Products:</w:t>
      </w:r>
    </w:p>
    <w:p>
      <w:pPr>
        <w:spacing w:after="0" w:line="62" w:lineRule="exact"/>
        <w:rPr>
          <w:sz w:val="20"/>
          <w:szCs w:val="20"/>
          <w:color w:val="auto"/>
        </w:rPr>
      </w:pPr>
    </w:p>
    <w:p>
      <w:pPr>
        <w:jc w:val="both"/>
        <w:ind w:left="660" w:hanging="328"/>
        <w:spacing w:after="0" w:line="272"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Reynolds Cooking &amp; Baking: Through our Reynolds Cooking &amp; Baking segment, we produce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retail sales and volume. We have no significant branded competitor in this market. Reynolds is one of the most recognized household brands in the United States and has been the top trusted brand in the consumer foil market for over 75 years, with greater than 50% market share in most of its categories.</w:t>
      </w:r>
    </w:p>
    <w:p>
      <w:pPr>
        <w:spacing w:after="0" w:line="69"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Hefty Waste &amp; Storage: Through our Hefty Waste &amp; Storage segment, we produce both branded and store brand trash and food storage bags. Hefty is a well-recognized leader in the trash bag and food storage bag categories and our private label products offer value to our retail partners. Our branded products are sold under the Hefty Ultra Strong and Hefty Strong brands for trash bags, and as the Hefty and Baggies brands for our food storage bags. We have the #1 branded market share in the U.S. large black trash bag and slider bag segments, and the #2 branded market share in the tall kitchen trash bag segment. Our robust product portfolio in this segment includes a full suite of products, including sustainable solutions such as blue and clear recycling bags, compostable bags, bags made from recycled materials and orange bags through the Hefty ReNew</w:t>
      </w:r>
      <w:r>
        <w:rPr>
          <w:rFonts w:ascii="Arial" w:cs="Arial" w:eastAsia="Arial" w:hAnsi="Arial"/>
          <w:sz w:val="16"/>
          <w:szCs w:val="16"/>
          <w:color w:val="auto"/>
        </w:rPr>
        <w:t>™</w:t>
      </w:r>
      <w:r>
        <w:rPr>
          <w:rFonts w:ascii="Arial" w:cs="Arial" w:eastAsia="Arial" w:hAnsi="Arial"/>
          <w:sz w:val="18"/>
          <w:szCs w:val="18"/>
          <w:color w:val="auto"/>
        </w:rPr>
        <w:t xml:space="preserve"> Program, formerly the Hefty EnergyBag Program.</w:t>
      </w:r>
    </w:p>
    <w:p>
      <w:pPr>
        <w:spacing w:after="0" w:line="86"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Hefty Tableware: Through our Hefty Tableware segment, we sell both branded and store brand disposable and compostable plates, bowls, platters, cups and cutlery. Our Hefty branded products include dishes and party cups. Hefty branded party cups are the #1 party cup in America measured by market share. Our branded products use our Hefty brand to represent both quality and great price, and we bring this same quality and value promise to all of our store brands as well. We sell across a broad range of materials and price points in all retail channels, allowing our consumers to select the product that best suits their price, function and aesthetic needs. These materials include sustainable solutions, such as Hefty ECOSAVE™ and Hefty Compostable Printed Paper Plates.</w:t>
      </w:r>
    </w:p>
    <w:p>
      <w:pPr>
        <w:spacing w:after="0" w:line="84"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Presto Products: Through our Presto Products segment, we primarily sell store brand products in four main categories: food storage bags, trash bags, reusable storage containers and plastic wrap. Presto Products is a market leader in food storage bags and differentiates itself by providing access to category management, consumer insights, marketing, merchandising and research and development (“R&amp;D”) resources. Our Presto Products segment also includes our specialty business, which serves other consumer products companies by providing Fresh-Lock and Slide-Rite resealable closure systems.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7" w:name="page18"/>
    <w:bookmarkEnd w:id="17"/>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net revenues increased 3% in each of the three and six months ended June 30, 2023, compared to the same periods in 2022. The revenue increase in both periods was primarily due to the timing of pricing actions taken in response to increased costs. Higher volume in our Reynolds Cooking &amp; Baking segment was offset by lower volume in our other three segments for both the three and six months ended June 30, 2023.</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June 30, 2023, our net income improved by 27%, primarily driven by higher pricing due to the timing of pricing actions implemented in the prior year period, as well as decreased material and logistics costs. These were partially offset by increases in manufacturing costs, selling, general and administrative ("SG&amp;A") expenses, interest expense and tax expense.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2023, our net income declined by 20%, primarily driven by higher material and manufacturing costs, SG&amp;A expenses and interest expense, which were partially offset by higher pricing due to the timing of pricing actions implemented in the prior year period and decreased logistics costs.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this Quarterly Report on Form 10-Q we use the non-GAAP financial measures “Adjusted EBITDA”, “Adjusted Net Income” and “Adjusted Diluted Earnings Per Share” (“Adjusted EPS”), which are measures adjusted for the impact of specified items and are not in accordance with GAAP.</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Adjusted EBITDA as net income calculated in accordance with GAAP, plus the sum of income tax expense, net interest expense, depreciation and amortization and further adjusted to exclude IPO and separation-related costs. We define Adjusted Net Income and Adjusted EPS as Net Income and Earnings Per Share calculated in accordance with GAAP, plus IPO and separation-related costs.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Accordingly, we believe presenting these measures provides useful information to investors and others in understanding and evaluating our operating results in the same manner as our management team and board of directors.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our net income, the most directly comparable GAAP financial measure, to Adjusted EBITDA: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48260</wp:posOffset>
            </wp:positionV>
            <wp:extent cx="19373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74" w:lineRule="exact"/>
        <w:rPr>
          <w:sz w:val="20"/>
          <w:szCs w:val="20"/>
          <w:color w:val="auto"/>
        </w:rPr>
      </w:pPr>
    </w:p>
    <w:p>
      <w:pPr>
        <w:ind w:left="5640"/>
        <w:spacing w:after="0"/>
        <w:tabs>
          <w:tab w:leader="none" w:pos="7200" w:val="left"/>
        </w:tabs>
        <w:rPr>
          <w:sz w:val="20"/>
          <w:szCs w:val="20"/>
          <w:color w:val="auto"/>
        </w:rPr>
      </w:pPr>
      <w:r>
        <w:rPr>
          <w:rFonts w:ascii="Arial" w:cs="Arial" w:eastAsia="Arial" w:hAnsi="Arial"/>
          <w:sz w:val="12"/>
          <w:szCs w:val="12"/>
          <w:b w:val="1"/>
          <w:bCs w:val="1"/>
          <w:color w:val="auto"/>
        </w:rPr>
        <w:t>2023</w:t>
      </w:r>
      <w:r>
        <w:rPr>
          <w:sz w:val="20"/>
          <w:szCs w:val="20"/>
          <w:color w:val="auto"/>
        </w:rPr>
        <w:tab/>
      </w:r>
      <w:r>
        <w:rPr>
          <w:rFonts w:ascii="Arial" w:cs="Arial" w:eastAsia="Arial" w:hAnsi="Arial"/>
          <w:sz w:val="12"/>
          <w:szCs w:val="12"/>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55245</wp:posOffset>
            </wp:positionV>
            <wp:extent cx="19373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85"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40640</wp:posOffset>
            </wp:positionV>
            <wp:extent cx="1937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62"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2023</w:t>
      </w:r>
      <w:r>
        <w:rPr>
          <w:sz w:val="20"/>
          <w:szCs w:val="20"/>
          <w:color w:val="auto"/>
        </w:rPr>
        <w:tab/>
      </w:r>
      <w:r>
        <w:rPr>
          <w:rFonts w:ascii="Arial" w:cs="Arial" w:eastAsia="Arial" w:hAnsi="Arial"/>
          <w:sz w:val="12"/>
          <w:szCs w:val="12"/>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55245</wp:posOffset>
            </wp:positionV>
            <wp:extent cx="19373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(in millions)</w:t>
      </w:r>
    </w:p>
    <w:p>
      <w:pPr>
        <w:spacing w:after="0" w:line="51" w:lineRule="exact"/>
        <w:rPr>
          <w:sz w:val="20"/>
          <w:szCs w:val="20"/>
          <w:color w:val="auto"/>
        </w:rPr>
      </w:pPr>
    </w:p>
    <w:p>
      <w:pPr>
        <w:sectPr>
          <w:pgSz w:w="11900" w:h="16838" w:orient="portrait"/>
          <w:cols w:equalWidth="0" w:num="2">
            <w:col w:w="8060" w:space="720"/>
            <w:col w:w="24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 GAAP</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5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5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line="207" w:lineRule="exact"/>
              <w:rPr>
                <w:sz w:val="20"/>
                <w:szCs w:val="20"/>
                <w:color w:val="auto"/>
              </w:rPr>
            </w:pPr>
            <w:r>
              <w:rPr>
                <w:rFonts w:ascii="Arial" w:cs="Arial" w:eastAsia="Arial" w:hAnsi="Arial"/>
                <w:sz w:val="18"/>
                <w:szCs w:val="18"/>
                <w:color w:val="auto"/>
              </w:rPr>
              <w:t xml:space="preserve">IPO and separation-related costs </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6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6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7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7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7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230</w:t>
            </w:r>
          </w:p>
        </w:tc>
      </w:tr>
      <w:tr>
        <w:trPr>
          <w:trHeight w:val="34"/>
        </w:trPr>
        <w:tc>
          <w:tcPr>
            <w:tcW w:w="50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costs related to the IPO process, as well as costs related to our separation to operate as a stand-alone public company. These costs are included in Other expense, net in our condensed consolidated statements of income.</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The following tables present reconciliations of our net income and diluted EPS, the most directly comparable GAAP financial measures, to Adjusted Net Income and Adjusted EPS: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60" w:type="dxa"/>
            <w:vAlign w:val="bottom"/>
            <w:gridSpan w:val="6"/>
          </w:tcPr>
          <w:p>
            <w:pPr>
              <w:jc w:val="right"/>
              <w:ind w:right="735"/>
              <w:spacing w:after="0"/>
              <w:rPr>
                <w:sz w:val="20"/>
                <w:szCs w:val="20"/>
                <w:color w:val="auto"/>
              </w:rPr>
            </w:pPr>
            <w:r>
              <w:rPr>
                <w:rFonts w:ascii="Arial" w:cs="Arial" w:eastAsia="Arial" w:hAnsi="Arial"/>
                <w:sz w:val="14"/>
                <w:szCs w:val="14"/>
                <w:b w:val="1"/>
                <w:bCs w:val="1"/>
                <w:color w:val="auto"/>
              </w:rPr>
              <w:t>Three Months Ended June 30, 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80" w:type="dxa"/>
            <w:vAlign w:val="bottom"/>
            <w:gridSpan w:val="6"/>
          </w:tcPr>
          <w:p>
            <w:pPr>
              <w:jc w:val="right"/>
              <w:ind w:right="755"/>
              <w:spacing w:after="0"/>
              <w:rPr>
                <w:sz w:val="20"/>
                <w:szCs w:val="20"/>
                <w:color w:val="auto"/>
              </w:rPr>
            </w:pPr>
            <w:r>
              <w:rPr>
                <w:rFonts w:ascii="Arial" w:cs="Arial" w:eastAsia="Arial" w:hAnsi="Arial"/>
                <w:sz w:val="14"/>
                <w:szCs w:val="14"/>
                <w:b w:val="1"/>
                <w:bCs w:val="1"/>
                <w:color w:val="auto"/>
              </w:rPr>
              <w:t>Three Months Ended June 30, 2022</w:t>
            </w:r>
          </w:p>
        </w:tc>
      </w:tr>
      <w:tr>
        <w:trPr>
          <w:trHeight w:val="39"/>
        </w:trPr>
        <w:tc>
          <w:tcPr>
            <w:tcW w:w="34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7"/>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(in millions, except for per share data)</w:t>
            </w:r>
          </w:p>
        </w:tc>
        <w:tc>
          <w:tcPr>
            <w:tcW w:w="180" w:type="dxa"/>
            <w:vAlign w:val="bottom"/>
          </w:tcPr>
          <w:p>
            <w:pPr>
              <w:spacing w:after="0"/>
              <w:rPr>
                <w:sz w:val="17"/>
                <w:szCs w:val="17"/>
                <w:color w:val="auto"/>
              </w:rPr>
            </w:pPr>
          </w:p>
        </w:tc>
        <w:tc>
          <w:tcPr>
            <w:tcW w:w="1040" w:type="dxa"/>
            <w:vAlign w:val="bottom"/>
          </w:tcPr>
          <w:p>
            <w:pPr>
              <w:jc w:val="right"/>
              <w:ind w:right="177"/>
              <w:spacing w:after="0"/>
              <w:rPr>
                <w:sz w:val="20"/>
                <w:szCs w:val="20"/>
                <w:color w:val="auto"/>
              </w:rPr>
            </w:pPr>
            <w:r>
              <w:rPr>
                <w:rFonts w:ascii="Arial" w:cs="Arial" w:eastAsia="Arial" w:hAnsi="Arial"/>
                <w:sz w:val="14"/>
                <w:szCs w:val="14"/>
                <w:b w:val="1"/>
                <w:bCs w:val="1"/>
                <w:color w:val="auto"/>
              </w:rPr>
              <w:t>Net Income</w:t>
            </w:r>
          </w:p>
        </w:tc>
        <w:tc>
          <w:tcPr>
            <w:tcW w:w="8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Arial" w:cs="Arial" w:eastAsia="Arial" w:hAnsi="Arial"/>
                <w:sz w:val="14"/>
                <w:szCs w:val="14"/>
                <w:b w:val="1"/>
                <w:bCs w:val="1"/>
                <w:color w:val="auto"/>
              </w:rPr>
              <w:t>Diluted 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35"/>
              <w:spacing w:after="0"/>
              <w:rPr>
                <w:sz w:val="20"/>
                <w:szCs w:val="20"/>
                <w:color w:val="auto"/>
              </w:rPr>
            </w:pPr>
            <w:r>
              <w:rPr>
                <w:rFonts w:ascii="Arial" w:cs="Arial" w:eastAsia="Arial" w:hAnsi="Arial"/>
                <w:sz w:val="14"/>
                <w:szCs w:val="14"/>
                <w:b w:val="1"/>
                <w:bCs w:val="1"/>
                <w:color w:val="auto"/>
              </w:rPr>
              <w:t>Diluted EPS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77"/>
              <w:spacing w:after="0"/>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7"/>
                <w:szCs w:val="17"/>
                <w:color w:val="auto"/>
              </w:rPr>
            </w:pPr>
          </w:p>
        </w:tc>
        <w:tc>
          <w:tcPr>
            <w:tcW w:w="1240" w:type="dxa"/>
            <w:vAlign w:val="bottom"/>
          </w:tcPr>
          <w:p>
            <w:pPr>
              <w:jc w:val="right"/>
              <w:ind w:right="99"/>
              <w:spacing w:after="0"/>
              <w:rPr>
                <w:sz w:val="20"/>
                <w:szCs w:val="20"/>
                <w:color w:val="auto"/>
              </w:rPr>
            </w:pPr>
            <w:r>
              <w:rPr>
                <w:rFonts w:ascii="Arial" w:cs="Arial" w:eastAsia="Arial" w:hAnsi="Arial"/>
                <w:sz w:val="14"/>
                <w:szCs w:val="14"/>
                <w:b w:val="1"/>
                <w:bCs w:val="1"/>
                <w:color w:val="auto"/>
              </w:rPr>
              <w:t>Diluted Shares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35"/>
              <w:spacing w:after="0"/>
              <w:rPr>
                <w:sz w:val="20"/>
                <w:szCs w:val="20"/>
                <w:color w:val="auto"/>
              </w:rPr>
            </w:pPr>
            <w:r>
              <w:rPr>
                <w:rFonts w:ascii="Arial" w:cs="Arial" w:eastAsia="Arial" w:hAnsi="Arial"/>
                <w:sz w:val="14"/>
                <w:szCs w:val="14"/>
                <w:b w:val="1"/>
                <w:bCs w:val="1"/>
                <w:color w:val="auto"/>
              </w:rPr>
              <w:t>Diluted EPS</w:t>
            </w:r>
          </w:p>
        </w:tc>
      </w:tr>
      <w:tr>
        <w:trPr>
          <w:trHeight w:val="26"/>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As Reported - GAAP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0.25</w:t>
            </w:r>
          </w:p>
        </w:tc>
      </w:tr>
      <w:tr>
        <w:trPr>
          <w:trHeight w:val="243"/>
        </w:trPr>
        <w:tc>
          <w:tcPr>
            <w:tcW w:w="3440" w:type="dxa"/>
            <w:vAlign w:val="bottom"/>
          </w:tcPr>
          <w:p>
            <w:pPr>
              <w:ind w:left="140"/>
              <w:spacing w:after="0"/>
              <w:rPr>
                <w:sz w:val="20"/>
                <w:szCs w:val="20"/>
                <w:color w:val="auto"/>
              </w:rPr>
            </w:pPr>
            <w:r>
              <w:rPr>
                <w:rFonts w:ascii="Arial" w:cs="Arial" w:eastAsia="Arial" w:hAnsi="Arial"/>
                <w:sz w:val="18"/>
                <w:szCs w:val="18"/>
                <w:b w:val="1"/>
                <w:bCs w:val="1"/>
                <w:color w:val="auto"/>
              </w:rPr>
              <w:t>Adjustments:</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40" w:type="dxa"/>
            <w:vAlign w:val="bottom"/>
            <w:shd w:val="clear" w:color="auto" w:fill="CCEEFF"/>
          </w:tcPr>
          <w:p>
            <w:pPr>
              <w:ind w:left="140"/>
              <w:spacing w:after="0" w:line="207" w:lineRule="exact"/>
              <w:rPr>
                <w:sz w:val="20"/>
                <w:szCs w:val="20"/>
                <w:color w:val="auto"/>
              </w:rPr>
            </w:pPr>
            <w:r>
              <w:rPr>
                <w:rFonts w:ascii="Arial" w:cs="Arial" w:eastAsia="Arial" w:hAnsi="Arial"/>
                <w:sz w:val="18"/>
                <w:szCs w:val="18"/>
                <w:color w:val="auto"/>
              </w:rPr>
              <w:t xml:space="preserve">IPO and separation-related costs </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7"/>
        </w:trPr>
        <w:tc>
          <w:tcPr>
            <w:tcW w:w="3440" w:type="dxa"/>
            <w:vAlign w:val="bottom"/>
          </w:tcPr>
          <w:p>
            <w:pPr>
              <w:ind w:left="140"/>
              <w:spacing w:after="0"/>
              <w:rPr>
                <w:sz w:val="20"/>
                <w:szCs w:val="20"/>
                <w:color w:val="auto"/>
              </w:rPr>
            </w:pPr>
            <w:r>
              <w:rPr>
                <w:rFonts w:ascii="Arial" w:cs="Arial" w:eastAsia="Arial" w:hAnsi="Arial"/>
                <w:sz w:val="18"/>
                <w:szCs w:val="18"/>
                <w:b w:val="1"/>
                <w:bCs w:val="1"/>
                <w:color w:val="auto"/>
              </w:rPr>
              <w:t>Adjusted (Non-GAAP)</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0.32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210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0.26</w:t>
            </w:r>
          </w:p>
        </w:tc>
      </w:tr>
      <w:tr>
        <w:trPr>
          <w:trHeight w:val="34"/>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350" w:lineRule="exact"/>
        <w:rPr>
          <w:sz w:val="20"/>
          <w:szCs w:val="20"/>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is after tax, calculated using a tax rate of 25.2% for the three months ended June 30, 2022, which was our effective tax rate for the period presented.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80" w:type="dxa"/>
            <w:vAlign w:val="bottom"/>
            <w:gridSpan w:val="7"/>
          </w:tcPr>
          <w:p>
            <w:pPr>
              <w:jc w:val="right"/>
              <w:ind w:right="855"/>
              <w:spacing w:after="0"/>
              <w:rPr>
                <w:sz w:val="20"/>
                <w:szCs w:val="20"/>
                <w:color w:val="auto"/>
              </w:rPr>
            </w:pPr>
            <w:r>
              <w:rPr>
                <w:rFonts w:ascii="Arial" w:cs="Arial" w:eastAsia="Arial" w:hAnsi="Arial"/>
                <w:sz w:val="14"/>
                <w:szCs w:val="14"/>
                <w:b w:val="1"/>
                <w:bCs w:val="1"/>
                <w:color w:val="auto"/>
              </w:rPr>
              <w:t>Six Months Ended June 30, 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60" w:type="dxa"/>
            <w:vAlign w:val="bottom"/>
            <w:gridSpan w:val="6"/>
          </w:tcPr>
          <w:p>
            <w:pPr>
              <w:jc w:val="right"/>
              <w:ind w:right="835"/>
              <w:spacing w:after="0"/>
              <w:rPr>
                <w:sz w:val="20"/>
                <w:szCs w:val="20"/>
                <w:color w:val="auto"/>
              </w:rPr>
            </w:pPr>
            <w:r>
              <w:rPr>
                <w:rFonts w:ascii="Arial" w:cs="Arial" w:eastAsia="Arial" w:hAnsi="Arial"/>
                <w:sz w:val="14"/>
                <w:szCs w:val="14"/>
                <w:b w:val="1"/>
                <w:bCs w:val="1"/>
                <w:color w:val="auto"/>
              </w:rPr>
              <w:t>Six Months Ended June 30, 2022</w:t>
            </w:r>
          </w:p>
        </w:tc>
      </w:tr>
      <w:tr>
        <w:trPr>
          <w:trHeight w:val="26"/>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8"/>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(in millions, except for per share data)</w:t>
            </w:r>
          </w:p>
        </w:tc>
        <w:tc>
          <w:tcPr>
            <w:tcW w:w="180" w:type="dxa"/>
            <w:vAlign w:val="bottom"/>
          </w:tcPr>
          <w:p>
            <w:pPr>
              <w:spacing w:after="0"/>
              <w:rPr>
                <w:sz w:val="17"/>
                <w:szCs w:val="17"/>
                <w:color w:val="auto"/>
              </w:rPr>
            </w:pPr>
          </w:p>
        </w:tc>
        <w:tc>
          <w:tcPr>
            <w:tcW w:w="1040" w:type="dxa"/>
            <w:vAlign w:val="bottom"/>
          </w:tcPr>
          <w:p>
            <w:pPr>
              <w:jc w:val="right"/>
              <w:ind w:right="177"/>
              <w:spacing w:after="0"/>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75"/>
              <w:spacing w:after="0"/>
              <w:rPr>
                <w:sz w:val="20"/>
                <w:szCs w:val="20"/>
                <w:color w:val="auto"/>
              </w:rPr>
            </w:pPr>
            <w:r>
              <w:rPr>
                <w:rFonts w:ascii="Arial" w:cs="Arial" w:eastAsia="Arial" w:hAnsi="Arial"/>
                <w:sz w:val="14"/>
                <w:szCs w:val="14"/>
                <w:b w:val="1"/>
                <w:bCs w:val="1"/>
                <w:color w:val="auto"/>
                <w:w w:val="91"/>
              </w:rPr>
              <w:t>Diluted 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Arial" w:cs="Arial" w:eastAsia="Arial" w:hAnsi="Arial"/>
                <w:sz w:val="14"/>
                <w:szCs w:val="14"/>
                <w:b w:val="1"/>
                <w:bCs w:val="1"/>
                <w:color w:val="auto"/>
              </w:rPr>
              <w:t>Diluted EPS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57"/>
              <w:spacing w:after="0"/>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7"/>
                <w:szCs w:val="17"/>
                <w:color w:val="auto"/>
              </w:rPr>
            </w:pPr>
          </w:p>
        </w:tc>
        <w:tc>
          <w:tcPr>
            <w:tcW w:w="1240" w:type="dxa"/>
            <w:vAlign w:val="bottom"/>
          </w:tcPr>
          <w:p>
            <w:pPr>
              <w:jc w:val="right"/>
              <w:ind w:right="99"/>
              <w:spacing w:after="0"/>
              <w:rPr>
                <w:sz w:val="20"/>
                <w:szCs w:val="20"/>
                <w:color w:val="auto"/>
              </w:rPr>
            </w:pPr>
            <w:r>
              <w:rPr>
                <w:rFonts w:ascii="Arial" w:cs="Arial" w:eastAsia="Arial" w:hAnsi="Arial"/>
                <w:sz w:val="14"/>
                <w:szCs w:val="14"/>
                <w:b w:val="1"/>
                <w:bCs w:val="1"/>
                <w:color w:val="auto"/>
              </w:rPr>
              <w:t>Diluted Shares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35"/>
              <w:spacing w:after="0"/>
              <w:rPr>
                <w:sz w:val="20"/>
                <w:szCs w:val="20"/>
                <w:color w:val="auto"/>
              </w:rPr>
            </w:pPr>
            <w:r>
              <w:rPr>
                <w:rFonts w:ascii="Arial" w:cs="Arial" w:eastAsia="Arial" w:hAnsi="Arial"/>
                <w:sz w:val="14"/>
                <w:szCs w:val="14"/>
                <w:b w:val="1"/>
                <w:bCs w:val="1"/>
                <w:color w:val="auto"/>
              </w:rPr>
              <w:t>Diluted EPS</w:t>
            </w:r>
          </w:p>
        </w:tc>
      </w:tr>
      <w:tr>
        <w:trPr>
          <w:trHeight w:val="26"/>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As Reported - GAAP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0.50</w:t>
            </w:r>
          </w:p>
        </w:tc>
      </w:tr>
      <w:tr>
        <w:trPr>
          <w:trHeight w:val="243"/>
        </w:trPr>
        <w:tc>
          <w:tcPr>
            <w:tcW w:w="3440" w:type="dxa"/>
            <w:vAlign w:val="bottom"/>
          </w:tcPr>
          <w:p>
            <w:pPr>
              <w:ind w:left="140"/>
              <w:spacing w:after="0"/>
              <w:rPr>
                <w:sz w:val="20"/>
                <w:szCs w:val="20"/>
                <w:color w:val="auto"/>
              </w:rPr>
            </w:pPr>
            <w:r>
              <w:rPr>
                <w:rFonts w:ascii="Arial" w:cs="Arial" w:eastAsia="Arial" w:hAnsi="Arial"/>
                <w:sz w:val="18"/>
                <w:szCs w:val="18"/>
                <w:b w:val="1"/>
                <w:bCs w:val="1"/>
                <w:color w:val="auto"/>
              </w:rPr>
              <w:t>Adjustments:</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140"/>
              <w:spacing w:after="0" w:line="207" w:lineRule="exact"/>
              <w:rPr>
                <w:sz w:val="20"/>
                <w:szCs w:val="20"/>
                <w:color w:val="auto"/>
              </w:rPr>
            </w:pPr>
            <w:r>
              <w:rPr>
                <w:rFonts w:ascii="Arial" w:cs="Arial" w:eastAsia="Arial" w:hAnsi="Arial"/>
                <w:sz w:val="18"/>
                <w:szCs w:val="18"/>
                <w:color w:val="auto"/>
              </w:rPr>
              <w:t xml:space="preserve">IPO and separation-related costs </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7"/>
        </w:trPr>
        <w:tc>
          <w:tcPr>
            <w:tcW w:w="3440" w:type="dxa"/>
            <w:vAlign w:val="bottom"/>
          </w:tcPr>
          <w:p>
            <w:pPr>
              <w:ind w:left="140"/>
              <w:spacing w:after="0"/>
              <w:rPr>
                <w:sz w:val="20"/>
                <w:szCs w:val="20"/>
                <w:color w:val="auto"/>
              </w:rPr>
            </w:pPr>
            <w:r>
              <w:rPr>
                <w:rFonts w:ascii="Arial" w:cs="Arial" w:eastAsia="Arial" w:hAnsi="Arial"/>
                <w:sz w:val="18"/>
                <w:szCs w:val="18"/>
                <w:b w:val="1"/>
                <w:bCs w:val="1"/>
                <w:color w:val="auto"/>
              </w:rPr>
              <w:t>Adjusted (Non-GAAP)</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0.40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210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0.52</w:t>
            </w:r>
          </w:p>
        </w:tc>
      </w:tr>
      <w:tr>
        <w:trPr>
          <w:trHeight w:val="34"/>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391" w:lineRule="exact"/>
        <w:rPr>
          <w:sz w:val="20"/>
          <w:szCs w:val="20"/>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is after tax, calculated using a tax rate of 24.8% for the six months ended June 30, 2022, which was our effective tax rate for the period presented.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June 30, 2023</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Aggregation of Segment Revenue and Adjusted EBITDA</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3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18"/>
              <w:spacing w:after="0"/>
              <w:rPr>
                <w:sz w:val="20"/>
                <w:szCs w:val="20"/>
                <w:color w:val="auto"/>
              </w:rPr>
            </w:pPr>
            <w:r>
              <w:rPr>
                <w:rFonts w:ascii="Arial" w:cs="Arial" w:eastAsia="Arial" w:hAnsi="Arial"/>
                <w:sz w:val="14"/>
                <w:szCs w:val="14"/>
                <w:b w:val="1"/>
                <w:bCs w:val="1"/>
                <w:color w:val="auto"/>
                <w:w w:val="88"/>
              </w:rPr>
              <w:t>Reynolds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158"/>
              <w:spacing w:after="0"/>
              <w:rPr>
                <w:sz w:val="20"/>
                <w:szCs w:val="20"/>
                <w:color w:val="auto"/>
              </w:rPr>
            </w:pPr>
            <w:r>
              <w:rPr>
                <w:rFonts w:ascii="Arial" w:cs="Arial" w:eastAsia="Arial" w:hAnsi="Arial"/>
                <w:sz w:val="14"/>
                <w:szCs w:val="14"/>
                <w:b w:val="1"/>
                <w:bCs w:val="1"/>
                <w:color w:val="auto"/>
              </w:rPr>
              <w:t>Hefty</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Reynolds</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18"/>
              <w:spacing w:after="0"/>
              <w:rPr>
                <w:sz w:val="20"/>
                <w:szCs w:val="20"/>
                <w:color w:val="auto"/>
              </w:rPr>
            </w:pPr>
            <w:r>
              <w:rPr>
                <w:rFonts w:ascii="Arial" w:cs="Arial" w:eastAsia="Arial" w:hAnsi="Arial"/>
                <w:sz w:val="14"/>
                <w:szCs w:val="14"/>
                <w:b w:val="1"/>
                <w:bCs w:val="1"/>
                <w:color w:val="auto"/>
                <w:w w:val="97"/>
              </w:rPr>
              <w:t>Cooking &amp;</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Waste &amp;</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Hefty</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Presto</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ind w:right="114"/>
              <w:spacing w:after="0" w:line="161" w:lineRule="exact"/>
              <w:rPr>
                <w:sz w:val="20"/>
                <w:szCs w:val="20"/>
                <w:color w:val="auto"/>
              </w:rPr>
            </w:pPr>
            <w:r>
              <w:rPr>
                <w:rFonts w:ascii="Arial" w:cs="Arial" w:eastAsia="Arial" w:hAnsi="Arial"/>
                <w:sz w:val="14"/>
                <w:szCs w:val="14"/>
                <w:b w:val="1"/>
                <w:bCs w:val="1"/>
                <w:color w:val="auto"/>
                <w:w w:val="99"/>
              </w:rPr>
              <w:t>Unallocated</w:t>
            </w:r>
            <w:r>
              <w:rPr>
                <w:rFonts w:ascii="MS PGothic" w:cs="MS PGothic" w:eastAsia="MS PGothic" w:hAnsi="MS PGothic"/>
                <w:sz w:val="14"/>
                <w:szCs w:val="14"/>
                <w:color w:val="auto"/>
                <w:w w:val="99"/>
              </w:rPr>
              <w:t>⁽</w:t>
            </w:r>
            <w:r>
              <w:rPr>
                <w:rFonts w:ascii="Arial" w:cs="Arial" w:eastAsia="Arial" w:hAnsi="Arial"/>
                <w:sz w:val="9"/>
                <w:szCs w:val="9"/>
                <w:b w:val="1"/>
                <w:bCs w:val="1"/>
                <w:color w:val="auto"/>
                <w:w w:val="99"/>
              </w:rPr>
              <w:t>1</w:t>
            </w:r>
            <w:r>
              <w:rPr>
                <w:rFonts w:ascii="MS PGothic" w:cs="MS PGothic" w:eastAsia="MS PGothic" w:hAnsi="MS PGothic"/>
                <w:sz w:val="14"/>
                <w:szCs w:val="14"/>
                <w:color w:val="auto"/>
                <w:w w:val="99"/>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Consumer</w:t>
            </w:r>
          </w:p>
        </w:tc>
        <w:tc>
          <w:tcPr>
            <w:tcW w:w="0" w:type="dxa"/>
            <w:vAlign w:val="bottom"/>
          </w:tcPr>
          <w:p>
            <w:pPr>
              <w:spacing w:after="0"/>
              <w:rPr>
                <w:sz w:val="1"/>
                <w:szCs w:val="1"/>
                <w:color w:val="auto"/>
              </w:rPr>
            </w:pPr>
          </w:p>
        </w:tc>
      </w:tr>
      <w:tr>
        <w:trPr>
          <w:trHeight w:val="219"/>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4"/>
              </w:rPr>
              <w:t>Baking</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1"/>
              </w:rPr>
              <w:t>Storage</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Tableware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Products</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8"/>
              </w:rPr>
              <w:t>Products</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Net revenues for the three months ended</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40"/>
              <w:spacing w:after="0"/>
              <w:rPr>
                <w:sz w:val="20"/>
                <w:szCs w:val="20"/>
                <w:color w:val="auto"/>
              </w:rPr>
            </w:pPr>
            <w:r>
              <w:rPr>
                <w:rFonts w:ascii="Arial" w:cs="Arial" w:eastAsia="Arial" w:hAnsi="Arial"/>
                <w:sz w:val="18"/>
                <w:szCs w:val="18"/>
                <w:color w:val="auto"/>
              </w:rPr>
              <w:t>2023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line="207" w:lineRule="exact"/>
              <w:rPr>
                <w:sz w:val="20"/>
                <w:szCs w:val="20"/>
                <w:color w:val="auto"/>
              </w:rPr>
            </w:pPr>
            <w:r>
              <w:rPr>
                <w:rFonts w:ascii="Arial" w:cs="Arial" w:eastAsia="Arial" w:hAnsi="Arial"/>
                <w:sz w:val="18"/>
                <w:szCs w:val="18"/>
                <w:color w:val="auto"/>
              </w:rPr>
              <w:t>Adjusted EBITDA</w:t>
            </w:r>
            <w:r>
              <w:rPr>
                <w:rFonts w:ascii="MS PGothic" w:cs="MS PGothic" w:eastAsia="MS PGothic" w:hAnsi="MS PGothic"/>
                <w:sz w:val="18"/>
                <w:szCs w:val="18"/>
                <w:color w:val="auto"/>
              </w:rPr>
              <w:t>⁽</w:t>
            </w:r>
            <w:r>
              <w:rPr>
                <w:rFonts w:ascii="Arial" w:cs="Arial" w:eastAsia="Arial" w:hAnsi="Arial"/>
                <w:sz w:val="18"/>
                <w:szCs w:val="18"/>
                <w:color w:val="auto"/>
              </w:rPr>
              <w:t>²</w:t>
            </w:r>
            <w:r>
              <w:rPr>
                <w:rFonts w:ascii="MS PGothic" w:cs="MS PGothic" w:eastAsia="MS PGothic" w:hAnsi="MS PGothic"/>
                <w:sz w:val="18"/>
                <w:szCs w:val="18"/>
                <w:color w:val="auto"/>
              </w:rPr>
              <w:t>⁾</w:t>
            </w:r>
            <w:r>
              <w:rPr>
                <w:rFonts w:ascii="Arial" w:cs="Arial" w:eastAsia="Arial" w:hAnsi="Arial"/>
                <w:sz w:val="18"/>
                <w:szCs w:val="18"/>
                <w:color w:val="auto"/>
              </w:rPr>
              <w:t xml:space="preserve"> for the three months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ended June 30:</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3280" w:type="dxa"/>
            <w:vAlign w:val="bottom"/>
          </w:tcPr>
          <w:p>
            <w:pPr>
              <w:ind w:left="2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6059170</wp:posOffset>
            </wp:positionH>
            <wp:positionV relativeFrom="paragraph">
              <wp:posOffset>-1430655</wp:posOffset>
            </wp:positionV>
            <wp:extent cx="97155" cy="74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317" w:lineRule="exact"/>
        <w:rPr>
          <w:sz w:val="20"/>
          <w:szCs w:val="20"/>
          <w:color w:val="auto"/>
        </w:rPr>
      </w:pPr>
    </w:p>
    <w:p>
      <w:pPr>
        <w:ind w:left="340" w:hanging="332"/>
        <w:spacing w:after="0" w:line="274"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ind w:left="340" w:hanging="332"/>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Adjusted EBITDA is a non-GAAP measure. See “Non-GAAP Measures” for details, including a reconciliation between net income and Adjusted</w:t>
      </w:r>
    </w:p>
    <w:p>
      <w:pPr>
        <w:spacing w:after="0" w:line="20"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EBITDA.</w:t>
      </w:r>
    </w:p>
    <w:p>
      <w:pPr>
        <w:sectPr>
          <w:pgSz w:w="11900" w:h="16838" w:orient="portrait"/>
          <w:cols w:equalWidth="0" w:num="1">
            <w:col w:w="11240"/>
          </w:cols>
          <w:pgMar w:left="320" w:top="13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type w:val="continuous"/>
        </w:sectPr>
      </w:pPr>
    </w:p>
    <w:bookmarkStart w:id="19" w:name="page20"/>
    <w:bookmarkEnd w:id="19"/>
    <w:p>
      <w:pPr>
        <w:spacing w:after="0" w:line="3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Three Months Ended June 30, 2023 Compared with the Three Months Ended June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Reynolds Consumer Products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9"/>
              </w:rPr>
              <w:t>For the Three Months Ended June 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220" w:type="dxa"/>
            <w:vAlign w:val="bottom"/>
          </w:tcPr>
          <w:p>
            <w:pPr>
              <w:spacing w:after="0"/>
              <w:rPr>
                <w:sz w:val="16"/>
                <w:szCs w:val="16"/>
                <w:color w:val="auto"/>
              </w:rPr>
            </w:pPr>
          </w:p>
        </w:tc>
        <w:tc>
          <w:tcPr>
            <w:tcW w:w="740" w:type="dxa"/>
            <w:vAlign w:val="bottom"/>
          </w:tcPr>
          <w:p>
            <w:pPr>
              <w:jc w:val="right"/>
              <w:ind w:right="25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128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6"/>
                <w:szCs w:val="16"/>
                <w:color w:val="auto"/>
              </w:rPr>
            </w:pPr>
          </w:p>
        </w:tc>
        <w:tc>
          <w:tcPr>
            <w:tcW w:w="720" w:type="dxa"/>
            <w:vAlign w:val="bottom"/>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922</w:t>
            </w:r>
          </w:p>
        </w:tc>
        <w:tc>
          <w:tcPr>
            <w:tcW w:w="142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98 %</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896</w:t>
            </w: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98 %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63"/>
        </w:trPr>
        <w:tc>
          <w:tcPr>
            <w:tcW w:w="4120" w:type="dxa"/>
            <w:vAlign w:val="bottom"/>
          </w:tcPr>
          <w:p>
            <w:pPr>
              <w:ind w:left="20"/>
              <w:spacing w:after="0"/>
              <w:rPr>
                <w:sz w:val="20"/>
                <w:szCs w:val="20"/>
                <w:color w:val="auto"/>
              </w:rPr>
            </w:pPr>
            <w:r>
              <w:rPr>
                <w:rFonts w:ascii="Arial" w:cs="Arial" w:eastAsia="Arial" w:hAnsi="Arial"/>
                <w:sz w:val="18"/>
                <w:szCs w:val="18"/>
                <w:color w:val="auto"/>
              </w:rPr>
              <w:t>Related party net revenues</w:t>
            </w:r>
          </w:p>
        </w:tc>
        <w:tc>
          <w:tcPr>
            <w:tcW w:w="220" w:type="dxa"/>
            <w:vAlign w:val="bottom"/>
          </w:tcPr>
          <w:p>
            <w:pPr>
              <w:spacing w:after="0"/>
              <w:rPr>
                <w:sz w:val="22"/>
                <w:szCs w:val="22"/>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2"/>
                <w:szCs w:val="22"/>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2 %</w:t>
            </w:r>
          </w:p>
        </w:tc>
        <w:tc>
          <w:tcPr>
            <w:tcW w:w="22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940</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100 %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917</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63"/>
        </w:trPr>
        <w:tc>
          <w:tcPr>
            <w:tcW w:w="41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2"/>
                <w:szCs w:val="22"/>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(712)</w:t>
            </w:r>
          </w:p>
        </w:tc>
        <w:tc>
          <w:tcPr>
            <w:tcW w:w="140" w:type="dxa"/>
            <w:vAlign w:val="bottom"/>
          </w:tcPr>
          <w:p>
            <w:pPr>
              <w:spacing w:after="0"/>
              <w:rPr>
                <w:sz w:val="22"/>
                <w:szCs w:val="22"/>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(76) %</w:t>
            </w:r>
          </w:p>
        </w:tc>
        <w:tc>
          <w:tcPr>
            <w:tcW w:w="22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(733)</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(80) %</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228</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24 %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184</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24 %</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(107)</w:t>
            </w:r>
          </w:p>
        </w:tc>
        <w:tc>
          <w:tcPr>
            <w:tcW w:w="1420" w:type="dxa"/>
            <w:vAlign w:val="bottom"/>
            <w:gridSpan w:val="3"/>
          </w:tcPr>
          <w:p>
            <w:pPr>
              <w:jc w:val="right"/>
              <w:ind w:right="88"/>
              <w:spacing w:after="0"/>
              <w:rPr>
                <w:sz w:val="20"/>
                <w:szCs w:val="20"/>
                <w:color w:val="auto"/>
              </w:rPr>
            </w:pPr>
            <w:r>
              <w:rPr>
                <w:rFonts w:ascii="Arial" w:cs="Arial" w:eastAsia="Arial" w:hAnsi="Arial"/>
                <w:sz w:val="18"/>
                <w:szCs w:val="18"/>
                <w:color w:val="auto"/>
              </w:rPr>
              <w:t>(11)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(10)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 %</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b w:val="1"/>
                <w:bCs w:val="1"/>
                <w:color w:val="auto"/>
              </w:rPr>
              <w:t>120</w:t>
            </w:r>
          </w:p>
        </w:tc>
        <w:tc>
          <w:tcPr>
            <w:tcW w:w="140" w:type="dxa"/>
            <w:vAlign w:val="bottom"/>
          </w:tcPr>
          <w:p>
            <w:pPr>
              <w:spacing w:after="0"/>
              <w:rPr>
                <w:sz w:val="21"/>
                <w:szCs w:val="21"/>
                <w:color w:val="auto"/>
              </w:rPr>
            </w:pPr>
          </w:p>
        </w:tc>
        <w:tc>
          <w:tcPr>
            <w:tcW w:w="128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13 %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b w:val="1"/>
                <w:bCs w:val="1"/>
                <w:color w:val="auto"/>
              </w:rPr>
              <w:t>86</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9 %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40 %</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 %</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 %</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b w:val="1"/>
                <w:bCs w:val="1"/>
                <w:color w:val="auto"/>
              </w:rPr>
              <w:t>89</w:t>
            </w:r>
          </w:p>
        </w:tc>
        <w:tc>
          <w:tcPr>
            <w:tcW w:w="140" w:type="dxa"/>
            <w:vAlign w:val="bottom"/>
          </w:tcPr>
          <w:p>
            <w:pPr>
              <w:spacing w:after="0"/>
              <w:rPr>
                <w:sz w:val="21"/>
                <w:szCs w:val="21"/>
                <w:color w:val="auto"/>
              </w:rPr>
            </w:pPr>
          </w:p>
        </w:tc>
        <w:tc>
          <w:tcPr>
            <w:tcW w:w="128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9 %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b w:val="1"/>
                <w:bCs w:val="1"/>
                <w:color w:val="auto"/>
              </w:rPr>
              <w:t>70</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8 %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27 %</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 %</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 %</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51"/>
              <w:spacing w:after="0"/>
              <w:rPr>
                <w:sz w:val="20"/>
                <w:szCs w:val="20"/>
                <w:color w:val="auto"/>
              </w:rPr>
            </w:pPr>
            <w:r>
              <w:rPr>
                <w:rFonts w:ascii="Arial" w:cs="Arial" w:eastAsia="Arial" w:hAnsi="Arial"/>
                <w:sz w:val="18"/>
                <w:szCs w:val="18"/>
                <w:b w:val="1"/>
                <w:bCs w:val="1"/>
                <w:color w:val="auto"/>
              </w:rPr>
              <w:t>66</w:t>
            </w:r>
          </w:p>
        </w:tc>
        <w:tc>
          <w:tcPr>
            <w:tcW w:w="140" w:type="dxa"/>
            <w:vAlign w:val="bottom"/>
          </w:tcPr>
          <w:p>
            <w:pPr>
              <w:spacing w:after="0"/>
              <w:rPr>
                <w:sz w:val="22"/>
                <w:szCs w:val="22"/>
                <w:color w:val="auto"/>
              </w:rPr>
            </w:pPr>
          </w:p>
        </w:tc>
        <w:tc>
          <w:tcPr>
            <w:tcW w:w="128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7 %</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ind w:right="31"/>
              <w:spacing w:after="0"/>
              <w:rPr>
                <w:sz w:val="20"/>
                <w:szCs w:val="20"/>
                <w:color w:val="auto"/>
              </w:rPr>
            </w:pPr>
            <w:r>
              <w:rPr>
                <w:rFonts w:ascii="Arial" w:cs="Arial" w:eastAsia="Arial" w:hAnsi="Arial"/>
                <w:sz w:val="18"/>
                <w:szCs w:val="18"/>
                <w:b w:val="1"/>
                <w:bCs w:val="1"/>
                <w:color w:val="auto"/>
              </w:rPr>
              <w:t>52</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6 %</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27 %</w:t>
            </w: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CEEFF"/>
          </w:tcPr>
          <w:p>
            <w:pPr>
              <w:ind w:left="20"/>
              <w:spacing w:after="0" w:line="207" w:lineRule="exact"/>
              <w:rPr>
                <w:sz w:val="20"/>
                <w:szCs w:val="20"/>
                <w:color w:val="auto"/>
              </w:rPr>
            </w:pPr>
            <w:r>
              <w:rPr>
                <w:rFonts w:ascii="Arial" w:cs="Arial" w:eastAsia="Arial" w:hAnsi="Arial"/>
                <w:sz w:val="18"/>
                <w:szCs w:val="18"/>
                <w:b w:val="1"/>
                <w:bCs w:val="1"/>
                <w:color w:val="auto"/>
              </w:rPr>
              <w:t xml:space="preserve">Adjusted EBITDA </w:t>
            </w:r>
            <w:r>
              <w:rPr>
                <w:rFonts w:ascii="MS PGothic" w:cs="MS PGothic" w:eastAsia="MS PGothic" w:hAnsi="MS PGothic"/>
                <w:sz w:val="18"/>
                <w:szCs w:val="18"/>
                <w:color w:val="auto"/>
              </w:rPr>
              <w:t>⁽</w:t>
            </w:r>
            <w:r>
              <w:rPr>
                <w:rFonts w:ascii="Arial" w:cs="Arial" w:eastAsia="Arial" w:hAnsi="Arial"/>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12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150</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16 %</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118</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27 %</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-179705</wp:posOffset>
            </wp:positionV>
            <wp:extent cx="106045" cy="86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NM - Percentage change is not meaningful.</w:t>
      </w:r>
    </w:p>
    <w:p>
      <w:pPr>
        <w:spacing w:after="0" w:line="5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Adjusted EBITDA is a non-GAAP measure. See “Non-GAAP Measures” for details, including a reconciliation between net income and Adjusted</w:t>
      </w:r>
    </w:p>
    <w:p>
      <w:pPr>
        <w:spacing w:after="0" w:line="34"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EBITDA.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Change in Net Revenues for the Three Months Ended June 30, 2023 vs. the Three Months Ended June 30, 2022</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060" w:type="dxa"/>
            <w:vAlign w:val="bottom"/>
          </w:tcPr>
          <w:p>
            <w:pPr>
              <w:ind w:left="580"/>
              <w:spacing w:after="0"/>
              <w:rPr>
                <w:sz w:val="20"/>
                <w:szCs w:val="20"/>
                <w:color w:val="auto"/>
              </w:rPr>
            </w:pPr>
            <w:r>
              <w:rPr>
                <w:rFonts w:ascii="Arial" w:cs="Arial" w:eastAsia="Arial" w:hAnsi="Arial"/>
                <w:sz w:val="14"/>
                <w:szCs w:val="14"/>
                <w:b w:val="1"/>
                <w:bCs w:val="1"/>
                <w:color w:val="auto"/>
              </w:rPr>
              <w:t>Price</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right"/>
              <w:ind w:right="273"/>
              <w:spacing w:after="0"/>
              <w:rPr>
                <w:sz w:val="20"/>
                <w:szCs w:val="20"/>
                <w:color w:val="auto"/>
              </w:rPr>
            </w:pPr>
            <w:r>
              <w:rPr>
                <w:rFonts w:ascii="Arial" w:cs="Arial" w:eastAsia="Arial" w:hAnsi="Arial"/>
                <w:sz w:val="14"/>
                <w:szCs w:val="14"/>
                <w:b w:val="1"/>
                <w:bCs w:val="1"/>
                <w:color w:val="auto"/>
              </w:rPr>
              <w:t>Volume/Mix</w:t>
            </w:r>
          </w:p>
        </w:tc>
        <w:tc>
          <w:tcPr>
            <w:tcW w:w="340" w:type="dxa"/>
            <w:vAlign w:val="bottom"/>
          </w:tcPr>
          <w:p>
            <w:pPr>
              <w:spacing w:after="0"/>
              <w:rPr>
                <w:sz w:val="16"/>
                <w:szCs w:val="16"/>
                <w:color w:val="auto"/>
              </w:rPr>
            </w:pPr>
          </w:p>
        </w:tc>
        <w:tc>
          <w:tcPr>
            <w:tcW w:w="17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Total</w:t>
            </w:r>
          </w:p>
        </w:tc>
      </w:tr>
      <w:tr>
        <w:trPr>
          <w:trHeight w:val="39"/>
        </w:trPr>
        <w:tc>
          <w:tcPr>
            <w:tcW w:w="57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r>
      <w:tr>
        <w:trPr>
          <w:trHeight w:val="243"/>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Reynolds Cooking &amp; Baking</w:t>
            </w: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9 %</w:t>
            </w:r>
          </w:p>
        </w:tc>
      </w:tr>
      <w:tr>
        <w:trPr>
          <w:trHeight w:val="24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Hefty Waste &amp; Storage</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(4) %</w:t>
            </w:r>
          </w:p>
        </w:tc>
      </w:tr>
      <w:tr>
        <w:trPr>
          <w:trHeight w:val="27"/>
        </w:trPr>
        <w:tc>
          <w:tcPr>
            <w:tcW w:w="5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Hefty Tableware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5 %</w:t>
            </w:r>
          </w:p>
        </w:tc>
      </w:tr>
      <w:tr>
        <w:trPr>
          <w:trHeight w:val="24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Presto Products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(3) %</w:t>
            </w:r>
          </w:p>
        </w:tc>
      </w:tr>
      <w:tr>
        <w:trPr>
          <w:trHeight w:val="27"/>
        </w:trPr>
        <w:tc>
          <w:tcPr>
            <w:tcW w:w="5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3"/>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RCP</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3 %</w:t>
            </w:r>
          </w:p>
        </w:tc>
      </w:tr>
      <w:tr>
        <w:trPr>
          <w:trHeight w:val="27"/>
        </w:trPr>
        <w:tc>
          <w:tcPr>
            <w:tcW w:w="57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350"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Total Net Revenues</w:t>
      </w:r>
      <w:r>
        <w:rPr>
          <w:rFonts w:ascii="Arial" w:cs="Arial" w:eastAsia="Arial" w:hAnsi="Arial"/>
          <w:sz w:val="16"/>
          <w:szCs w:val="16"/>
          <w:color w:val="auto"/>
        </w:rPr>
        <w:t>. Total net revenues increased by $23 million, or 3%, to $940 million. The increase was primarily driven by the timing of pricing actions</w:t>
      </w:r>
      <w:r>
        <w:rPr>
          <w:rFonts w:ascii="Arial" w:cs="Arial" w:eastAsia="Arial" w:hAnsi="Arial"/>
          <w:sz w:val="16"/>
          <w:szCs w:val="16"/>
          <w:i w:val="1"/>
          <w:iCs w:val="1"/>
          <w:color w:val="auto"/>
        </w:rPr>
        <w:t xml:space="preserve"> </w:t>
      </w:r>
      <w:r>
        <w:rPr>
          <w:rFonts w:ascii="Arial" w:cs="Arial" w:eastAsia="Arial" w:hAnsi="Arial"/>
          <w:sz w:val="16"/>
          <w:szCs w:val="16"/>
          <w:color w:val="auto"/>
        </w:rPr>
        <w:t>to recover increased costs. Increased volume in our Reynolds Cooking &amp; Baking segment was offset by volume declines in our other three segments.</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decreased by $21 million, or 3%, to $712 million. The decrease was primarily driven by lower material and logistics costs,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higher manufacturing costs.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$16 million, or 18%, to $107 million,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higher personnel costs, advertising costs and professional fees.</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Other expense, net was $1 million in the three months ended June 30, 2023 compared to $7 million in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2022. The change was primarily due to IPO and separation-related costs in the prior year period that did not reoccur in the current year period.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w:t>
      </w:r>
      <w:r>
        <w:rPr>
          <w:rFonts w:ascii="Arial" w:cs="Arial" w:eastAsia="Arial" w:hAnsi="Arial"/>
          <w:sz w:val="18"/>
          <w:szCs w:val="18"/>
          <w:i w:val="1"/>
          <w:iCs w:val="1"/>
          <w:color w:val="auto"/>
        </w:rPr>
        <w:t xml:space="preserve"> Net</w:t>
      </w:r>
      <w:r>
        <w:rPr>
          <w:rFonts w:ascii="Arial" w:cs="Arial" w:eastAsia="Arial" w:hAnsi="Arial"/>
          <w:sz w:val="18"/>
          <w:szCs w:val="18"/>
          <w:color w:val="auto"/>
        </w:rPr>
        <w:t>. Interest expense, net increased by $15 million, or 94%, to $31 million. The increase was due to higher interest rates.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jc w:val="both"/>
        <w:spacing w:after="0" w:line="263"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recognized income tax expense of $23 million on income before income taxes of $89 million (an effective tax rate of 25.4%)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2023 compared to income tax expense of $18 million on income before income taxes of $70 million (an effective tax rate of 25.2%) for the three months ended June 30, 2022.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increased by $32 million, or 27%, to $150 million. The increase in Adjusted EBITDA was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pricing actions, as well as lower material and logistics costs, partially offset by higher manufacturing costs and higher selling, general and administrative expenses.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Reynolds Cooking &amp; Baking</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w w:val="98"/>
              </w:rPr>
              <w:t>For the Three Months Ended June 30,</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4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40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000" w:type="dxa"/>
            <w:vAlign w:val="bottom"/>
            <w:gridSpan w:val="3"/>
          </w:tcPr>
          <w:p>
            <w:pPr>
              <w:jc w:val="right"/>
              <w:ind w:right="14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Total Segment Net Revenues</w:t>
      </w:r>
      <w:r>
        <w:rPr>
          <w:rFonts w:ascii="Arial" w:cs="Arial" w:eastAsia="Arial" w:hAnsi="Arial"/>
          <w:sz w:val="18"/>
          <w:szCs w:val="18"/>
          <w:color w:val="auto"/>
        </w:rPr>
        <w:t>. Reynolds Cooking &amp; Baking total segment net revenues increased by $27 million, or 9%, to $321 million. The increase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was primarily due to higher volume, partially offset by lower pricing as a result of focused trade and promotional investments. Retail sales increased $33 million by comparison to the prior year period driven by a 15% volume increase while non-retail sales, which are consistently low margin, were down $6 million compared to the prior year period.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Reynolds Cooking &amp; Baking Adjusted EBITDA increased by $4 million, or 11%, to $40 million. The increase in Adjusted EBITDA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higher volume, partially offset by lower pricing.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Waste &amp; Storage</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w w:val="98"/>
              </w:rPr>
              <w:t>For the Three Months Ended June 30,</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9"/>
        </w:trPr>
        <w:tc>
          <w:tcPr>
            <w:tcW w:w="4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98"/>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340" w:type="dxa"/>
            <w:vAlign w:val="bottom"/>
          </w:tcPr>
          <w:p>
            <w:pPr>
              <w:spacing w:after="0"/>
              <w:rPr>
                <w:sz w:val="17"/>
                <w:szCs w:val="17"/>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Change</w:t>
            </w:r>
          </w:p>
        </w:tc>
      </w:tr>
      <w:tr>
        <w:trPr>
          <w:trHeight w:val="25"/>
        </w:trPr>
        <w:tc>
          <w:tcPr>
            <w:tcW w:w="4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9"/>
              </w:rPr>
              <w:t>(9)</w:t>
            </w:r>
          </w:p>
        </w:tc>
        <w:tc>
          <w:tcPr>
            <w:tcW w:w="2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 %</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16</w:t>
            </w:r>
          </w:p>
        </w:tc>
        <w:tc>
          <w:tcPr>
            <w:tcW w:w="2020" w:type="dxa"/>
            <w:vAlign w:val="bottom"/>
            <w:gridSpan w:val="3"/>
          </w:tcPr>
          <w:p>
            <w:pPr>
              <w:jc w:val="right"/>
              <w:ind w:right="140"/>
              <w:spacing w:after="0"/>
              <w:rPr>
                <w:sz w:val="20"/>
                <w:szCs w:val="20"/>
                <w:color w:val="auto"/>
              </w:rPr>
            </w:pPr>
            <w:r>
              <w:rPr>
                <w:rFonts w:ascii="Arial" w:cs="Arial" w:eastAsia="Arial" w:hAnsi="Arial"/>
                <w:sz w:val="18"/>
                <w:szCs w:val="18"/>
                <w:color w:val="auto"/>
              </w:rPr>
              <w:t>35 %</w:t>
            </w:r>
          </w:p>
        </w:tc>
      </w:tr>
      <w:tr>
        <w:trPr>
          <w:trHeight w:val="27"/>
        </w:trPr>
        <w:tc>
          <w:tcPr>
            <w:tcW w:w="4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
        </w:trPr>
        <w:tc>
          <w:tcPr>
            <w:tcW w:w="4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Total Segment Net Revenues</w:t>
      </w:r>
      <w:r>
        <w:rPr>
          <w:rFonts w:ascii="Arial" w:cs="Arial" w:eastAsia="Arial" w:hAnsi="Arial"/>
          <w:sz w:val="18"/>
          <w:szCs w:val="18"/>
          <w:color w:val="auto"/>
        </w:rPr>
        <w:t>. Hefty Waste &amp; Storage total segment net revenues decreased $9 million, or 4%, to $229 million. The decrease in 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lower volume, partially offset by higher pricing.</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Hefty Waste &amp; Storage Adjusted EBITDA increased by $16 million, or 35%, to $62 million. The increase in Adjusted EBITDA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driven by lower material costs as well as higher pricing, partially offset by lower volume and higher manufacturing costs.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Tableware</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w w:val="99"/>
              </w:rPr>
              <w:t>For the Three Months Ended June 30,</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5"/>
        </w:trPr>
        <w:tc>
          <w:tcPr>
            <w:tcW w:w="4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198"/>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360" w:type="dxa"/>
            <w:vAlign w:val="bottom"/>
          </w:tcPr>
          <w:p>
            <w:pPr>
              <w:spacing w:after="0"/>
              <w:rPr>
                <w:sz w:val="17"/>
                <w:szCs w:val="17"/>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Change</w:t>
            </w:r>
          </w:p>
        </w:tc>
      </w:tr>
      <w:tr>
        <w:trPr>
          <w:trHeight w:val="25"/>
        </w:trPr>
        <w:tc>
          <w:tcPr>
            <w:tcW w:w="4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2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5 %</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2020" w:type="dxa"/>
            <w:vAlign w:val="bottom"/>
            <w:gridSpan w:val="3"/>
          </w:tcPr>
          <w:p>
            <w:pPr>
              <w:jc w:val="right"/>
              <w:ind w:right="140"/>
              <w:spacing w:after="0"/>
              <w:rPr>
                <w:sz w:val="20"/>
                <w:szCs w:val="20"/>
                <w:color w:val="auto"/>
              </w:rPr>
            </w:pPr>
            <w:r>
              <w:rPr>
                <w:rFonts w:ascii="Arial" w:cs="Arial" w:eastAsia="Arial" w:hAnsi="Arial"/>
                <w:sz w:val="18"/>
                <w:szCs w:val="18"/>
                <w:color w:val="auto"/>
              </w:rPr>
              <w:t>80 %</w:t>
            </w:r>
          </w:p>
        </w:tc>
      </w:tr>
      <w:tr>
        <w:trPr>
          <w:trHeight w:val="27"/>
        </w:trPr>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
        </w:trPr>
        <w:tc>
          <w:tcPr>
            <w:tcW w:w="4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Hefty Tableware total segment net revenues increased by $11 million, or 5%, to $251 million. The increase in 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the timing of pricing actions to recover increased costs, partially offset by lower volume.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Tableware Adjusted EBITDA increased by $20 million, or 80%, to $45 million. The increase in Adjusted EBITDA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the timing of pricing actions to recover increased costs, as well as lower logistics costs, partially offset by higher material and manufacturing costs and lower volume.</w:t>
      </w:r>
    </w:p>
    <w:p>
      <w:pPr>
        <w:sectPr>
          <w:pgSz w:w="11900" w:h="16838" w:orient="portrait"/>
          <w:cols w:equalWidth="0" w:num="1">
            <w:col w:w="11240"/>
          </w:cols>
          <w:pgMar w:left="320" w:top="125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21" w:name="page22"/>
    <w:bookmarkEnd w:id="21"/>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Products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w w:val="99"/>
              </w:rPr>
              <w:t>For the Three Months Ended June 30,</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4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20" w:type="dxa"/>
            <w:vAlign w:val="bottom"/>
            <w:tcBorders>
              <w:bottom w:val="single" w:sz="8" w:color="CCEEFF"/>
            </w:tcBorders>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020" w:type="dxa"/>
            <w:vAlign w:val="bottom"/>
            <w:gridSpan w:val="3"/>
          </w:tcPr>
          <w:p>
            <w:pPr>
              <w:jc w:val="right"/>
              <w:ind w:right="14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Presto Products total segment net revenues decreased by $5 million, or 3%, to $145 million. The decrease in net revenues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lower volume.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Presto Products Adjusted EBITDA increased by $3 million, or 12%, to $28 million. The increase in Adjusted EBITDA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lower material and logistics costs, partially offset by higher manufacturing costs and lower volume.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Six Months Ended June 30, 2023</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Aggregation of Segment Revenue and Adjusted EBITDA</w:t>
      </w:r>
    </w:p>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w w:val="88"/>
              </w:rPr>
              <w:t>Reynolds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ind w:right="78"/>
              <w:spacing w:after="0"/>
              <w:rPr>
                <w:sz w:val="20"/>
                <w:szCs w:val="20"/>
                <w:color w:val="auto"/>
              </w:rPr>
            </w:pPr>
            <w:r>
              <w:rPr>
                <w:rFonts w:ascii="Arial" w:cs="Arial" w:eastAsia="Arial" w:hAnsi="Arial"/>
                <w:sz w:val="14"/>
                <w:szCs w:val="14"/>
                <w:b w:val="1"/>
                <w:bCs w:val="1"/>
                <w:color w:val="auto"/>
                <w:w w:val="97"/>
              </w:rPr>
              <w:t>Hefty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Reynolds</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Cooking &amp;</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ind w:right="78"/>
              <w:spacing w:after="0"/>
              <w:rPr>
                <w:sz w:val="20"/>
                <w:szCs w:val="20"/>
                <w:color w:val="auto"/>
              </w:rPr>
            </w:pPr>
            <w:r>
              <w:rPr>
                <w:rFonts w:ascii="Arial" w:cs="Arial" w:eastAsia="Arial" w:hAnsi="Arial"/>
                <w:sz w:val="14"/>
                <w:szCs w:val="14"/>
                <w:b w:val="1"/>
                <w:bCs w:val="1"/>
                <w:color w:val="auto"/>
                <w:w w:val="97"/>
              </w:rPr>
              <w:t>Waste &amp;</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36"/>
              <w:spacing w:after="0"/>
              <w:rPr>
                <w:sz w:val="20"/>
                <w:szCs w:val="20"/>
                <w:color w:val="auto"/>
              </w:rPr>
            </w:pPr>
            <w:r>
              <w:rPr>
                <w:rFonts w:ascii="Arial" w:cs="Arial" w:eastAsia="Arial" w:hAnsi="Arial"/>
                <w:sz w:val="14"/>
                <w:szCs w:val="14"/>
                <w:b w:val="1"/>
                <w:bCs w:val="1"/>
                <w:color w:val="auto"/>
              </w:rPr>
              <w:t>Hefty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96"/>
              <w:spacing w:after="0"/>
              <w:rPr>
                <w:sz w:val="20"/>
                <w:szCs w:val="20"/>
                <w:color w:val="auto"/>
              </w:rPr>
            </w:pPr>
            <w:r>
              <w:rPr>
                <w:rFonts w:ascii="Arial" w:cs="Arial" w:eastAsia="Arial" w:hAnsi="Arial"/>
                <w:sz w:val="14"/>
                <w:szCs w:val="14"/>
                <w:b w:val="1"/>
                <w:bCs w:val="1"/>
                <w:color w:val="auto"/>
              </w:rPr>
              <w:t>Presto</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ind w:right="134"/>
              <w:spacing w:after="0" w:line="207" w:lineRule="exact"/>
              <w:rPr>
                <w:sz w:val="20"/>
                <w:szCs w:val="20"/>
                <w:color w:val="auto"/>
              </w:rPr>
            </w:pPr>
            <w:r>
              <w:rPr>
                <w:rFonts w:ascii="Arial" w:cs="Arial" w:eastAsia="Arial" w:hAnsi="Arial"/>
                <w:sz w:val="14"/>
                <w:szCs w:val="14"/>
                <w:b w:val="1"/>
                <w:bCs w:val="1"/>
                <w:color w:val="auto"/>
                <w:w w:val="95"/>
              </w:rPr>
              <w:t>Unallocated</w:t>
            </w:r>
            <w:r>
              <w:rPr>
                <w:rFonts w:ascii="MS PGothic" w:cs="MS PGothic" w:eastAsia="MS PGothic" w:hAnsi="MS PGothic"/>
                <w:sz w:val="14"/>
                <w:szCs w:val="14"/>
                <w:color w:val="auto"/>
                <w:w w:val="95"/>
              </w:rPr>
              <w:t>⁽</w:t>
            </w:r>
            <w:r>
              <w:rPr>
                <w:rFonts w:ascii="Arial" w:cs="Arial" w:eastAsia="Arial" w:hAnsi="Arial"/>
                <w:sz w:val="18"/>
                <w:szCs w:val="18"/>
                <w:b w:val="1"/>
                <w:bCs w:val="1"/>
                <w:color w:val="auto"/>
                <w:w w:val="95"/>
                <w:vertAlign w:val="superscript"/>
              </w:rPr>
              <w:t>1</w:t>
            </w:r>
            <w:r>
              <w:rPr>
                <w:rFonts w:ascii="MS PGothic" w:cs="MS PGothic" w:eastAsia="MS PGothic" w:hAnsi="MS PGothic"/>
                <w:sz w:val="14"/>
                <w:szCs w:val="14"/>
                <w:color w:val="auto"/>
                <w:w w:val="95"/>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Consumer</w:t>
            </w: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Baking</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8"/>
              </w:rPr>
              <w:t>Storage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3"/>
              </w:rPr>
              <w:t>Tableware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2"/>
              </w:rPr>
              <w:t>Products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8"/>
              </w:rPr>
              <w:t>Products</w:t>
            </w:r>
          </w:p>
        </w:tc>
        <w:tc>
          <w:tcPr>
            <w:tcW w:w="0" w:type="dxa"/>
            <w:vAlign w:val="bottom"/>
          </w:tcPr>
          <w:p>
            <w:pPr>
              <w:spacing w:after="0"/>
              <w:rPr>
                <w:sz w:val="1"/>
                <w:szCs w:val="1"/>
                <w:color w:val="auto"/>
              </w:rPr>
            </w:pPr>
          </w:p>
        </w:tc>
      </w:tr>
      <w:tr>
        <w:trPr>
          <w:trHeight w:val="243"/>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 for the six months ended June 30: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jc w:val="right"/>
              <w:ind w:right="3973"/>
              <w:spacing w:after="0"/>
              <w:rPr>
                <w:sz w:val="20"/>
                <w:szCs w:val="20"/>
                <w:color w:val="auto"/>
              </w:rPr>
            </w:pPr>
            <w:r>
              <w:rPr>
                <w:rFonts w:ascii="Arial" w:cs="Arial" w:eastAsia="Arial" w:hAnsi="Arial"/>
                <w:sz w:val="18"/>
                <w:szCs w:val="18"/>
                <w:color w:val="auto"/>
              </w:rPr>
              <w:t>2023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jc w:val="right"/>
              <w:ind w:right="3973"/>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0"/>
        </w:trPr>
        <w:tc>
          <w:tcPr>
            <w:tcW w:w="4660" w:type="dxa"/>
            <w:vAlign w:val="bottom"/>
          </w:tcPr>
          <w:p>
            <w:pPr>
              <w:ind w:left="20"/>
              <w:spacing w:after="0" w:line="207" w:lineRule="exact"/>
              <w:rPr>
                <w:sz w:val="20"/>
                <w:szCs w:val="20"/>
                <w:color w:val="auto"/>
              </w:rPr>
            </w:pPr>
            <w:r>
              <w:rPr>
                <w:rFonts w:ascii="Arial" w:cs="Arial" w:eastAsia="Arial" w:hAnsi="Arial"/>
                <w:sz w:val="18"/>
                <w:szCs w:val="18"/>
                <w:color w:val="auto"/>
              </w:rPr>
              <w:t>Adjusted EBITDA</w:t>
            </w:r>
            <w:r>
              <w:rPr>
                <w:rFonts w:ascii="MS PGothic" w:cs="MS PGothic" w:eastAsia="MS PGothic" w:hAnsi="MS PGothic"/>
                <w:sz w:val="18"/>
                <w:szCs w:val="18"/>
                <w:color w:val="auto"/>
              </w:rPr>
              <w:t>⁽</w:t>
            </w:r>
            <w:r>
              <w:rPr>
                <w:rFonts w:ascii="Arial" w:cs="Arial" w:eastAsia="Arial" w:hAnsi="Arial"/>
                <w:sz w:val="18"/>
                <w:szCs w:val="18"/>
                <w:color w:val="auto"/>
              </w:rPr>
              <w:t>²</w:t>
            </w:r>
            <w:r>
              <w:rPr>
                <w:rFonts w:ascii="MS PGothic" w:cs="MS PGothic" w:eastAsia="MS PGothic" w:hAnsi="MS PGothic"/>
                <w:sz w:val="18"/>
                <w:szCs w:val="18"/>
                <w:color w:val="auto"/>
              </w:rPr>
              <w:t>⁾</w:t>
            </w:r>
            <w:r>
              <w:rPr>
                <w:rFonts w:ascii="Arial" w:cs="Arial" w:eastAsia="Arial" w:hAnsi="Arial"/>
                <w:sz w:val="18"/>
                <w:szCs w:val="18"/>
                <w:color w:val="auto"/>
              </w:rPr>
              <w:t xml:space="preserve"> for the six months ended June 30:</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jc w:val="right"/>
              <w:ind w:right="3973"/>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4660" w:type="dxa"/>
            <w:vAlign w:val="bottom"/>
          </w:tcPr>
          <w:p>
            <w:pPr>
              <w:jc w:val="right"/>
              <w:ind w:right="3973"/>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6243955</wp:posOffset>
            </wp:positionH>
            <wp:positionV relativeFrom="paragraph">
              <wp:posOffset>-1147445</wp:posOffset>
            </wp:positionV>
            <wp:extent cx="97155" cy="74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340" w:hanging="332"/>
        <w:spacing w:after="0" w:line="274"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ind w:left="340" w:hanging="332"/>
        <w:spacing w:after="0"/>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EBITDA is a non-GAAP measure. See “Non-GAAP Measures” for details, including a reconciliation between net income and Adjusted</w:t>
      </w:r>
    </w:p>
    <w:p>
      <w:pPr>
        <w:spacing w:after="0" w:line="20"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2"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Six Months Ended June 30, 2023 Compared with the Six Months Ended June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Reynolds Consumer Products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For the Six Months Ended June 30,</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220" w:type="dxa"/>
            <w:vAlign w:val="bottom"/>
          </w:tcPr>
          <w:p>
            <w:pPr>
              <w:spacing w:after="0"/>
              <w:rPr>
                <w:sz w:val="16"/>
                <w:szCs w:val="16"/>
                <w:color w:val="auto"/>
              </w:rPr>
            </w:pPr>
          </w:p>
        </w:tc>
        <w:tc>
          <w:tcPr>
            <w:tcW w:w="720" w:type="dxa"/>
            <w:vAlign w:val="bottom"/>
          </w:tcPr>
          <w:p>
            <w:pPr>
              <w:jc w:val="right"/>
              <w:ind w:right="231"/>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98 %</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63"/>
        </w:trPr>
        <w:tc>
          <w:tcPr>
            <w:tcW w:w="4140" w:type="dxa"/>
            <w:vAlign w:val="bottom"/>
          </w:tcPr>
          <w:p>
            <w:pPr>
              <w:ind w:left="20"/>
              <w:spacing w:after="0"/>
              <w:rPr>
                <w:sz w:val="20"/>
                <w:szCs w:val="20"/>
                <w:color w:val="auto"/>
              </w:rPr>
            </w:pPr>
            <w:r>
              <w:rPr>
                <w:rFonts w:ascii="Arial" w:cs="Arial" w:eastAsia="Arial" w:hAnsi="Arial"/>
                <w:sz w:val="18"/>
                <w:szCs w:val="18"/>
                <w:color w:val="auto"/>
              </w:rPr>
              <w:t>Related party net revenues</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1,814</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1,762</w:t>
            </w:r>
          </w:p>
        </w:tc>
        <w:tc>
          <w:tcPr>
            <w:tcW w:w="1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100 %</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63"/>
        </w:trPr>
        <w:tc>
          <w:tcPr>
            <w:tcW w:w="41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(1,430)</w:t>
            </w:r>
          </w:p>
        </w:tc>
        <w:tc>
          <w:tcPr>
            <w:tcW w:w="16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(1,410)</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(80) %</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1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20 %</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9 %</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(10) %</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0"/>
        </w:trPr>
        <w:tc>
          <w:tcPr>
            <w:tcW w:w="4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171</w:t>
            </w:r>
          </w:p>
        </w:tc>
        <w:tc>
          <w:tcPr>
            <w:tcW w:w="16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9 %</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 %</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0"/>
        </w:trPr>
        <w:tc>
          <w:tcPr>
            <w:tcW w:w="4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16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8 %</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 %</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 %</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4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6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5 %</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6 %</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 %</w:t>
            </w: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CEEFF"/>
          </w:tcPr>
          <w:p>
            <w:pPr>
              <w:ind w:left="20"/>
              <w:spacing w:after="0" w:line="207" w:lineRule="exact"/>
              <w:rPr>
                <w:sz w:val="20"/>
                <w:szCs w:val="20"/>
                <w:color w:val="auto"/>
              </w:rPr>
            </w:pPr>
            <w:r>
              <w:rPr>
                <w:rFonts w:ascii="Arial" w:cs="Arial" w:eastAsia="Arial" w:hAnsi="Arial"/>
                <w:sz w:val="18"/>
                <w:szCs w:val="18"/>
                <w:b w:val="1"/>
                <w:bCs w:val="1"/>
                <w:color w:val="auto"/>
              </w:rPr>
              <w:t xml:space="preserve">Adjusted EBITDA </w:t>
            </w:r>
            <w:r>
              <w:rPr>
                <w:rFonts w:ascii="MS PGothic" w:cs="MS PGothic" w:eastAsia="MS PGothic" w:hAnsi="MS PGothic"/>
                <w:sz w:val="18"/>
                <w:szCs w:val="18"/>
                <w:color w:val="auto"/>
              </w:rPr>
              <w:t>⁽</w:t>
            </w:r>
            <w:r>
              <w:rPr>
                <w:rFonts w:ascii="Arial" w:cs="Arial" w:eastAsia="Arial" w:hAnsi="Arial"/>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4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13 %</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13 %</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7"/>
        </w:trPr>
        <w:tc>
          <w:tcPr>
            <w:tcW w:w="4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-179705</wp:posOffset>
            </wp:positionV>
            <wp:extent cx="106045" cy="86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34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Adjusted EBITDA is a non-GAAP measure. See “Non-GAAP Measures” for details, including a reconciliation between net income and Adjusted</w:t>
      </w:r>
    </w:p>
    <w:p>
      <w:pPr>
        <w:spacing w:after="0" w:line="34"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EBITDA.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Change in Net Revenues for the Six Months Ended June 30, 2023 vs. the Six Months Ended June 30, 2022</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1100" w:type="dxa"/>
            <w:vAlign w:val="bottom"/>
          </w:tcPr>
          <w:p>
            <w:pPr>
              <w:ind w:left="580"/>
              <w:spacing w:after="0"/>
              <w:rPr>
                <w:sz w:val="20"/>
                <w:szCs w:val="20"/>
                <w:color w:val="auto"/>
              </w:rPr>
            </w:pPr>
            <w:r>
              <w:rPr>
                <w:rFonts w:ascii="Arial" w:cs="Arial" w:eastAsia="Arial" w:hAnsi="Arial"/>
                <w:sz w:val="14"/>
                <w:szCs w:val="14"/>
                <w:b w:val="1"/>
                <w:bCs w:val="1"/>
                <w:color w:val="auto"/>
              </w:rPr>
              <w:t>Price</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jc w:val="right"/>
              <w:ind w:right="273"/>
              <w:spacing w:after="0"/>
              <w:rPr>
                <w:sz w:val="20"/>
                <w:szCs w:val="20"/>
                <w:color w:val="auto"/>
              </w:rPr>
            </w:pPr>
            <w:r>
              <w:rPr>
                <w:rFonts w:ascii="Arial" w:cs="Arial" w:eastAsia="Arial" w:hAnsi="Arial"/>
                <w:sz w:val="14"/>
                <w:szCs w:val="14"/>
                <w:b w:val="1"/>
                <w:bCs w:val="1"/>
                <w:color w:val="auto"/>
              </w:rPr>
              <w:t>Volume/Mix</w:t>
            </w:r>
          </w:p>
        </w:tc>
        <w:tc>
          <w:tcPr>
            <w:tcW w:w="340" w:type="dxa"/>
            <w:vAlign w:val="bottom"/>
          </w:tcPr>
          <w:p>
            <w:pPr>
              <w:spacing w:after="0"/>
              <w:rPr>
                <w:sz w:val="16"/>
                <w:szCs w:val="16"/>
                <w:color w:val="auto"/>
              </w:rPr>
            </w:pPr>
          </w:p>
        </w:tc>
        <w:tc>
          <w:tcPr>
            <w:tcW w:w="18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Total</w:t>
            </w:r>
          </w:p>
        </w:tc>
      </w:tr>
      <w:tr>
        <w:trPr>
          <w:trHeight w:val="39"/>
        </w:trPr>
        <w:tc>
          <w:tcPr>
            <w:tcW w:w="58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r>
      <w:tr>
        <w:trPr>
          <w:trHeight w:val="243"/>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Reynolds Cooking &amp; Baking</w:t>
            </w: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7 %</w:t>
            </w:r>
          </w:p>
        </w:tc>
      </w:tr>
      <w:tr>
        <w:trPr>
          <w:trHeight w:val="243"/>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Hefty Waste &amp; Storage</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 %</w:t>
            </w:r>
          </w:p>
        </w:tc>
      </w:tr>
      <w:tr>
        <w:trPr>
          <w:trHeight w:val="27"/>
        </w:trPr>
        <w:tc>
          <w:tcPr>
            <w:tcW w:w="5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Hefty Tableware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6 %</w:t>
            </w:r>
          </w:p>
        </w:tc>
      </w:tr>
      <w:tr>
        <w:trPr>
          <w:trHeight w:val="243"/>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Presto Products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 %</w:t>
            </w:r>
          </w:p>
        </w:tc>
      </w:tr>
      <w:tr>
        <w:trPr>
          <w:trHeight w:val="27"/>
        </w:trPr>
        <w:tc>
          <w:tcPr>
            <w:tcW w:w="5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3"/>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RCP</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3 %</w:t>
            </w:r>
          </w:p>
        </w:tc>
      </w:tr>
      <w:tr>
        <w:trPr>
          <w:trHeight w:val="27"/>
        </w:trPr>
        <w:tc>
          <w:tcPr>
            <w:tcW w:w="58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3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Total Net Revenues</w:t>
      </w:r>
      <w:r>
        <w:rPr>
          <w:rFonts w:ascii="Arial" w:cs="Arial" w:eastAsia="Arial" w:hAnsi="Arial"/>
          <w:sz w:val="18"/>
          <w:szCs w:val="18"/>
          <w:color w:val="auto"/>
        </w:rPr>
        <w:t>. Total net revenues increased by $52 million, or 3%, to $1,814 million. The increase was primarily driven by the timing of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to recover increased costs, partially offset by lower volume. Increased volume in our Reynolds Cooking &amp; Baking segment was more than offset by volume declines in our other three segments.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increased by $20 million, or 1%, to $1,430 million. The increase was driven by higher material and manufacturing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lower volume and lower logistics costs.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$38 million, or 22%, to $212 million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higher personnel costs, professional fees and advertising costs.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by $11 million, or 92%, to $1 million primarily due to IPO and separation-related costs in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that did not reoccur in the current year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w:t>
      </w:r>
      <w:r>
        <w:rPr>
          <w:rFonts w:ascii="Arial" w:cs="Arial" w:eastAsia="Arial" w:hAnsi="Arial"/>
          <w:sz w:val="18"/>
          <w:szCs w:val="18"/>
          <w:i w:val="1"/>
          <w:iCs w:val="1"/>
          <w:color w:val="auto"/>
        </w:rPr>
        <w:t xml:space="preserve"> Net</w:t>
      </w:r>
      <w:r>
        <w:rPr>
          <w:rFonts w:ascii="Arial" w:cs="Arial" w:eastAsia="Arial" w:hAnsi="Arial"/>
          <w:sz w:val="18"/>
          <w:szCs w:val="18"/>
          <w:color w:val="auto"/>
        </w:rPr>
        <w:t>. Interest expense, net increased by $32 million, or 114%, to $60 million due to higher interest rates.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recognized income tax expense of $28 million on income before income taxes of $111 million (an effective tax rate of 25.3%)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2023 compared to income tax expense of $34 million on income before income taxes of $138 million (an effective tax rate of 24.8%) for the six months ended June 30, 2022.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increased by $2 million, or 1%, to $232 million. The increase in Adjusted EBITDA was primarily attributable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pricing actions to recover increased costs, as well as lower logistics costs, partially offset by higher material and manufacturing costs and higher selling, general and administrative expenses.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Reynolds Cooking &amp; Baking</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For the Six Months Ended June 30,</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1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41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36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020" w:type="dxa"/>
            <w:vAlign w:val="bottom"/>
            <w:gridSpan w:val="3"/>
          </w:tcPr>
          <w:p>
            <w:pPr>
              <w:jc w:val="right"/>
              <w:ind w:right="14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Total Segment Net Revenues</w:t>
      </w:r>
      <w:r>
        <w:rPr>
          <w:rFonts w:ascii="Arial" w:cs="Arial" w:eastAsia="Arial" w:hAnsi="Arial"/>
          <w:sz w:val="18"/>
          <w:szCs w:val="18"/>
          <w:color w:val="auto"/>
        </w:rPr>
        <w:t>. Reynolds Cooking &amp; Baking total segment net revenues increased by $42 million, or 7%, to $604 million. The increase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was primarily driven by higher volume. Retail sales increased $58 million in the comparative period, driven by a 10% volume increase while non-retail sales were down $16 million compared to the prior year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Reynolds Cooking &amp; Baking Adjusted EBITDA decreased by $21 million, or 33%, to $43 million. The decrease in Adjusted EBITDA</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driven by higher material and manufacturing costs, partially offset by higher volume.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Waste &amp; Storage</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For the Six Months Ended June 30,</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9"/>
        </w:trPr>
        <w:tc>
          <w:tcPr>
            <w:tcW w:w="41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98"/>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Change</w:t>
            </w:r>
          </w:p>
        </w:tc>
      </w:tr>
      <w:tr>
        <w:trPr>
          <w:trHeight w:val="25"/>
        </w:trPr>
        <w:tc>
          <w:tcPr>
            <w:tcW w:w="4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40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9"/>
              </w:rPr>
              <w:t>(3)</w:t>
            </w:r>
          </w:p>
        </w:tc>
        <w:tc>
          <w:tcPr>
            <w:tcW w:w="2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 %</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26</w:t>
            </w:r>
          </w:p>
        </w:tc>
        <w:tc>
          <w:tcPr>
            <w:tcW w:w="2020" w:type="dxa"/>
            <w:vAlign w:val="bottom"/>
            <w:gridSpan w:val="3"/>
          </w:tcPr>
          <w:p>
            <w:pPr>
              <w:jc w:val="right"/>
              <w:ind w:right="140"/>
              <w:spacing w:after="0"/>
              <w:rPr>
                <w:sz w:val="20"/>
                <w:szCs w:val="20"/>
                <w:color w:val="auto"/>
              </w:rPr>
            </w:pPr>
            <w:r>
              <w:rPr>
                <w:rFonts w:ascii="Arial" w:cs="Arial" w:eastAsia="Arial" w:hAnsi="Arial"/>
                <w:sz w:val="18"/>
                <w:szCs w:val="18"/>
                <w:color w:val="auto"/>
              </w:rPr>
              <w:t>29 %</w:t>
            </w:r>
          </w:p>
        </w:tc>
      </w:tr>
      <w:tr>
        <w:trPr>
          <w:trHeight w:val="27"/>
        </w:trPr>
        <w:tc>
          <w:tcPr>
            <w:tcW w:w="4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r>
      <w:tr>
        <w:trPr>
          <w:trHeight w:val="27"/>
        </w:trPr>
        <w:tc>
          <w:tcPr>
            <w:tcW w:w="4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Total Segment Net Revenues</w:t>
      </w:r>
      <w:r>
        <w:rPr>
          <w:rFonts w:ascii="Arial" w:cs="Arial" w:eastAsia="Arial" w:hAnsi="Arial"/>
          <w:sz w:val="18"/>
          <w:szCs w:val="18"/>
          <w:color w:val="auto"/>
        </w:rPr>
        <w:t>. Hefty Waste &amp; Storage total segment net revenues decreased by $3 million, or 1%, to $463 million. The decrease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was primarily driven by lower volume, partially offset by the timing of pricing actions to recover increased costs.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Waste &amp; Storage Adjusted EBITDA increased by $26 million, or 29%, to $117 million. The increase in Adjusted EBITDA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lower material costs and the timing of pricing actions to recover increased costs, partially offset by higher manufacturing costs, lower volume and higher advertising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Tableware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For the Six Months Ended June 30,</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5"/>
        </w:trPr>
        <w:tc>
          <w:tcPr>
            <w:tcW w:w="4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198"/>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340" w:type="dxa"/>
            <w:vAlign w:val="bottom"/>
          </w:tcPr>
          <w:p>
            <w:pPr>
              <w:spacing w:after="0"/>
              <w:rPr>
                <w:sz w:val="17"/>
                <w:szCs w:val="17"/>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 Change</w:t>
            </w:r>
          </w:p>
        </w:tc>
      </w:tr>
      <w:tr>
        <w:trPr>
          <w:trHeight w:val="25"/>
        </w:trPr>
        <w:tc>
          <w:tcPr>
            <w:tcW w:w="4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40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6 %</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2020" w:type="dxa"/>
            <w:vAlign w:val="bottom"/>
            <w:gridSpan w:val="3"/>
          </w:tcPr>
          <w:p>
            <w:pPr>
              <w:jc w:val="right"/>
              <w:ind w:right="140"/>
              <w:spacing w:after="0"/>
              <w:rPr>
                <w:sz w:val="20"/>
                <w:szCs w:val="20"/>
                <w:color w:val="auto"/>
              </w:rPr>
            </w:pPr>
            <w:r>
              <w:rPr>
                <w:rFonts w:ascii="Arial" w:cs="Arial" w:eastAsia="Arial" w:hAnsi="Arial"/>
                <w:sz w:val="18"/>
                <w:szCs w:val="18"/>
                <w:color w:val="auto"/>
              </w:rPr>
              <w:t>58 %</w:t>
            </w:r>
          </w:p>
        </w:tc>
      </w:tr>
      <w:tr>
        <w:trPr>
          <w:trHeight w:val="27"/>
        </w:trPr>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r>
      <w:tr>
        <w:trPr>
          <w:trHeight w:val="27"/>
        </w:trPr>
        <w:tc>
          <w:tcPr>
            <w:tcW w:w="4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Hefty Tableware total segment net revenues increased by $25 million, or 6%, to $475 million. The increase in 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driven by the timing of pricing actions to recover increased costs, partially offset by lower volume.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Tableware Adjusted EBITDA increased by $28 million, or 58%, to $76 million. The increase in Adjusted EBITDA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the timing of pricing actions to recover increased costs, as well as lower logistics costs, partially offset by higher material and manufacturing costs and lower volume.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Products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For the Six Months Ended June 30,</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9"/>
        </w:trPr>
        <w:tc>
          <w:tcPr>
            <w:tcW w:w="4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020" w:type="dxa"/>
            <w:vAlign w:val="bottom"/>
            <w:gridSpan w:val="3"/>
          </w:tcPr>
          <w:p>
            <w:pPr>
              <w:jc w:val="right"/>
              <w:ind w:right="14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Total Segment Net Revenues. </w:t>
      </w:r>
      <w:r>
        <w:rPr>
          <w:rFonts w:ascii="Arial" w:cs="Arial" w:eastAsia="Arial" w:hAnsi="Arial"/>
          <w:sz w:val="18"/>
          <w:szCs w:val="18"/>
          <w:color w:val="auto"/>
        </w:rPr>
        <w:t>Presto Products total segment net revenues decreased by $4 million, or 1%, to $288 million. The decrease in net revenues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lower volume.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Presto Products Adjusted EBITDA increased by $3 million, or 7%, to $47 million. The increase in Adjusted EBITDA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lower material and logistics costs, partially offset by higher manufacturing costs and lower volume.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sources of liquidity are existing cash and cash equivalents, cash generated from operating activities and available borrowings under the Revolving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our cash flows for the periods presented: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For the Six Months Ended June 30,</w:t>
            </w:r>
          </w:p>
        </w:tc>
      </w:tr>
      <w:tr>
        <w:trPr>
          <w:trHeight w:val="25"/>
        </w:trPr>
        <w:tc>
          <w:tcPr>
            <w:tcW w:w="8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8"/>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7"/>
                <w:szCs w:val="17"/>
                <w:color w:val="auto"/>
              </w:rPr>
            </w:pPr>
          </w:p>
        </w:tc>
        <w:tc>
          <w:tcPr>
            <w:tcW w:w="11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r>
      <w:tr>
        <w:trPr>
          <w:trHeight w:val="25"/>
        </w:trPr>
        <w:tc>
          <w:tcPr>
            <w:tcW w:w="8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7"/>
        </w:trPr>
        <w:tc>
          <w:tcPr>
            <w:tcW w:w="80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14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r>
      <w:tr>
        <w:trPr>
          <w:trHeight w:val="27"/>
        </w:trPr>
        <w:tc>
          <w:tcPr>
            <w:tcW w:w="8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Net cash from operating activities increased by $106 million to $207 million in the six months ended June 30, 2023. </w:t>
      </w:r>
      <w:r>
        <w:rPr>
          <w:rFonts w:ascii="Arial" w:cs="Arial" w:eastAsia="Arial" w:hAnsi="Arial"/>
          <w:sz w:val="18"/>
          <w:szCs w:val="18"/>
          <w:color w:val="212529"/>
        </w:rPr>
        <w:t>The increase was primarily driven by</w:t>
      </w:r>
      <w:r>
        <w:rPr>
          <w:rFonts w:ascii="Arial" w:cs="Arial" w:eastAsia="Arial" w:hAnsi="Arial"/>
          <w:sz w:val="18"/>
          <w:szCs w:val="18"/>
          <w:color w:val="auto"/>
        </w:rPr>
        <w:t xml:space="preserve"> </w:t>
      </w:r>
      <w:r>
        <w:rPr>
          <w:rFonts w:ascii="Arial" w:cs="Arial" w:eastAsia="Arial" w:hAnsi="Arial"/>
          <w:sz w:val="18"/>
          <w:szCs w:val="18"/>
          <w:color w:val="212529"/>
        </w:rPr>
        <w:t>reductions in working capital.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decreased by $5 million to $51 million. The decrease was driven primarily by decreased cash outlays for capital expenditures.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remained relatively flat.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Debt Facilities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2020, we entered into the External Debt Facilities which consist of a $2,475 million Term Loan Facility and a Revolving Facility that provides for additional borrowing capacity of up to $250 million, reduced by amounts used for letters of credit. In February 2023, we amended the External Debt Facilities (“Amended External Debt Facilities”) which replaced the benchmark from the London Interbank Offered Rate (“LIBOR”) to the Secured Overnight Financing Rate (“SOFR”). Other than the foregoing, the material terms of the agreement remained unchanged.</w:t>
      </w:r>
    </w:p>
    <w:p>
      <w:pPr>
        <w:spacing w:after="0" w:line="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June 30, 2023, the outstanding balance under the Term Loan Facility was $2,095 million. As of June 30, 2023, we had no outstanding borrowings under the Revolving Facility, and we had $6 million of letters of credit outstanding, which reduces the borrowing capacity under the Revolving Facility.</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borrower under the Amended External Debt Facilities is Reynolds Consumer Products LLC (the “Borrower”). The Revolving Facility includes a sub-facility for letters of credit. In addition, the Amended External Debt Facilities provide that the Borrower has the right at any time, subject to customary conditions, to request incremental term loans or incremental revolving credit commitments in amounts and on terms set forth therein. The lenders under the Amended External Debt Facilities are not under any obligation to provide any such incremental loans or commitments, and any such addition of or increase in loans is subject to certain customary conditions precedent and other provisions.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and fees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Borrowings under the Amended External Debt Facilities bear interest at a rate per annum equal to, at our option, either a base rate plus an applicable margin of 0.75% or SOFR plus an applicable margin of 1.75%.</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2020 and 2022, we entered into a series of interest rate swaps to fix the LIBOR of our External Debt Facilities. On February 28, 2023, we amended our interest rate swaps to replace the interest rate benchmark from the LIBOR to SOFR. Other than the foregoing, the material terms of the interest rate swap agreements remained unchanged, and our election to use practical expedients under ASUs 2020-04 and 2021-01 resulted in no material impacts on the condensed consolidated financial statements. After the amendments, the aggregate notional amount of our interest rate swaps still in effect as of June 30, 2023 was $1,150 million, and the SOFR is fixed at an annual rate of 0.40% to 3.40% (for an annual effective interest rate of 2.15% to 5.15%, including margin). These interest rate swaps hedge a portion of the interest rate exposure resulting from our Term Loan Facility for periods ranging from two to three years.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Facility contains customary mandatory prepayments, including with respect to excess cash flow, asset sale proceeds and proceeds from certain incurrences of indebtedness.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Borrower may voluntarily repay outstanding loans under the Term Loan Facility at any time without premium or penalty, other than customary breakage costs with respect to SOFR based loans. Subsequent to June 30, 2023, we made a voluntary principal payment of $100 million related to the Term Loan Facility, which was not subject to a prepayment premium.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and maturity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Facility matures in February 2027. The Term Loan Facility amortizes in equal quarterly installments of $6 million, which commenced in June 2020, with the balance payable on maturity. The Revolving Facility matures in February 2025.</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 and security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obligations under the Amended External Debt Facilities and certain hedge agreements and cash management arrangements provided by any lender party to the Amended External Debt Facilities or any of its affiliates and certain other persons are unconditionally guaranteed by Reynolds Consumer Products Inc.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obligations under the Amended External Debt Facilities and certain hedge agreements and cash management arrangements provided by any lender party to the Amended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 and events of default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Amended External Debt Facilities contain a number of covenants that, among other things, restrict, subject to certain exceptions, our ability and the ability of the restricted subsidiaries of RCPI to:</w:t>
      </w:r>
    </w:p>
    <w:p>
      <w:pPr>
        <w:spacing w:after="0" w:line="62" w:lineRule="exact"/>
        <w:rPr>
          <w:sz w:val="20"/>
          <w:szCs w:val="20"/>
          <w:color w:val="auto"/>
        </w:rPr>
      </w:pPr>
    </w:p>
    <w:p>
      <w:pPr>
        <w:ind w:left="880" w:hanging="431"/>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prepay, redeem or repurchase certain indebtedness;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 loans and advances;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880" w:hanging="431"/>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enter into agreements which limit the ability of our restricted subsidiaries to incur restrictions on their ability to make distributions; and</w:t>
      </w:r>
    </w:p>
    <w:p>
      <w:pPr>
        <w:spacing w:after="0" w:line="128" w:lineRule="exact"/>
        <w:rPr>
          <w:rFonts w:ascii="Arial" w:cs="Arial" w:eastAsia="Arial" w:hAnsi="Arial"/>
          <w:sz w:val="17"/>
          <w:szCs w:val="17"/>
          <w:color w:val="auto"/>
        </w:rPr>
      </w:pPr>
    </w:p>
    <w:p>
      <w:pPr>
        <w:ind w:left="880" w:hanging="431"/>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amendments to certain indebtedness in a manner materially adverse to the lenders.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Amended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 event of default occurs, the lenders under the Amended External Debt Facilities are entitled to take various actions, including the acceleration of amounts due under the Amended External Debt Facilities and all actions permitted to be taken by secured creditors.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in compliance with the covenants contained in our Amended External Debt Facilities.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12529"/>
        </w:rPr>
        <w:t xml:space="preserve">Our accounts receivable factoring agreement with JP Morgan Chase Bank, N.A. allows us to sell certain accounts receivable up to $190 million. We had no outstanding balance owed under the factoring arrangement as of </w:t>
      </w:r>
      <w:r>
        <w:rPr>
          <w:rFonts w:ascii="Arial" w:cs="Arial" w:eastAsia="Arial" w:hAnsi="Arial"/>
          <w:sz w:val="17"/>
          <w:szCs w:val="17"/>
          <w:color w:val="000000"/>
        </w:rPr>
        <w:t>June 30, 2023</w:t>
      </w:r>
      <w:r>
        <w:rPr>
          <w:rFonts w:ascii="Arial" w:cs="Arial" w:eastAsia="Arial" w:hAnsi="Arial"/>
          <w:sz w:val="17"/>
          <w:szCs w:val="17"/>
          <w:color w:val="212529"/>
        </w:rPr>
        <w:t>. Transactions under this agreement are accounted for as sales of accounts receivable, and the receivables sold are removed from the condensed consolidated balance sheet at the time of the sales transaction. We classify the proceeds received from the sales of accounts receivable as an operating cash flow in the condensed consolidated statement of cash flows. We record the discount as other expense, net in the condensed consolidated statement of income.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Supply Chain Financing</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12529"/>
        </w:rPr>
        <w:t xml:space="preserve">In March 2023, we initiated a voluntary Supply Chain Finance program (the </w:t>
      </w:r>
      <w:r>
        <w:rPr>
          <w:rFonts w:ascii="Arial" w:cs="Arial" w:eastAsia="Arial" w:hAnsi="Arial"/>
          <w:sz w:val="17"/>
          <w:szCs w:val="17"/>
          <w:color w:val="000000"/>
        </w:rPr>
        <w:t>“</w:t>
      </w:r>
      <w:r>
        <w:rPr>
          <w:rFonts w:ascii="Arial" w:cs="Arial" w:eastAsia="Arial" w:hAnsi="Arial"/>
          <w:sz w:val="17"/>
          <w:szCs w:val="17"/>
          <w:color w:val="212529"/>
        </w:rPr>
        <w:t>SCF</w:t>
      </w:r>
      <w:r>
        <w:rPr>
          <w:rFonts w:ascii="Arial" w:cs="Arial" w:eastAsia="Arial" w:hAnsi="Arial"/>
          <w:sz w:val="17"/>
          <w:szCs w:val="17"/>
          <w:color w:val="000000"/>
        </w:rPr>
        <w:t>”</w:t>
      </w:r>
      <w:r>
        <w:rPr>
          <w:rFonts w:ascii="Arial" w:cs="Arial" w:eastAsia="Arial" w:hAnsi="Arial"/>
          <w:sz w:val="17"/>
          <w:szCs w:val="17"/>
          <w:color w:val="212529"/>
        </w:rPr>
        <w:t xml:space="preserve">) with a global financial institution (the </w:t>
      </w:r>
      <w:r>
        <w:rPr>
          <w:rFonts w:ascii="Arial" w:cs="Arial" w:eastAsia="Arial" w:hAnsi="Arial"/>
          <w:sz w:val="17"/>
          <w:szCs w:val="17"/>
          <w:color w:val="000000"/>
        </w:rPr>
        <w:t>“</w:t>
      </w:r>
      <w:r>
        <w:rPr>
          <w:rFonts w:ascii="Arial" w:cs="Arial" w:eastAsia="Arial" w:hAnsi="Arial"/>
          <w:sz w:val="17"/>
          <w:szCs w:val="17"/>
          <w:color w:val="212529"/>
        </w:rPr>
        <w:t>SCF Bank</w:t>
      </w:r>
      <w:r>
        <w:rPr>
          <w:rFonts w:ascii="Arial" w:cs="Arial" w:eastAsia="Arial" w:hAnsi="Arial"/>
          <w:sz w:val="17"/>
          <w:szCs w:val="17"/>
          <w:color w:val="000000"/>
        </w:rPr>
        <w:t>”</w:t>
      </w:r>
      <w:r>
        <w:rPr>
          <w:rFonts w:ascii="Arial" w:cs="Arial" w:eastAsia="Arial" w:hAnsi="Arial"/>
          <w:sz w:val="17"/>
          <w:szCs w:val="17"/>
          <w:color w:val="212529"/>
        </w:rPr>
        <w:t>).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w:t>
      </w:r>
      <w:r>
        <w:rPr>
          <w:rFonts w:ascii="Arial" w:cs="Arial" w:eastAsia="Arial" w:hAnsi="Arial"/>
          <w:sz w:val="17"/>
          <w:szCs w:val="17"/>
          <w:color w:val="000000"/>
        </w:rPr>
        <w:t>’</w:t>
      </w:r>
      <w:r>
        <w:rPr>
          <w:rFonts w:ascii="Arial" w:cs="Arial" w:eastAsia="Arial" w:hAnsi="Arial"/>
          <w:sz w:val="17"/>
          <w:szCs w:val="17"/>
          <w:color w:val="212529"/>
        </w:rPr>
        <w:t>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The terms of our payment obligations are not impacted by a supplier</w:t>
      </w:r>
      <w:r>
        <w:rPr>
          <w:rFonts w:ascii="Arial" w:cs="Arial" w:eastAsia="Arial" w:hAnsi="Arial"/>
          <w:sz w:val="18"/>
          <w:szCs w:val="18"/>
          <w:color w:val="000000"/>
        </w:rPr>
        <w:t>’</w:t>
      </w:r>
      <w:r>
        <w:rPr>
          <w:rFonts w:ascii="Arial" w:cs="Arial" w:eastAsia="Arial" w:hAnsi="Arial"/>
          <w:sz w:val="18"/>
          <w:szCs w:val="18"/>
          <w:color w:val="212529"/>
        </w:rPr>
        <w:t>s participation in the SCF and as such, the SCF has no direct impact on our balance sheets, cash flows, or liquidity. Our payment terms with our suppliers for similar services and materials within individual markets are consistent between suppliers that elect to participate in the SCF and those that do not participate.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All outstanding amounts related to suppliers participating in the SCF are recorded within accounts payable in the condensed consolidated balance sheet and the associated payments are included as an operating cash flow in the condensed consolidated statement of cash flows. As of </w:t>
      </w:r>
      <w:r>
        <w:rPr>
          <w:rFonts w:ascii="Arial" w:cs="Arial" w:eastAsia="Arial" w:hAnsi="Arial"/>
          <w:sz w:val="18"/>
          <w:szCs w:val="18"/>
          <w:color w:val="000000"/>
        </w:rPr>
        <w:t>June 30, 2023</w:t>
      </w:r>
      <w:r>
        <w:rPr>
          <w:rFonts w:ascii="Arial" w:cs="Arial" w:eastAsia="Arial" w:hAnsi="Arial"/>
          <w:sz w:val="18"/>
          <w:szCs w:val="18"/>
          <w:color w:val="212529"/>
        </w:rPr>
        <w:t>, the amount of obligations outstanding that we have confirmed as valid under the SCF was not 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Dividends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six months ended June 30, 2023, cash dividends of $0.23 and $0.46 per share, respectively, were declared and paid. On July 27, 2023, a quarterly cash dividend of $0.23 per share was declared and is to be paid on August 31, 2023. We expect to continue paying cash dividends on a quarterly basis; however, future dividends are at the discretion of our Board of Directors and will depend upon our earnings, capital requirements, financial condition, contractual limitations (including under the Term Loan Facility) and other factors.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that our projected cash position, cash flows from operations and available borrowings under the Revolving Facility are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in our Annual Report on Form 10-K for the fiscal year ended December 31, 2022.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our Annual Report on Form 10-K for the fiscal year ended December 31, 2022.</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“Item 7A: Quantitative and Qualitative Disclosures About Market Risk” of our Annual Report on Form 10-K for the fiscal year ended December 31, 2022. During the six months ended June 30, 2023, there have been no material changes in our exposure to market risk.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880" w:hanging="431"/>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Disclosure controls and procedures (as defined in Rules 13a-15(e) and 15d-15(e) under the Securities Exchange Act of 1934, as amended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Chief Executive Officer and Chief Financial Officer, to allow timely decisions regarding required disclosures.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preparation of this report, management, under the supervision and with the participation of the Chief Executive Officer and Chief Financial Officer, conducted an evaluation of the effectiveness of the design and operation of our disclosure controls and procedures as of June 30, 2023. Based on that evaluation, our Chief Executive Officer and Chief Financial Officer have concluded that, as of June 30, 2023, our disclosure controls and procedures were effective.</w:t>
      </w:r>
    </w:p>
    <w:p>
      <w:pPr>
        <w:spacing w:after="0" w:line="187" w:lineRule="exact"/>
        <w:rPr>
          <w:sz w:val="20"/>
          <w:szCs w:val="20"/>
          <w:color w:val="auto"/>
        </w:rPr>
      </w:pPr>
    </w:p>
    <w:p>
      <w:pPr>
        <w:ind w:left="880" w:hanging="431"/>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to be set forth under this heading is incorporated by reference from Note 7 - Commitments and Contingencies, to the condensed consolidated financial statements included in Part I, Item 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from the risk factors disclosed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0" w:name="page31"/>
    <w:bookmarkEnd w:id="30"/>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three months ended June 30, 2023, none of our directors or officers (as defined in Rule 16a-1(f) of the Exchange Act) adopted or terminated any contract, instruction or written plan for the purchase or sale of our securities that was intended to satisfy the affirmative defense conditions of Rule 10b5-1(c) of the Exchange Act or any non-Rule 10b5-1 trading arrangement (as identified in Item 408(c) of Regulation S-K).</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20" w:type="dxa"/>
            <w:vAlign w:val="bottom"/>
            <w:gridSpan w:val="9"/>
          </w:tcPr>
          <w:p>
            <w:pPr>
              <w:ind w:left="960"/>
              <w:spacing w:after="0"/>
              <w:rPr>
                <w:sz w:val="20"/>
                <w:szCs w:val="20"/>
                <w:color w:val="auto"/>
              </w:rPr>
            </w:pPr>
            <w:r>
              <w:rPr>
                <w:rFonts w:ascii="Arial" w:cs="Arial" w:eastAsia="Arial" w:hAnsi="Arial"/>
                <w:sz w:val="18"/>
                <w:szCs w:val="18"/>
                <w:b w:val="1"/>
                <w:bCs w:val="1"/>
                <w:color w:val="auto"/>
              </w:rPr>
              <w:t>Item 6. Exhibits.</w:t>
            </w:r>
          </w:p>
        </w:tc>
      </w:tr>
      <w:tr>
        <w:trPr>
          <w:trHeight w:val="450"/>
        </w:trPr>
        <w:tc>
          <w:tcPr>
            <w:tcW w:w="1380" w:type="dxa"/>
            <w:vAlign w:val="bottom"/>
          </w:tcPr>
          <w:p>
            <w:pPr>
              <w:ind w:left="46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6"/>
        </w:trPr>
        <w:tc>
          <w:tcPr>
            <w:tcW w:w="1380" w:type="dxa"/>
            <w:vAlign w:val="bottom"/>
          </w:tcPr>
          <w:p>
            <w:pPr>
              <w:ind w:left="4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860" w:type="dxa"/>
            <w:vAlign w:val="bottom"/>
            <w:gridSpan w:val="8"/>
          </w:tcPr>
          <w:p>
            <w:pPr>
              <w:ind w:left="620"/>
              <w:spacing w:after="0"/>
              <w:rPr>
                <w:sz w:val="20"/>
                <w:szCs w:val="20"/>
                <w:color w:val="auto"/>
              </w:rPr>
            </w:pPr>
            <w:r>
              <w:rPr>
                <w:rFonts w:ascii="Arial" w:cs="Arial" w:eastAsia="Arial" w:hAnsi="Arial"/>
                <w:sz w:val="14"/>
                <w:szCs w:val="14"/>
                <w:b w:val="1"/>
                <w:bCs w:val="1"/>
                <w:color w:val="auto"/>
              </w:rPr>
              <w:t>Description</w:t>
            </w:r>
          </w:p>
        </w:tc>
      </w:tr>
      <w:tr>
        <w:trPr>
          <w:trHeight w:val="39"/>
        </w:trPr>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453"/>
        </w:trPr>
        <w:tc>
          <w:tcPr>
            <w:tcW w:w="138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9"/>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Amended and Restated Certificate of Incorporation (incorporated herein by reference to Exhibit 3.1 to the Company’s Current Report</w:t>
              </w:r>
            </w:hyperlink>
          </w:p>
        </w:tc>
        <w:tc>
          <w:tcPr>
            <w:tcW w:w="10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11"/>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on Form 8-K filed with the SEC on February 4, 2020)</w:t>
              </w:r>
            </w:hyperlink>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38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60" w:type="dxa"/>
            <w:vAlign w:val="bottom"/>
            <w:tcBorders>
              <w:bottom w:val="single" w:sz="8" w:color="0000FF"/>
            </w:tcBorders>
            <w:gridSpan w:val="10"/>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Amended and Restated By-Laws (incorporated herein by reference to Exhibit 3.2 to the Company’s Current Report on Form 8-K filed</w:t>
              </w:r>
            </w:hyperlink>
          </w:p>
        </w:tc>
        <w:tc>
          <w:tcPr>
            <w:tcW w:w="80" w:type="dxa"/>
            <w:vAlign w:val="bottom"/>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11"/>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with the SEC on February 4, 2020)</w:t>
              </w:r>
            </w:hyperlink>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50"/>
        </w:trPr>
        <w:tc>
          <w:tcPr>
            <w:tcW w:w="138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120" w:type="dxa"/>
            <w:vAlign w:val="bottom"/>
            <w:gridSpan w:val="3"/>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4760" w:type="dxa"/>
            <w:vAlign w:val="bottom"/>
            <w:gridSpan w:val="7"/>
          </w:tcPr>
          <w:p>
            <w:pPr>
              <w:spacing w:after="0"/>
              <w:rPr>
                <w:sz w:val="17"/>
                <w:szCs w:val="17"/>
                <w:color w:val="auto"/>
              </w:rPr>
            </w:pPr>
          </w:p>
        </w:tc>
      </w:tr>
      <w:tr>
        <w:trPr>
          <w:trHeight w:val="250"/>
        </w:trPr>
        <w:tc>
          <w:tcPr>
            <w:tcW w:w="138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Certification of Principal Financial Officer Pursuant to Rules 13a-14(a) and 15d-14(a) under the Securities Exchange Act of 1934, as</w:t>
            </w:r>
          </w:p>
        </w:tc>
        <w:tc>
          <w:tcPr>
            <w:tcW w:w="180" w:type="dxa"/>
            <w:vAlign w:val="bottom"/>
            <w:gridSpan w:val="5"/>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4760" w:type="dxa"/>
            <w:vAlign w:val="bottom"/>
            <w:gridSpan w:val="7"/>
          </w:tcPr>
          <w:p>
            <w:pPr>
              <w:spacing w:after="0"/>
              <w:rPr>
                <w:sz w:val="17"/>
                <w:szCs w:val="17"/>
                <w:color w:val="auto"/>
              </w:rPr>
            </w:pPr>
          </w:p>
        </w:tc>
      </w:tr>
      <w:tr>
        <w:trPr>
          <w:trHeight w:val="250"/>
        </w:trPr>
        <w:tc>
          <w:tcPr>
            <w:tcW w:w="138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0"/>
              </w:rPr>
              <w:t>Certification of Principal Executive Officer Pursuant to 18 U.S.C. Section 1350, as Adopted Pursuant to Section 906 of the Sarbanes-</w:t>
            </w:r>
          </w:p>
        </w:tc>
        <w:tc>
          <w:tcPr>
            <w:tcW w:w="140" w:type="dxa"/>
            <w:vAlign w:val="bottom"/>
            <w:gridSpan w:val="4"/>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11"/>
          </w:tcPr>
          <w:p>
            <w:pPr>
              <w:spacing w:after="0" w:line="196" w:lineRule="exact"/>
              <w:rPr>
                <w:sz w:val="20"/>
                <w:szCs w:val="20"/>
                <w:color w:val="auto"/>
              </w:rPr>
            </w:pPr>
            <w:r>
              <w:rPr>
                <w:rFonts w:ascii="Arial" w:cs="Arial" w:eastAsia="Arial" w:hAnsi="Arial"/>
                <w:sz w:val="18"/>
                <w:szCs w:val="18"/>
                <w:color w:val="0000FF"/>
              </w:rPr>
              <w:t>Oxley Act of 2002.</w:t>
            </w: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16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250"/>
        </w:trPr>
        <w:tc>
          <w:tcPr>
            <w:tcW w:w="138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40" w:type="dxa"/>
            <w:vAlign w:val="bottom"/>
            <w:gridSpan w:val="11"/>
          </w:tcPr>
          <w:p>
            <w:pPr>
              <w:spacing w:after="0"/>
              <w:rPr>
                <w:sz w:val="20"/>
                <w:szCs w:val="20"/>
                <w:color w:val="auto"/>
              </w:rPr>
            </w:pPr>
            <w:r>
              <w:rPr>
                <w:rFonts w:ascii="Arial" w:cs="Arial" w:eastAsia="Arial" w:hAnsi="Arial"/>
                <w:sz w:val="18"/>
                <w:szCs w:val="18"/>
                <w:color w:val="0000FF"/>
                <w:w w:val="92"/>
              </w:rPr>
              <w:t>Certification of Principal Financial Officer Pursuant to 18 U.S.C. Section 1350, as Adopted Pursuant to Section 906 of the Sarbanes-</w:t>
            </w:r>
          </w:p>
        </w:tc>
      </w:tr>
      <w:tr>
        <w:trPr>
          <w:trHeight w:val="196"/>
        </w:trPr>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top w:val="single" w:sz="8" w:color="0000FF"/>
            </w:tcBorders>
            <w:gridSpan w:val="5"/>
          </w:tcPr>
          <w:p>
            <w:pPr>
              <w:spacing w:after="0" w:line="196" w:lineRule="exact"/>
              <w:rPr>
                <w:sz w:val="20"/>
                <w:szCs w:val="20"/>
                <w:color w:val="auto"/>
              </w:rPr>
            </w:pPr>
            <w:r>
              <w:rPr>
                <w:rFonts w:ascii="Arial" w:cs="Arial" w:eastAsia="Arial" w:hAnsi="Arial"/>
                <w:sz w:val="18"/>
                <w:szCs w:val="18"/>
                <w:color w:val="0000FF"/>
              </w:rPr>
              <w:t>Oxley Act of 2002.</w:t>
            </w:r>
          </w:p>
        </w:tc>
        <w:tc>
          <w:tcPr>
            <w:tcW w:w="200" w:type="dxa"/>
            <w:vAlign w:val="bottom"/>
            <w:gridSpan w:val="6"/>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360" w:type="dxa"/>
            <w:vAlign w:val="bottom"/>
            <w:gridSpan w:val="10"/>
          </w:tcPr>
          <w:p>
            <w:pPr>
              <w:spacing w:after="0" w:line="20" w:lineRule="exact"/>
              <w:rPr>
                <w:sz w:val="1"/>
                <w:szCs w:val="1"/>
                <w:color w:val="auto"/>
              </w:rPr>
            </w:pPr>
          </w:p>
        </w:tc>
      </w:tr>
      <w:tr>
        <w:trPr>
          <w:trHeight w:val="276"/>
        </w:trPr>
        <w:tc>
          <w:tcPr>
            <w:tcW w:w="1380" w:type="dxa"/>
            <w:vAlign w:val="bottom"/>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1"/>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XBRL tags are</w:t>
            </w:r>
          </w:p>
        </w:tc>
      </w:tr>
      <w:tr>
        <w:trPr>
          <w:trHeight w:val="230"/>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11"/>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1380" w:type="dxa"/>
            <w:vAlign w:val="bottom"/>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380" w:type="dxa"/>
            <w:vAlign w:val="bottom"/>
          </w:tcPr>
          <w:p>
            <w:pPr>
              <w:ind w:left="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380" w:type="dxa"/>
            <w:vAlign w:val="bottom"/>
          </w:tcPr>
          <w:p>
            <w:pPr>
              <w:ind w:left="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0"/>
        </w:trPr>
        <w:tc>
          <w:tcPr>
            <w:tcW w:w="1380" w:type="dxa"/>
            <w:vAlign w:val="bottom"/>
          </w:tcPr>
          <w:p>
            <w:pPr>
              <w:ind w:left="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380" w:type="dxa"/>
            <w:vAlign w:val="bottom"/>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0"/>
        </w:trPr>
        <w:tc>
          <w:tcPr>
            <w:tcW w:w="138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11"/>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w:t>
      </w:r>
    </w:p>
    <w:p>
      <w:pPr>
        <w:spacing w:after="0" w:line="3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REYNOLDS CONSUMER PRODUCTS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(Registrant)</w:t>
      </w:r>
    </w:p>
    <w:p>
      <w:pPr>
        <w:spacing w:after="0" w:line="320"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8"/>
          <w:szCs w:val="18"/>
          <w:color w:val="auto"/>
        </w:rPr>
        <w:t>By:</w:t>
        <w:tab/>
        <w:t>/s/ Chris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31750</wp:posOffset>
            </wp:positionV>
            <wp:extent cx="3402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Chris Mayrhofer</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Senior Vice President and Controller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Accounting Officer)</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August 9, 2023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5" w:right="339" w:bottom="1440" w:gutter="0" w:footer="0" w:header="0"/>
        </w:sectPr>
      </w:pPr>
    </w:p>
    <w:bookmarkStart w:id="33" w:name="page34"/>
    <w:bookmarkEnd w:id="33"/>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Lance Mitchell, certify that:</w:t>
      </w:r>
    </w:p>
    <w:p>
      <w:pPr>
        <w:spacing w:after="0" w:line="22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Reynolds Consumer Products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644"/>
        <w:spacing w:after="0" w:line="308"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60" w:val="left"/>
          <w:tab w:leader="none" w:pos="796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9"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Lance Mitchell</w:t>
      </w:r>
    </w:p>
    <w:p>
      <w:pPr>
        <w:spacing w:after="0" w:line="50"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931" w:right="339" w:bottom="1440" w:gutter="0" w:footer="0" w:header="0"/>
        </w:sectPr>
      </w:pPr>
    </w:p>
    <w:bookmarkStart w:id="34" w:name="page35"/>
    <w:bookmarkEnd w:id="34"/>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Graham, certify that:</w:t>
      </w:r>
    </w:p>
    <w:p>
      <w:pPr>
        <w:spacing w:after="0" w:line="22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Reynolds Consumer Products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644"/>
        <w:spacing w:after="0" w:line="308" w:lineRule="auto"/>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60" w:val="left"/>
          <w:tab w:leader="none" w:pos="790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9"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Michael Graham</w:t>
      </w:r>
    </w:p>
    <w:p>
      <w:pPr>
        <w:spacing w:after="0" w:line="50"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931" w:right="339" w:bottom="1440" w:gutter="0" w:footer="0" w:header="0"/>
        </w:sectPr>
      </w:pPr>
    </w:p>
    <w:bookmarkStart w:id="35" w:name="page36"/>
    <w:bookmarkEnd w:id="35"/>
    <w:p>
      <w:pPr>
        <w:ind w:left="10320"/>
        <w:spacing w:after="0"/>
        <w:rPr>
          <w:sz w:val="20"/>
          <w:szCs w:val="20"/>
          <w:color w:val="auto"/>
        </w:rPr>
      </w:pPr>
      <w:r>
        <w:rPr>
          <w:rFonts w:ascii="Arial" w:cs="Arial" w:eastAsia="Arial" w:hAnsi="Arial"/>
          <w:sz w:val="16"/>
          <w:szCs w:val="16"/>
          <w:b w:val="1"/>
          <w:bCs w:val="1"/>
          <w:color w:val="auto"/>
        </w:rPr>
        <w:t>Exhibit 32.1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Reynolds Consumer Products Inc. (the “Company”) on Form 10-Q for the period ended June 30, 2023 as filed with the Securities and Exchange Commission on the date hereof (the “Report”), I, Lance Mitchell, President and Chief Executive Officer, certify, pursuant to 18 U.S.C. § 1350, as adopted pursuant to § 906 of the Sarbanes-Oxley Act of 2002, that:</w:t>
      </w:r>
    </w:p>
    <w:p>
      <w:pPr>
        <w:spacing w:after="0" w:line="184"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ind w:left="20"/>
        <w:spacing w:after="0"/>
        <w:tabs>
          <w:tab w:leader="none" w:pos="5660" w:val="left"/>
          <w:tab w:leader="none" w:pos="796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9"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Lance Mitchell</w:t>
      </w:r>
    </w:p>
    <w:p>
      <w:pPr>
        <w:spacing w:after="0" w:line="50"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931" w:right="339" w:bottom="1440" w:gutter="0" w:footer="0" w:header="0"/>
        </w:sectPr>
      </w:pPr>
    </w:p>
    <w:bookmarkStart w:id="36" w:name="page37"/>
    <w:bookmarkEnd w:id="36"/>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Quarterly Report of Reynolds Consumer Products Inc. (the “Company”) on Form 10-Q for the period ended June 30, 2023 as filed with the Securities and Exchange Commission on the date hereof (the “Report”), I, Michael Graham, Chief Financial Officer, certify, pursuant to 18 U.S.C.</w:t>
      </w:r>
    </w:p>
    <w:p>
      <w:pPr>
        <w:ind w:left="140" w:hanging="132"/>
        <w:spacing w:after="0"/>
        <w:tabs>
          <w:tab w:leader="none" w:pos="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ind w:left="20"/>
        <w:spacing w:after="0"/>
        <w:tabs>
          <w:tab w:leader="none" w:pos="5640" w:val="left"/>
          <w:tab w:leader="none" w:pos="790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Michael Graham</w:t>
      </w:r>
    </w:p>
    <w:p>
      <w:pPr>
        <w:spacing w:after="0" w:line="50"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2"/>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52" Type="http://schemas.openxmlformats.org/officeDocument/2006/relationships/hyperlink" Target="http://www.sec.gov/Archives/edgar/data/0001786431/000119312520024304/d874780dex31.htm" TargetMode="External"/><Relationship Id="rId53" Type="http://schemas.openxmlformats.org/officeDocument/2006/relationships/hyperlink" Target="http://www.sec.gov/Archives/edgar/data/0001786431/000119312520024304/d87478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2023-08-09T08:24:20Z</dcterms:created>
  <dcterms:modified xsi:type="dcterms:W3CDTF">2023-08-09T08:24:20Z</dcterms:modified>
</cp:coreProperties>
</file>