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ectPr>
          <w:pgSz w:w="11900" w:h="16838" w:orient="portrait"/>
          <w:cols w:equalWidth="0" w:num="1">
            <w:col w:w="11240"/>
          </w:cols>
          <w:pgMar w:left="320" w:top="1280" w:right="339" w:bottom="1440" w:gutter="0" w:footer="0" w:header="0"/>
        </w:sectPr>
      </w:pPr>
    </w:p>
    <w:p>
      <w:pPr>
        <w:spacing w:after="0" w:line="15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45-3464426</w:t>
      </w:r>
    </w:p>
    <w:p>
      <w:pPr>
        <w:spacing w:after="0" w:line="50" w:lineRule="exact"/>
        <w:rPr>
          <w:sz w:val="24"/>
          <w:szCs w:val="24"/>
          <w:color w:val="auto"/>
        </w:rPr>
      </w:pPr>
    </w:p>
    <w:p>
      <w:pPr>
        <w:sectPr>
          <w:pgSz w:w="11900" w:h="16838" w:orient="portrait"/>
          <w:cols w:equalWidth="0" w:num="3">
            <w:col w:w="4540" w:space="720"/>
            <w:col w:w="3000" w:space="720"/>
            <w:col w:w="226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200"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6"/>
          <w:szCs w:val="16"/>
          <w:b w:val="1"/>
          <w:bCs w:val="1"/>
          <w:color w:val="auto"/>
        </w:rPr>
        <w:t>1900 W. Field Court</w:t>
      </w:r>
    </w:p>
    <w:p>
      <w:pPr>
        <w:spacing w:after="0" w:line="2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60045</w:t>
      </w:r>
    </w:p>
    <w:p>
      <w:pPr>
        <w:spacing w:after="0" w:line="28"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280"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spacing w:after="0"/>
              <w:rPr>
                <w:sz w:val="15"/>
                <w:szCs w:val="15"/>
                <w:color w:val="auto"/>
              </w:rPr>
            </w:pP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REYN</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4, 2026, Reynolds Consumer Products Inc. (the “Company”) issued a press release announcing its financial results for the third quarter ended September 30, 2026. A copy of the press release is furnished as Exhibit 99.1 to this Current Report on Form 8-K.</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Reynolds Consumer Products Inc., dated November 4, 2026</w:t>
            </w:r>
          </w:p>
        </w:tc>
      </w:tr>
      <w:tr>
        <w:trPr>
          <w:trHeight w:val="27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900" w:type="dxa"/>
            <w:vAlign w:val="bottom"/>
          </w:tcPr>
          <w:p>
            <w:pPr>
              <w:spacing w:after="0"/>
              <w:rPr>
                <w:sz w:val="24"/>
                <w:szCs w:val="24"/>
                <w:color w:val="auto"/>
              </w:rPr>
            </w:pPr>
          </w:p>
        </w:tc>
      </w:tr>
      <w:tr>
        <w:trPr>
          <w:trHeight w:val="1019"/>
        </w:trPr>
        <w:tc>
          <w:tcPr>
            <w:tcW w:w="12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9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Jill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Jill E. Barnett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502285</wp:posOffset>
            </wp:positionV>
            <wp:extent cx="2125980" cy="728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59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9"/>
          <w:szCs w:val="29"/>
          <w:b w:val="1"/>
          <w:bCs w:val="1"/>
          <w:color w:val="auto"/>
        </w:rPr>
        <w:t>Reynolds Consumer Products Reports</w:t>
      </w:r>
    </w:p>
    <w:p>
      <w:pPr>
        <w:spacing w:after="0" w:line="4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9"/>
          <w:szCs w:val="29"/>
          <w:b w:val="1"/>
          <w:bCs w:val="1"/>
          <w:color w:val="auto"/>
        </w:rPr>
        <w:t>Third Quarter 2026 Financial Results</w:t>
      </w:r>
    </w:p>
    <w:p>
      <w:pPr>
        <w:spacing w:after="0" w:line="106" w:lineRule="exact"/>
        <w:rPr>
          <w:sz w:val="20"/>
          <w:szCs w:val="20"/>
          <w:color w:val="auto"/>
        </w:rPr>
      </w:pPr>
    </w:p>
    <w:p>
      <w:pPr>
        <w:jc w:val="center"/>
        <w:spacing w:after="0" w:line="456" w:lineRule="auto"/>
        <w:rPr>
          <w:sz w:val="20"/>
          <w:szCs w:val="20"/>
          <w:color w:val="auto"/>
        </w:rPr>
      </w:pPr>
      <w:r>
        <w:rPr>
          <w:rFonts w:ascii="Times New Roman" w:cs="Times New Roman" w:eastAsia="Times New Roman" w:hAnsi="Times New Roman"/>
          <w:sz w:val="22"/>
          <w:szCs w:val="22"/>
          <w:b w:val="1"/>
          <w:bCs w:val="1"/>
          <w:i w:val="1"/>
          <w:iCs w:val="1"/>
          <w:color w:val="auto"/>
        </w:rPr>
        <w:t>Gross Profit Growth Despite Commodity Inflation Productivity Gains Fueling Reinvestment Maintaining Full Year 2026 Revenue &amp; Adjusted EBITDA Outlook</w:t>
      </w: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LAKE FOREST, Ill., November 4, 2026 – (BUSINESSWIRE) </w:t>
      </w:r>
      <w:r>
        <w:rPr>
          <w:rFonts w:ascii="Times New Roman" w:cs="Times New Roman" w:eastAsia="Times New Roman" w:hAnsi="Times New Roman"/>
          <w:sz w:val="18"/>
          <w:szCs w:val="18"/>
          <w:color w:val="auto"/>
        </w:rPr>
        <w:t>– Reynolds Consumer Products Inc. (the “Company”) (Nasdaq: REYN)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third quarter ended September 30, 2026.</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delivered a solid third quarter in a volatile operating environment, acting decisively to address significant commodity inflation and delivering earnings in-line with our guidance,” said Scott Huckins, President and Chief Executive Officer. “We made further progress on our productivity initiatives, allowing us to continue investing behind our brands, innovation and other strategic initiatives. Disciplined execution remains critical as we navigate the balance of the year, and we remain focused on delivering against our full-year 2026 outlook and establishing a strong foundation for future growth.”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p>
    <w:p>
      <w:pPr>
        <w:spacing w:after="0" w:line="6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$944 million compared to $931 million in Q3 2025</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of $865 million compared to $864 million in Q3 2025</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$79 million compared to $67 million in Q3 2025</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$58 million compared to $79 million in Q3 2025, 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$83 million compared to $88 million in Q3 2025</w:t>
      </w:r>
    </w:p>
    <w:p>
      <w:pPr>
        <w:spacing w:after="0" w:line="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$163 million compared to $168 million in Q3 2025</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of $0.28 compared to $0.38 in Q3 2025, and</w:t>
      </w:r>
      <w:r>
        <w:rPr>
          <w:rFonts w:ascii="Times New Roman" w:cs="Times New Roman" w:eastAsia="Times New Roman" w:hAnsi="Times New Roman"/>
          <w:sz w:val="18"/>
          <w:szCs w:val="18"/>
          <w:b w:val="1"/>
          <w:bCs w:val="1"/>
          <w:color w:val="auto"/>
        </w:rPr>
        <w:t xml:space="preserve"> Adjusted Earnings Per Share </w:t>
      </w:r>
      <w:r>
        <w:rPr>
          <w:rFonts w:ascii="Times New Roman" w:cs="Times New Roman" w:eastAsia="Times New Roman" w:hAnsi="Times New Roman"/>
          <w:sz w:val="18"/>
          <w:szCs w:val="18"/>
          <w:color w:val="auto"/>
        </w:rPr>
        <w:t>of $0.39 vs. $0.42 in Q3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decreased to $58 million from $79 million in Q3 2025. Adjusted Net Income, which excludes certain items affecting comparability in each period as shown in the reconciliation tables at the end of this release, was $83 million, at the high end of our outlook, and compares to $88 million in the third quarter of 2025. Adjusted EBITDA decreased $5 million to $163 million compared to the prior year period, primarily driven by the impact of 7% lower retail volumes and increased SG&amp;A costs, as we continue to reinvest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Non-Retail Revenues consist of aluminum sales made to food service and industrial customers.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Key Business Segment Results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outlined in our first quarter earnings release, effective January 1, the Company realigned its former Hefty Waste &amp; Storage and Presto Products operating segments to enhance efficiency, sharpen its innovation focus, and better support future expansion into adjacent categories. These changes did not impact previously reported consolidated results. All prior periods are recast to conform with current year presentation.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Kitchen Essentials</w:t>
      </w:r>
    </w:p>
    <w:p>
      <w:pPr>
        <w:spacing w:after="0" w:line="29" w:lineRule="exact"/>
        <w:rPr>
          <w:sz w:val="20"/>
          <w:szCs w:val="20"/>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$29 million, or 9%, to $337 million, reflecting increases in both Retail and Non-retail Revenues, and included an 18% price increase to recover input cost increases.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$4 million to $49 million, as pricing actions fully offset higher input costs, but lower volumes resulted in the year-over-year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Clean-Up</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$4 million to $248 million and included a 5% price increase to recover input cost increases.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$4 million to $76 million, due to productivity gains across the supply chain.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Home &amp; Tableware</w:t>
      </w:r>
    </w:p>
    <w:p>
      <w:pPr>
        <w:spacing w:after="0" w:line="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$14 million to $186 million, due to the impact of lower volumes driven by elasticities and continued foam declines.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$4 million to $25 million, primarily due to the impact of lower volumes.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Storage &amp; Organization</w:t>
      </w:r>
    </w:p>
    <w:p>
      <w:pPr>
        <w:spacing w:after="0" w:line="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$8 million to $172 million, reflecting volume timing after strong Q2 promotions.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$6 million to $30 million, driven primarily by the impact of lower volumes.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2026 Highlights</w:t>
      </w:r>
    </w:p>
    <w:p>
      <w:pPr>
        <w:spacing w:after="0" w:line="8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$2,765 million compared to $2,687 million in the comparable prior year period</w:t>
      </w:r>
    </w:p>
    <w:p>
      <w:pPr>
        <w:spacing w:after="0" w:line="35" w:lineRule="exact"/>
        <w:rPr>
          <w:rFonts w:ascii="Arial" w:cs="Arial" w:eastAsia="Arial" w:hAnsi="Arial"/>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of $2,556 million compared to $2,517 million in the comparable prior year period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 of $209 million compared to $170 million in the comparable prior year period</w:t>
      </w:r>
    </w:p>
    <w:p>
      <w:pPr>
        <w:spacing w:after="0" w:line="45"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$206 million compared to $184 million in the comparable prior year period, 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$231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$220 million in the comparable prior year period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$464 million compared to $447 million in the comparable prior year period</w:t>
      </w:r>
    </w:p>
    <w:p>
      <w:pPr>
        <w:spacing w:after="0" w:line="1" w:lineRule="exact"/>
        <w:rPr>
          <w:rFonts w:ascii="Arial" w:cs="Arial" w:eastAsia="Arial" w:hAnsi="Arial"/>
          <w:sz w:val="22"/>
          <w:szCs w:val="22"/>
          <w:color w:val="auto"/>
        </w:rPr>
      </w:pPr>
    </w:p>
    <w:p>
      <w:pPr>
        <w:ind w:left="660" w:right="4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of $0.97 compared to $0.87 in the comparable prior year period, and</w:t>
      </w:r>
      <w:r>
        <w:rPr>
          <w:rFonts w:ascii="Times New Roman" w:cs="Times New Roman" w:eastAsia="Times New Roman" w:hAnsi="Times New Roman"/>
          <w:sz w:val="18"/>
          <w:szCs w:val="18"/>
          <w:b w:val="1"/>
          <w:bCs w:val="1"/>
          <w:color w:val="auto"/>
        </w:rPr>
        <w:t xml:space="preserve"> Adjusted Earnings Per Sha</w:t>
      </w:r>
      <w:r>
        <w:rPr>
          <w:rFonts w:ascii="Times New Roman" w:cs="Times New Roman" w:eastAsia="Times New Roman" w:hAnsi="Times New Roman"/>
          <w:sz w:val="18"/>
          <w:szCs w:val="18"/>
          <w:color w:val="auto"/>
        </w:rPr>
        <w:t>re of $1.09 vs. $1.05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prior year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nine months of 2026, Net Income increased to $206 million from $184 million in the comparable period of 2025. Adjusted Net Income, which excludes certain items affecting comparability in each period as shown in the reconciliation tables at the end of this release, was $231 million compared to Adjusted Net Income of $220 million in the comparable period of 2025. Adjusted EBITDA was $464 million compared to $447 million in the comparable period of 2025, primarily attributable to lower operational costs and the timing of pricing actions in relation to input cost increases, partially offset by the impact of 3% lower retail volumes and higher SG&amp;A costs, as we continue to reinvest across the business.</w:t>
      </w:r>
    </w:p>
    <w:p>
      <w:pPr>
        <w:sectPr>
          <w:pgSz w:w="11900" w:h="16838" w:orient="portrait"/>
          <w:cols w:equalWidth="0" w:num="1">
            <w:col w:w="11240"/>
          </w:cols>
          <w:pgMar w:left="320" w:top="11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Owl’s Head Alloys Acquisition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quarter end, we completed the acquisition of Owl’s Head Alloys ("OHA") for $110 million on a cash-free, debt-free basis, subject to customary post-closing adjustments. The acquisition was paid for in cash provided by borrowings under our Revolving Credit Facility. OHA adds specialized aluminum processing capabilities that complement our manufacturing network and expands our vertically integrated capabilities.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Cash and cash equivalents were $25 million at September 30, 2026 and debt was $1,531 million, resulting in Net Debt of $1,506 million. Net Debt to Trailing Twelve Months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2.2x on September 30, 2026 and at the lower end of the Company’s target leverage range.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the first nine months of the year, we have grown Adjusted EBITDA to $464 million, improving our profitability through strong productivity gains,” said Nathan Lowe, Chief Financial Officer. “With leverage at the low end of our target range, we are well positioned to continue investing across the business to strengthen our capabilities and extend our competitive position, while supporting long-term cash generation and returns to shareholders.”</w:t>
      </w: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Net Debt is defined as current portion of long-term debt plus long-term debt less cash and cash equivalents. Net Debt Leverage is defined as Net Debt divided by Trailing Twelve Months Adjusted EBITDA. See “Use of Non-GAAP Financial Measures” for additional information.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and Fourth Quarter Outlook</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reiterating its full year 2026 Net Revenues outlook of a range of +1% to +3%, compared to 2025 Net Revenues of $3,721 million. Given the adjustments made during the third quarter, the Company expects Net Income in the range of $307 million to $320 million, with EPS of $1.45 to $1.51. The Company now expects Adjusted Net Income in the range of $332 million to $345 million. Full-year Adjusted EPS guidance is unchanged at $1.57 to $1.63. The Company is reiterating its full-year 2026 Adjusted EBITDA outlook of $660 million and $675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full-year outlook, the implied fourth quarter 2026 Net Revenues range is expected to be -3% to +3% compared to fourth quarter 2025 Net Revenues of $1,034 million. Net Income and Adjusted Net Income are expected to be in the range of $101 million to $114 million in the fourth quarter, with EPS and Adjusted EPS expected to be in the range of $0.48 to $0.54. The Company expects fourth quarter Adjusted EBITDA to be in the range of $196 million to $211 million.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approved a quarterly dividend of $0.23 per common share. The Company expects to pay this dividend on November 30, 2026, to shareholders of record as of November 16,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Webcast</w:t>
      </w:r>
    </w:p>
    <w:p>
      <w:pPr>
        <w:spacing w:after="0" w:line="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will host a live webcast this morning at 7:00 a.m. CT (8:00 a.m. ET). A link to the webcast and all related earnings materials will be available on the Company’s Investor Relations website at</w:t>
      </w:r>
    </w:p>
    <w:p>
      <w:pPr>
        <w:spacing w:after="0"/>
        <w:rPr>
          <w:sz w:val="20"/>
          <w:szCs w:val="20"/>
          <w:color w:val="auto"/>
        </w:rPr>
      </w:pPr>
      <w:r>
        <w:rPr>
          <w:rFonts w:ascii="Times New Roman" w:cs="Times New Roman" w:eastAsia="Times New Roman" w:hAnsi="Times New Roman"/>
          <w:sz w:val="18"/>
          <w:szCs w:val="18"/>
          <w:color w:val="0000FF"/>
        </w:rPr>
        <w:t>https://investors.reynoldsconsumerproducts.com.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Reynolds Consumer Products Inc.</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Reynolds Consumer Products is a leading provider of household essentials designed to simplify daily life, so consumers can enjoy what matters most. Found in 95% of U.S. homes, the Company offers trusted solutions for cooking, serving, clean-up, and storage. Its portfolio features iconic brands like Reynolds® and Hefty®, along with store brand products tailored to retail partners. Reynolds holds the No. 1 or No. 2 market share in most of the categories it serves. Learn more at: </w:t>
      </w:r>
      <w:r>
        <w:rPr>
          <w:rFonts w:ascii="Times New Roman" w:cs="Times New Roman" w:eastAsia="Times New Roman" w:hAnsi="Times New Roman"/>
          <w:sz w:val="18"/>
          <w:szCs w:val="18"/>
          <w:color w:val="0000FF"/>
        </w:rPr>
        <w:t>investors.reynoldsconsumerproducts.com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This press release contains statements reflecting our views about our future performance that constitute “forward-looking statements” within the meaning of the Private Securities Litigation Reform Act of 1995, which are based on information available to us on the date of this release. These forward-looking statements include, but are not limited to, our priorities to realize benefits from past initiatives and invest in future growth, and our expectations for sustainable earnings growth and long-term shareholder value, and our anticipated Net Revenue, Net Income, Adjusted Net Income, EPS, Adjusted EPS and Adjusted EBITDA for fourth quarter and fiscal year 2026 guidance. In some cases, you can identify these statements by forward-looking words such as “anticipate,” “believe,” “estimate,” “expect,” “will,” “should,” “may,” “might,” “intends,”</w:t>
      </w:r>
    </w:p>
    <w:p>
      <w:pPr>
        <w:sectPr>
          <w:pgSz w:w="11900" w:h="16838" w:orient="portrait"/>
          <w:cols w:equalWidth="0" w:num="1">
            <w:col w:w="11240"/>
          </w:cols>
          <w:pgMar w:left="320" w:top="1143" w:right="339" w:bottom="1440" w:gutter="0" w:footer="0" w:header="0"/>
        </w:sectPr>
      </w:pPr>
    </w:p>
    <w:bookmarkStart w:id="6" w:name="page7"/>
    <w:bookmarkEnd w:id="6"/>
    <w:p>
      <w:pPr>
        <w:spacing w:after="0" w:line="236" w:lineRule="auto"/>
        <w:rPr>
          <w:sz w:val="20"/>
          <w:szCs w:val="20"/>
          <w:color w:val="auto"/>
        </w:rPr>
      </w:pPr>
      <w:r>
        <w:rPr>
          <w:rFonts w:ascii="Times New Roman" w:cs="Times New Roman" w:eastAsia="Times New Roman" w:hAnsi="Times New Roman"/>
          <w:sz w:val="18"/>
          <w:szCs w:val="18"/>
          <w:color w:val="auto"/>
        </w:rPr>
        <w:t>“outlook,” “forecast”, “position,” “committed,” “plans,”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profitability, management of costs and other disruptions and other strategies, the impact of the imposition of tariffs, consumer demand trends, retailer inventory and promotional decisions, inflationary pressures, our ability to recover commodity cost increases through pricing actions, our ability to successfully integrate acquired businesses and realize anticipated benefits from acquisitions, environmental liabilities and remediation obligations,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Jill.Koval@ReynoldsBrands.com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Bjork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Rachel.Bjork@ReynoldsBrands.com</w:t>
      </w:r>
    </w:p>
    <w:p>
      <w:pPr>
        <w:sectPr>
          <w:pgSz w:w="11900" w:h="16838" w:orient="portrait"/>
          <w:cols w:equalWidth="0" w:num="1">
            <w:col w:w="11240"/>
          </w:cols>
          <w:pgMar w:left="320" w:top="1134"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68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03"/>
        </w:trPr>
        <w:tc>
          <w:tcPr>
            <w:tcW w:w="4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r>
      <w:tr>
        <w:trPr>
          <w:trHeight w:val="23"/>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257"/>
        </w:trPr>
        <w:tc>
          <w:tcPr>
            <w:tcW w:w="4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70"/>
        </w:trPr>
        <w:tc>
          <w:tcPr>
            <w:tcW w:w="4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bl>
    <w:p>
      <w:pPr>
        <w:sectPr>
          <w:pgSz w:w="11900" w:h="16838" w:orient="portrait"/>
          <w:cols w:equalWidth="0" w:num="1">
            <w:col w:w="11080"/>
          </w:cols>
          <w:pgMar w:left="320" w:top="1143"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1"/>
        </w:trPr>
        <w:tc>
          <w:tcPr>
            <w:tcW w:w="7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0" w:type="dxa"/>
            <w:vAlign w:val="bottom"/>
          </w:tcPr>
          <w:p>
            <w:pPr>
              <w:spacing w:after="0"/>
              <w:rPr>
                <w:sz w:val="13"/>
                <w:szCs w:val="13"/>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5"/>
        </w:trPr>
        <w:tc>
          <w:tcPr>
            <w:tcW w:w="7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$1,100 and $1,034)</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r>
      <w:tr>
        <w:trPr>
          <w:trHeight w:val="203"/>
        </w:trPr>
        <w:tc>
          <w:tcPr>
            <w:tcW w:w="7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75"/>
        </w:trPr>
        <w:tc>
          <w:tcPr>
            <w:tcW w:w="7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 shares authorized; 210.9 and 210.3 shares issued and</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3"/>
                <w:szCs w:val="13"/>
                <w:color w:val="auto"/>
              </w:rPr>
            </w:pPr>
          </w:p>
        </w:tc>
        <w:tc>
          <w:tcPr>
            <w:tcW w:w="10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6"/>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Hefty Home</w:t>
            </w:r>
          </w:p>
        </w:tc>
        <w:tc>
          <w:tcPr>
            <w:tcW w:w="180" w:type="dxa"/>
            <w:vAlign w:val="bottom"/>
          </w:tcPr>
          <w:p>
            <w:pPr>
              <w:spacing w:after="0"/>
              <w:rPr>
                <w:sz w:val="12"/>
                <w:szCs w:val="12"/>
                <w:color w:val="auto"/>
              </w:rPr>
            </w:pPr>
          </w:p>
        </w:tc>
        <w:tc>
          <w:tcPr>
            <w:tcW w:w="11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Hefty Storage &amp;</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&amp; Kitchen</w:t>
            </w:r>
          </w:p>
        </w:tc>
        <w:tc>
          <w:tcPr>
            <w:tcW w:w="28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2"/>
                <w:szCs w:val="1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&amp; Tableware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Three Months Ended September 30, 2025</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Nine Months Ended September 30, 2025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Three Months Ended September 30, 2025</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8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Nine Months Ended September 30, 2025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00" w:right="460" w:hanging="644"/>
        <w:spacing w:after="0" w:line="285" w:lineRule="auto"/>
        <w:tabs>
          <w:tab w:leader="none" w:pos="12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unallocated net revenues include other revenue adjustments. The unallocated Adjusted EBITDA represents the combination of corporate expenses which are not allocated to our segments and other unallocated revenue adjustments.</w:t>
      </w:r>
    </w:p>
    <w:p>
      <w:pPr>
        <w:spacing w:after="0" w:line="171" w:lineRule="exact"/>
        <w:rPr>
          <w:rFonts w:ascii="Times New Roman" w:cs="Times New Roman" w:eastAsia="Times New Roman" w:hAnsi="Times New Roman"/>
          <w:sz w:val="14"/>
          <w:szCs w:val="14"/>
          <w:color w:val="auto"/>
        </w:rPr>
      </w:pPr>
    </w:p>
    <w:p>
      <w:pPr>
        <w:jc w:val="both"/>
        <w:ind w:left="1300" w:hanging="644"/>
        <w:spacing w:after="0" w:line="297" w:lineRule="auto"/>
        <w:tabs>
          <w:tab w:leader="none" w:pos="129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and nine months ended September 30, 2026, the Company realigned two business segments and renamed all segments to better align with strategic objectives. All prior period segment disclosures have been recast to reflect this realignment. This realignment had no effect on our previously reported consolidated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Three Months Ended September 30, 2026 vs. the Three Months Ended September 30,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Kitchen Essentials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Clean-Up</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Home &amp; Tableware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Storage &amp;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756"/>
        </w:trPr>
        <w:tc>
          <w:tcPr>
            <w:tcW w:w="11240" w:type="dxa"/>
            <w:vAlign w:val="bottom"/>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Nine Months Ended September 30, 2026 vs. the Nine Months Ended September 30, 2025</w:t>
            </w:r>
          </w:p>
        </w:tc>
      </w:tr>
      <w:tr>
        <w:trPr>
          <w:trHeight w:val="422"/>
        </w:trPr>
        <w:tc>
          <w:tcPr>
            <w:tcW w:w="4120" w:type="dxa"/>
            <w:vAlign w:val="bottom"/>
          </w:tcPr>
          <w:p>
            <w:pPr>
              <w:spacing w:after="0"/>
              <w:rPr>
                <w:sz w:val="24"/>
                <w:szCs w:val="24"/>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Kitchen Essentials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Clean-Up</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Home &amp; Tableware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Storage &amp;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r>
    </w:tbl>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non-GAAP financial measures “Adjusted EBITDA,” “Adjusted Net Income,” “Adjusted Earnings Per Share,” “Net Debt,” and “Net Debt to Trailing Twelve Months Adjusted EBITDA” in evaluating our past results and future prospects. We define Adjusted EBITDA as net income calculated in accordance with GAAP, adjusted for certain items described in the reconciliation tables such as income tax expense, net interest expense, depreciation and amortization and certain unusual items that we do not consider representative of our ongoing operating performance. We define Adjusted Net Income and Adjusted Earnings Per Share (“Adjusted EPS”) as Net Income and Earnings Per Share (“EPS”) calculated in accordance with GAAP, adjusted for certain unusual items that we do not consider representative of our ongoing operating performance. We define Net Debt as the current portion of long-term debt plus long-term debt less cash and cash equivalents. We define Net Debt to Trailing Twelve Months Adjusted EBITDA as Net Debt (as defined above) as of the end of the period to Adjusted EBITDA (as defined above) for the period.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We use Net Debt as we believe it is a more representative measure of our liquidity. We use Net Debt to Trailing Twelve Months Adjusted EBITDA because it reflects our ability to service our debt obligations. Accordingly, we believe presenting these measures provide useful information to investors and others in understanding and evaluating our operating results in the same manner as our management team and board of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Guidance for fiscal year and fourth quarter 2026, where adjusted, is provided on a non-GAAP basis. Please see reconciliations of non-GAAP measures used in this release to the most directly comparable GAAP measures, beginning on the following page.</w:t>
      </w:r>
    </w:p>
    <w:p>
      <w:pPr>
        <w:sectPr>
          <w:pgSz w:w="11900" w:h="16838" w:orient="portrait"/>
          <w:cols w:equalWidth="0" w:num="1">
            <w:col w:w="11240"/>
          </w:cols>
          <w:pgMar w:left="320" w:top="114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6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Environmental remediation reserve</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(4)</w:t>
            </w:r>
          </w:p>
        </w:tc>
        <w:tc>
          <w:tcPr>
            <w:tcW w:w="10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r>
    </w:tbl>
    <w:p>
      <w:pPr>
        <w:spacing w:after="0" w:line="184"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costs for environmental remediation at one of our manufacturing facilities.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one-time settlement costs.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0" w:type="dxa"/>
            <w:vAlign w:val="bottom"/>
          </w:tcPr>
          <w:p>
            <w:pPr>
              <w:spacing w:after="0"/>
              <w:rPr>
                <w:sz w:val="16"/>
                <w:szCs w:val="16"/>
                <w:color w:val="auto"/>
              </w:rPr>
            </w:pPr>
          </w:p>
        </w:tc>
        <w:tc>
          <w:tcPr>
            <w:tcW w:w="292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3"/>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CEO transition costs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340" w:hanging="652"/>
        <w:spacing w:after="0" w:line="312" w:lineRule="auto"/>
        <w:tabs>
          <w:tab w:leader="none" w:pos="39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are after tax, calculated based on the applicable tax treatment of each adjustment, using a normalized effective tax rate of 23.5% for deductible items in the three months ended September 30, 2026, 23.7% for the comparable prior year period and 0% for non-deductible items.</w:t>
      </w:r>
    </w:p>
    <w:p>
      <w:pPr>
        <w:sectPr>
          <w:pgSz w:w="11900" w:h="16838" w:orient="portrait"/>
          <w:cols w:equalWidth="0" w:num="1">
            <w:col w:w="11240"/>
          </w:cols>
          <w:pgMar w:left="320" w:top="114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20" w:type="dxa"/>
            <w:vAlign w:val="bottom"/>
          </w:tcPr>
          <w:p>
            <w:pPr>
              <w:spacing w:after="0"/>
              <w:rPr>
                <w:sz w:val="16"/>
                <w:szCs w:val="16"/>
                <w:color w:val="auto"/>
              </w:rPr>
            </w:pPr>
          </w:p>
        </w:tc>
        <w:tc>
          <w:tcPr>
            <w:tcW w:w="290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3"/>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CEO transition costs</w:t>
            </w:r>
          </w:p>
        </w:tc>
        <w:tc>
          <w:tcPr>
            <w:tcW w:w="2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hanging="652"/>
        <w:spacing w:after="0" w:line="282" w:lineRule="auto"/>
        <w:tabs>
          <w:tab w:leader="none" w:pos="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23.5% for deductible items in the nine months ended September 30, 2026, 23.7% for comparable prior year period and 0% for non-deductible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Trailing Twelve Months Net Income to Trailing Twelve Months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Twelve Months Ended September</w:t>
            </w:r>
          </w:p>
        </w:tc>
        <w:tc>
          <w:tcPr>
            <w:tcW w:w="22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Twelve Months Ended December</w:t>
            </w:r>
          </w:p>
        </w:tc>
      </w:tr>
      <w:tr>
        <w:trPr>
          <w:trHeight w:val="196"/>
        </w:trPr>
        <w:tc>
          <w:tcPr>
            <w:tcW w:w="66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50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transition costs</w:t>
            </w: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80" w:type="dxa"/>
            <w:vAlign w:val="bottom"/>
          </w:tcPr>
          <w:p>
            <w:pPr>
              <w:spacing w:after="0"/>
              <w:rPr>
                <w:sz w:val="20"/>
                <w:szCs w:val="20"/>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r>
    </w:tbl>
    <w:p>
      <w:pPr>
        <w:sectPr>
          <w:pgSz w:w="11900" w:h="16838" w:orient="portrait"/>
          <w:cols w:equalWidth="0" w:num="1">
            <w:col w:w="11240"/>
          </w:cols>
          <w:pgMar w:left="320" w:top="11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 and Calculation of Net Debt to Trailing Twelve Months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Net Debt to Trailing Twelve Months Adjusted EBITDA)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23"/>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0" w:type="dxa"/>
            <w:vAlign w:val="bottom"/>
          </w:tcPr>
          <w:p>
            <w:pPr>
              <w:spacing w:after="0"/>
              <w:rPr>
                <w:sz w:val="1"/>
                <w:szCs w:val="1"/>
                <w:color w:val="auto"/>
              </w:rPr>
            </w:pP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twelve months ended September 30, 2026</w:t>
            </w:r>
          </w:p>
        </w:tc>
        <w:tc>
          <w:tcPr>
            <w:tcW w:w="9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0" w:type="dxa"/>
            <w:vAlign w:val="bottom"/>
          </w:tcPr>
          <w:p>
            <w:pPr>
              <w:spacing w:after="0"/>
              <w:rPr>
                <w:sz w:val="1"/>
                <w:szCs w:val="1"/>
                <w:color w:val="auto"/>
              </w:rPr>
            </w:pPr>
          </w:p>
        </w:tc>
      </w:tr>
      <w:tr>
        <w:trPr>
          <w:trHeight w:val="257"/>
        </w:trPr>
        <w:tc>
          <w:tcPr>
            <w:tcW w:w="90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Trailing Twelve Months Adjusted EBITDA</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2.2x</w:t>
            </w:r>
          </w:p>
        </w:tc>
        <w:tc>
          <w:tcPr>
            <w:tcW w:w="0" w:type="dxa"/>
            <w:vAlign w:val="bottom"/>
          </w:tcPr>
          <w:p>
            <w:pPr>
              <w:spacing w:after="0"/>
              <w:rPr>
                <w:sz w:val="1"/>
                <w:szCs w:val="1"/>
                <w:color w:val="auto"/>
              </w:rPr>
            </w:pPr>
          </w:p>
        </w:tc>
      </w:tr>
      <w:tr>
        <w:trPr>
          <w:trHeight w:val="21"/>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90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3"/>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0" w:type="dxa"/>
            <w:vAlign w:val="bottom"/>
          </w:tcPr>
          <w:p>
            <w:pPr>
              <w:spacing w:after="0"/>
              <w:rPr>
                <w:sz w:val="1"/>
                <w:szCs w:val="1"/>
                <w:color w:val="auto"/>
              </w:rPr>
            </w:pP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twelve months ended December 31, 2025</w:t>
            </w: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0" w:type="dxa"/>
            <w:vAlign w:val="bottom"/>
          </w:tcPr>
          <w:p>
            <w:pPr>
              <w:spacing w:after="0"/>
              <w:rPr>
                <w:sz w:val="1"/>
                <w:szCs w:val="1"/>
                <w:color w:val="auto"/>
              </w:rPr>
            </w:pPr>
          </w:p>
        </w:tc>
      </w:tr>
      <w:tr>
        <w:trPr>
          <w:trHeight w:val="270"/>
        </w:trPr>
        <w:tc>
          <w:tcPr>
            <w:tcW w:w="90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Trailing Twelve Months Adjusted EBITDA</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2.1x</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Q4 2026 and FY2026 Net Income Guidance to Adjusted EBITDA Guidance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2026</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 2026</w:t>
            </w:r>
          </w:p>
        </w:tc>
        <w:tc>
          <w:tcPr>
            <w:tcW w:w="52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4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Low</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Low</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Borders>
              <w:bottom w:val="single" w:sz="8" w:color="auto"/>
            </w:tcBorders>
          </w:tcPr>
          <w:p>
            <w:pPr>
              <w:spacing w:after="0"/>
              <w:rPr>
                <w:sz w:val="16"/>
                <w:szCs w:val="16"/>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r>
    </w:tbl>
    <w:p>
      <w:pPr>
        <w:sectPr>
          <w:pgSz w:w="11900" w:h="16838" w:orient="portrait"/>
          <w:cols w:equalWidth="0" w:num="1">
            <w:col w:w="11240"/>
          </w:cols>
          <w:pgMar w:left="320" w:top="1386" w:right="339" w:bottom="1440" w:gutter="0" w:footer="0" w:header="0"/>
        </w:sectPr>
      </w:pPr>
    </w:p>
    <w:bookmarkStart w:id="16" w:name="page17"/>
    <w:bookmarkEnd w:id="16"/>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Reconciliation of Fiscal Year 2026 Net Income and EPS Guidance to Adjusted Net Income and Adjusted EPS Guidance</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(amounts in millions, except per share data)</w:t>
      </w:r>
    </w:p>
    <w:p>
      <w:pPr>
        <w:sectPr>
          <w:pgSz w:w="11900" w:h="16838" w:orient="portrait"/>
          <w:cols w:equalWidth="0" w:num="1">
            <w:col w:w="11060"/>
          </w:cols>
          <w:pgMar w:left="480" w:top="1386" w:right="359" w:bottom="1440" w:gutter="0" w:footer="0" w:header="0"/>
        </w:sect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Diluted Shares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2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Fiscal Year 2026</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Guidance</w:t>
            </w:r>
          </w:p>
        </w:tc>
        <w:tc>
          <w:tcPr>
            <w:tcW w:w="80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4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1280" w:type="dxa"/>
            <w:vAlign w:val="bottom"/>
          </w:tcPr>
          <w:p>
            <w:pPr>
              <w:spacing w:after="0" w:line="235" w:lineRule="exact"/>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Fiscal Year 2026</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Adjusted Guidance</w:t>
            </w: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-462280</wp:posOffset>
            </wp:positionV>
            <wp:extent cx="710628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-170815</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-762635</wp:posOffset>
            </wp:positionV>
            <wp:extent cx="7106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0"/>
              </w:rPr>
              <w:t>Low</w:t>
            </w:r>
          </w:p>
        </w:tc>
        <w:tc>
          <w:tcPr>
            <w:tcW w:w="28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3"/>
        </w:trPr>
        <w:tc>
          <w:tcPr>
            <w:tcW w:w="88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1.45</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8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445"/>
        </w:trPr>
        <w:tc>
          <w:tcPr>
            <w:tcW w:w="8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4"/>
        </w:trPr>
        <w:tc>
          <w:tcPr>
            <w:tcW w:w="8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8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1.57</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620" w:space="320"/>
            <w:col w:w="2120"/>
          </w:cols>
          <w:pgMar w:left="480" w:top="1386" w:right="359" w:bottom="1440" w:gutter="0" w:footer="0" w:header="0"/>
          <w:type w:val="continuous"/>
        </w:sectPr>
      </w:pPr>
    </w:p>
    <w:p>
      <w:pPr>
        <w:spacing w:after="0" w:line="1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Amounts are after tax calculated using a tax rate of 23.5%, which is the Company’s expected tax rate for FY 2026.</w:t>
      </w:r>
    </w:p>
    <w:sectPr>
      <w:pgSz w:w="11900" w:h="16838" w:orient="portrait"/>
      <w:cols w:equalWidth="0" w:num="1">
        <w:col w:w="11060"/>
      </w:cols>
      <w:pgMar w:left="480" w:top="138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2026-11-04T06:03:28Z</dcterms:created>
  <dcterms:modified xsi:type="dcterms:W3CDTF">2026-11-04T06:03:28Z</dcterms:modified>
</cp:coreProperties>
</file>