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65322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74" w:lineRule="exact"/>
        <w:rPr>
          <w:sz w:val="24"/>
          <w:szCs w:val="24"/>
          <w:color w:val="auto"/>
        </w:rPr>
      </w:pPr>
    </w:p>
    <w:p>
      <w:pPr>
        <w:ind w:left="440" w:hanging="414"/>
        <w:spacing w:after="0"/>
        <w:tabs>
          <w:tab w:leader="none" w:pos="4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4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 to 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001-39205</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REYNOLDS CONSUMER PRODUCTS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93"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45-3464426</w:t>
      </w:r>
    </w:p>
    <w:p>
      <w:pPr>
        <w:spacing w:after="0" w:line="200" w:lineRule="exact"/>
        <w:rPr>
          <w:sz w:val="24"/>
          <w:szCs w:val="24"/>
          <w:color w:val="auto"/>
        </w:rPr>
      </w:pPr>
    </w:p>
    <w:p>
      <w:pPr>
        <w:sectPr>
          <w:pgSz w:w="11900" w:h="16838" w:orient="portrait"/>
          <w:cols w:equalWidth="0" w:num="2">
            <w:col w:w="7280" w:space="720"/>
            <w:col w:w="3240"/>
          </w:cols>
          <w:pgMar w:left="320" w:top="229" w:right="339" w:bottom="1440" w:gutter="0" w:footer="0" w:header="0"/>
          <w:type w:val="continuous"/>
        </w:sectPr>
      </w:pPr>
    </w:p>
    <w:p>
      <w:pPr>
        <w:spacing w:after="0" w:line="10"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20"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7"/>
          <w:szCs w:val="17"/>
          <w:b w:val="1"/>
          <w:bCs w:val="1"/>
          <w:color w:val="auto"/>
        </w:rPr>
        <w:t>Identification Number)</w:t>
      </w:r>
    </w:p>
    <w:p>
      <w:pPr>
        <w:spacing w:after="0" w:line="118" w:lineRule="exact"/>
        <w:rPr>
          <w:sz w:val="24"/>
          <w:szCs w:val="24"/>
          <w:color w:val="auto"/>
        </w:rPr>
      </w:pPr>
    </w:p>
    <w:p>
      <w:pPr>
        <w:sectPr>
          <w:pgSz w:w="11900" w:h="16838" w:orient="portrait"/>
          <w:cols w:equalWidth="0" w:num="2">
            <w:col w:w="6820" w:space="720"/>
            <w:col w:w="3700"/>
          </w:cols>
          <w:pgMar w:left="320" w:top="22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1900 W. Field Court</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Lake Forest, Illinois 60045</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(800) 879-5067</w:t>
      </w:r>
    </w:p>
    <w:p>
      <w:pPr>
        <w:sectPr>
          <w:pgSz w:w="11900" w:h="16838" w:orient="portrait"/>
          <w:cols w:equalWidth="0" w:num="1">
            <w:col w:w="11240"/>
          </w:cols>
          <w:pgMar w:left="320" w:top="229" w:right="339" w:bottom="1440" w:gutter="0" w:footer="0" w:header="0"/>
          <w:type w:val="continuous"/>
        </w:sectPr>
      </w:pPr>
    </w:p>
    <w:p>
      <w:pPr>
        <w:spacing w:after="0" w:line="63" w:lineRule="exact"/>
        <w:rPr>
          <w:sz w:val="24"/>
          <w:szCs w:val="24"/>
          <w:color w:val="auto"/>
        </w:rPr>
      </w:pPr>
    </w:p>
    <w:p>
      <w:pPr>
        <w:jc w:val="center"/>
        <w:ind w:left="340" w:right="980"/>
        <w:spacing w:after="0" w:line="281" w:lineRule="auto"/>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 Securities registered pursuant to section 12(b) of the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5"/>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0" w:type="dxa"/>
            <w:vAlign w:val="bottom"/>
          </w:tcPr>
          <w:p>
            <w:pPr>
              <w:spacing w:after="0"/>
              <w:rPr>
                <w:sz w:val="21"/>
                <w:szCs w:val="21"/>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240" w:type="dxa"/>
            <w:vAlign w:val="bottom"/>
          </w:tcPr>
          <w:p>
            <w:pPr>
              <w:spacing w:after="0"/>
              <w:rPr>
                <w:sz w:val="21"/>
                <w:szCs w:val="21"/>
                <w:color w:val="auto"/>
              </w:rPr>
            </w:pP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4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REYN</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965200</wp:posOffset>
            </wp:positionH>
            <wp:positionV relativeFrom="paragraph">
              <wp:posOffset>71120</wp:posOffset>
            </wp:positionV>
            <wp:extent cx="5212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86" w:lineRule="exact"/>
        <w:rPr>
          <w:sz w:val="24"/>
          <w:szCs w:val="24"/>
          <w:color w:val="auto"/>
        </w:rPr>
      </w:pPr>
    </w:p>
    <w:p>
      <w:pPr>
        <w:ind w:right="2620"/>
        <w:spacing w:after="0" w:line="298"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Arial" w:cs="Arial" w:eastAsia="Arial" w:hAnsi="Arial"/>
          <w:sz w:val="16"/>
          <w:szCs w:val="16"/>
          <w:color w:val="auto"/>
        </w:rPr>
        <w:t>R</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R</w:t>
      </w:r>
    </w:p>
    <w:p>
      <w:pPr>
        <w:spacing w:after="0" w:line="1"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R</w:t>
      </w:r>
      <w:r>
        <w:rPr>
          <w:rFonts w:ascii="Times New Roman" w:cs="Times New Roman" w:eastAsia="Times New Roman" w:hAnsi="Times New Roman"/>
          <w:sz w:val="16"/>
          <w:szCs w:val="16"/>
          <w:color w:val="auto"/>
        </w:rPr>
        <w:t xml:space="preserve"> No</w:t>
      </w:r>
    </w:p>
    <w:p>
      <w:pPr>
        <w:spacing w:after="0" w:line="1"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o</w:t>
      </w:r>
    </w:p>
    <w:p>
      <w:pPr>
        <w:spacing w:after="0" w:line="35"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6"/>
          <w:szCs w:val="16"/>
          <w:color w:val="auto"/>
        </w:rPr>
        <w:t>R</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 w:lineRule="exact"/>
        <w:rPr>
          <w:sz w:val="24"/>
          <w:szCs w:val="24"/>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tabs>
          <w:tab w:leader="none" w:pos="2200" w:val="left"/>
          <w:tab w:leader="none" w:pos="4080" w:val="left"/>
          <w:tab w:leader="none" w:pos="6280" w:val="left"/>
          <w:tab w:leader="none" w:pos="890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w:cs="Arial" w:eastAsia="Arial" w:hAnsi="Arial"/>
          <w:sz w:val="14"/>
          <w:szCs w:val="14"/>
          <w:color w:val="auto"/>
        </w:rPr>
        <w:t>R</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Wingdings" w:cs="Wingdings" w:eastAsia="Wingdings" w:hAnsi="Wingdings"/>
          <w:sz w:val="14"/>
          <w:szCs w:val="14"/>
          <w:b w:val="1"/>
          <w:bCs w:val="1"/>
          <w:color w:val="auto"/>
        </w:rPr>
        <w:t>o</w:t>
      </w:r>
    </w:p>
    <w:p>
      <w:pPr>
        <w:spacing w:after="0" w:line="131"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 w:lineRule="exact"/>
        <w:rPr>
          <w:sz w:val="24"/>
          <w:szCs w:val="24"/>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231F20"/>
        </w:rPr>
        <w:t xml:space="preserve">Indicate by </w:t>
      </w:r>
      <w:r>
        <w:rPr>
          <w:rFonts w:ascii="Times New Roman" w:cs="Times New Roman" w:eastAsia="Times New Roman" w:hAnsi="Times New Roman"/>
          <w:sz w:val="16"/>
          <w:szCs w:val="16"/>
          <w:color w:val="000000"/>
        </w:rPr>
        <w:t>check</w:t>
      </w:r>
      <w:r>
        <w:rPr>
          <w:rFonts w:ascii="Times New Roman" w:cs="Times New Roman" w:eastAsia="Times New Roman" w:hAnsi="Times New Roman"/>
          <w:sz w:val="16"/>
          <w:szCs w:val="16"/>
          <w:color w:val="231F20"/>
        </w:rPr>
        <w:t xml:space="preserve">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w:cs="Arial" w:eastAsia="Arial" w:hAnsi="Arial"/>
          <w:sz w:val="16"/>
          <w:szCs w:val="16"/>
          <w:color w:val="000000"/>
        </w:rPr>
        <w:t>R</w:t>
      </w: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6"/>
          <w:szCs w:val="16"/>
          <w:b w:val="1"/>
          <w:bCs w:val="1"/>
          <w:color w:val="auto"/>
        </w:rPr>
        <w:t>o</w:t>
      </w:r>
    </w:p>
    <w:p>
      <w:pPr>
        <w:spacing w:after="0" w:line="1"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6"/>
          <w:szCs w:val="16"/>
          <w:b w:val="1"/>
          <w:bCs w:val="1"/>
          <w:color w:val="auto"/>
        </w:rPr>
        <w:t>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by Rule 12b-2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R</w:t>
      </w:r>
    </w:p>
    <w:p>
      <w:pPr>
        <w:spacing w:after="0" w:line="59"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of June 30, 2023, the aggregate market value of the registrant’s common stock held by non-affiliates (shareholders other than executive officers, directors or holders of more than 10% of the outstanding stock of the registrant) was approximately $1,518 million, based on the closing price of the registrant’s common stock on such date. This calculation does not reflect a determination that certain persons are affiliates of the registrant for any other purposes.</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registrant had 210,009,461 shares of common stock, $0.001 par value, outstanding as of January 31, 2024.</w:t>
      </w:r>
    </w:p>
    <w:p>
      <w:pPr>
        <w:spacing w:after="0" w:line="73"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Documents incorporated by reference: Portions of the Registrant’s definitive proxy statement relating to its 2024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80" w:type="dxa"/>
            <w:vAlign w:val="bottom"/>
            <w:gridSpan w:val="10"/>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0" w:type="dxa"/>
            <w:vAlign w:val="bottom"/>
            <w:gridSpan w:val="9"/>
          </w:tcPr>
          <w:p>
            <w:pPr>
              <w:jc w:val="center"/>
              <w:ind w:right="294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9680" w:type="dxa"/>
            <w:vAlign w:val="bottom"/>
            <w:gridSpan w:val="29"/>
            <w:vMerge w:val="restart"/>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600" w:type="dxa"/>
            <w:vAlign w:val="bottom"/>
            <w:tcBorders>
              <w:bottom w:val="single" w:sz="8" w:color="0000FF"/>
            </w:tcBorders>
            <w:vMerge w:val="continue"/>
          </w:tcPr>
          <w:p>
            <w:pPr>
              <w:spacing w:after="0"/>
              <w:rPr>
                <w:sz w:val="24"/>
                <w:szCs w:val="24"/>
                <w:color w:val="auto"/>
              </w:rPr>
            </w:pPr>
          </w:p>
        </w:tc>
        <w:tc>
          <w:tcPr>
            <w:tcW w:w="9680" w:type="dxa"/>
            <w:vAlign w:val="bottom"/>
            <w:gridSpan w:val="29"/>
            <w:vMerge w:val="continue"/>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1. Business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8680" w:type="dxa"/>
            <w:vAlign w:val="bottom"/>
            <w:gridSpan w:val="20"/>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1B. Unresolved Staff Comments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2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Item 1C. Cybersecurity</w:t>
            </w:r>
          </w:p>
        </w:tc>
        <w:tc>
          <w:tcPr>
            <w:tcW w:w="7560" w:type="dxa"/>
            <w:vAlign w:val="bottom"/>
            <w:gridSpan w:val="12"/>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2. Properties</w:t>
            </w:r>
          </w:p>
        </w:tc>
        <w:tc>
          <w:tcPr>
            <w:tcW w:w="380" w:type="dxa"/>
            <w:vAlign w:val="bottom"/>
            <w:tcBorders>
              <w:top w:val="single" w:sz="8" w:color="0000FF"/>
            </w:tcBorders>
            <w:gridSpan w:val="3"/>
          </w:tcPr>
          <w:p>
            <w:pPr>
              <w:spacing w:after="0"/>
              <w:rPr>
                <w:sz w:val="20"/>
                <w:szCs w:val="20"/>
                <w:color w:val="auto"/>
              </w:rPr>
            </w:pPr>
          </w:p>
        </w:tc>
        <w:tc>
          <w:tcPr>
            <w:tcW w:w="8600" w:type="dxa"/>
            <w:vAlign w:val="bottom"/>
            <w:gridSpan w:val="19"/>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3. Legal Proceedings</w:t>
            </w:r>
          </w:p>
        </w:tc>
        <w:tc>
          <w:tcPr>
            <w:tcW w:w="8380" w:type="dxa"/>
            <w:vAlign w:val="bottom"/>
            <w:gridSpan w:val="18"/>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23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7960" w:type="dxa"/>
            <w:vAlign w:val="bottom"/>
            <w:gridSpan w:val="15"/>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64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Item 5. Market for Registrant’s Common Equity, Related Stockholder Matters and Issuer Purchases of Equity Securities</w:t>
            </w:r>
          </w:p>
        </w:tc>
        <w:tc>
          <w:tcPr>
            <w:tcW w:w="1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6. [Reserved]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02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Item 7. Management’s Discussion and Analysis of Financial Condition and Results of Operations</w:t>
            </w:r>
          </w:p>
        </w:tc>
        <w:tc>
          <w:tcPr>
            <w:tcW w:w="3260" w:type="dxa"/>
            <w:vAlign w:val="bottom"/>
            <w:gridSpan w:val="4"/>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Item 7A. Quantitative and Qualitative Disclosures about Market Risk</w:t>
            </w:r>
          </w:p>
        </w:tc>
        <w:tc>
          <w:tcPr>
            <w:tcW w:w="5280" w:type="dxa"/>
            <w:vAlign w:val="bottom"/>
            <w:gridSpan w:val="7"/>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0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Item 9. Changes in and Disagreements with Accountants on Accounting and Financial Disclosure</w:t>
            </w:r>
          </w:p>
        </w:tc>
        <w:tc>
          <w:tcPr>
            <w:tcW w:w="3240" w:type="dxa"/>
            <w:vAlign w:val="bottom"/>
            <w:gridSpan w:val="3"/>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Item 9A. Controls and Procedures</w:t>
            </w:r>
          </w:p>
        </w:tc>
        <w:tc>
          <w:tcPr>
            <w:tcW w:w="7820" w:type="dxa"/>
            <w:vAlign w:val="bottom"/>
            <w:gridSpan w:val="13"/>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9B. Other Information</w:t>
            </w:r>
          </w:p>
        </w:tc>
        <w:tc>
          <w:tcPr>
            <w:tcW w:w="8280" w:type="dxa"/>
            <w:vAlign w:val="bottom"/>
            <w:gridSpan w:val="17"/>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5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Item 9C. Disclosure Regarding Foreign Jurisdictions that Prevent Inspections</w:t>
            </w:r>
          </w:p>
        </w:tc>
        <w:tc>
          <w:tcPr>
            <w:tcW w:w="4700" w:type="dxa"/>
            <w:vAlign w:val="bottom"/>
            <w:gridSpan w:val="6"/>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9540" w:type="dxa"/>
            <w:vAlign w:val="bottom"/>
            <w:gridSpan w:val="26"/>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4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Item 11. Executive Compensation</w:t>
            </w:r>
          </w:p>
        </w:tc>
        <w:tc>
          <w:tcPr>
            <w:tcW w:w="5540" w:type="dxa"/>
            <w:vAlign w:val="bottom"/>
            <w:gridSpan w:val="8"/>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6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 Matters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2340" w:type="dxa"/>
            <w:vAlign w:val="bottom"/>
            <w:gridSpan w:val="2"/>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0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Item 14. Principal Accountant Fees and Services</w:t>
            </w:r>
          </w:p>
        </w:tc>
        <w:tc>
          <w:tcPr>
            <w:tcW w:w="4180" w:type="dxa"/>
            <w:vAlign w:val="bottom"/>
            <w:gridSpan w:val="5"/>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35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780" w:type="dxa"/>
            <w:vAlign w:val="bottom"/>
            <w:gridSpan w:val="11"/>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6480" w:type="dxa"/>
            <w:vAlign w:val="bottom"/>
            <w:gridSpan w:val="1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15. Exhibits and Financial Statement Schedules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16. Form 10-K Summary</w:t>
            </w:r>
          </w:p>
        </w:tc>
        <w:tc>
          <w:tcPr>
            <w:tcW w:w="1600" w:type="dxa"/>
            <w:vAlign w:val="bottom"/>
            <w:tcBorders>
              <w:top w:val="single" w:sz="8" w:color="0000FF"/>
            </w:tcBorders>
            <w:gridSpan w:val="6"/>
          </w:tcPr>
          <w:p>
            <w:pPr>
              <w:spacing w:after="0"/>
              <w:rPr>
                <w:sz w:val="20"/>
                <w:szCs w:val="20"/>
                <w:color w:val="auto"/>
              </w:rPr>
            </w:pPr>
          </w:p>
        </w:tc>
        <w:tc>
          <w:tcPr>
            <w:tcW w:w="6480" w:type="dxa"/>
            <w:vAlign w:val="bottom"/>
            <w:gridSpan w:val="10"/>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Index to Exhibits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040" w:type="dxa"/>
            <w:vAlign w:val="bottom"/>
            <w:gridSpan w:val="23"/>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777"/>
        </w:trPr>
        <w:tc>
          <w:tcPr>
            <w:tcW w:w="20" w:type="dxa"/>
            <w:vAlign w:val="bottom"/>
          </w:tcPr>
          <w:p>
            <w:pPr>
              <w:spacing w:after="0"/>
              <w:rPr>
                <w:sz w:val="24"/>
                <w:szCs w:val="24"/>
                <w:color w:val="auto"/>
              </w:rPr>
            </w:pPr>
          </w:p>
        </w:tc>
        <w:tc>
          <w:tcPr>
            <w:tcW w:w="760" w:type="dxa"/>
            <w:vAlign w:val="bottom"/>
            <w:tcBorders>
              <w:top w:val="single" w:sz="8" w:color="0000FF"/>
            </w:tcBorders>
            <w:gridSpan w:val="5"/>
          </w:tcPr>
          <w:p>
            <w:pPr>
              <w:spacing w:after="0"/>
              <w:rPr>
                <w:sz w:val="24"/>
                <w:szCs w:val="24"/>
                <w:color w:val="auto"/>
              </w:rPr>
            </w:pPr>
          </w:p>
        </w:tc>
        <w:tc>
          <w:tcPr>
            <w:tcW w:w="5340" w:type="dxa"/>
            <w:vAlign w:val="bottom"/>
            <w:gridSpan w:val="20"/>
          </w:tcPr>
          <w:p>
            <w:pPr>
              <w:jc w:val="center"/>
              <w:ind w:left="4250"/>
              <w:spacing w:after="0"/>
              <w:rPr>
                <w:sz w:val="20"/>
                <w:szCs w:val="20"/>
                <w:color w:val="auto"/>
              </w:rPr>
            </w:pPr>
            <w:r>
              <w:rPr>
                <w:rFonts w:ascii="Times New Roman" w:cs="Times New Roman" w:eastAsia="Times New Roman" w:hAnsi="Times New Roman"/>
                <w:sz w:val="18"/>
                <w:szCs w:val="18"/>
                <w:color w:val="auto"/>
                <w:w w:val="88"/>
              </w:rPr>
              <w:t>2</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certain statements that constitute “forward-looking statements” within the meaning of the Private Securities Litigation Reform Act of 1995. In some cases, you can identify these statements by forward-looking words such as “may,” “might,” “will,” “should,” “expects,” “intends,” “outlook,” “forecast”, “position”, “committed,” “plans,” “anticipates,” “believes,” “estimates,” “predicts,” “model”, “assumes,” “confident,” “look forward,” “potential” “on track”, or “continue,” or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risks and uncertainties discussed in Item 1A. “Risk Factors.” You should specifically consider the numerous risks outlined in the “Risk Factors” section. These risks and uncertainties include factors related to:</w:t>
      </w:r>
    </w:p>
    <w:p>
      <w:pPr>
        <w:spacing w:after="0" w:line="221" w:lineRule="exact"/>
        <w:rPr>
          <w:sz w:val="20"/>
          <w:szCs w:val="20"/>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lifestyle, economic circumstances and environmental concerns;</w:t>
      </w:r>
    </w:p>
    <w:p>
      <w:pPr>
        <w:spacing w:after="0" w:line="2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our major customers, consolidation of our customer bases and loss of a significant customer;</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pricing pressures;</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disruption at, any of our key manufacturing facilities;</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of raw materials and any interruption in our supply of raw materials;</w:t>
      </w:r>
    </w:p>
    <w:p>
      <w:pPr>
        <w:spacing w:after="0" w:line="9" w:lineRule="exact"/>
        <w:rPr>
          <w:rFonts w:ascii="Times New Roman" w:cs="Times New Roman" w:eastAsia="Times New Roman" w:hAnsi="Times New Roman"/>
          <w:sz w:val="18"/>
          <w:szCs w:val="18"/>
          <w:color w:val="auto"/>
        </w:rPr>
      </w:pPr>
    </w:p>
    <w:p>
      <w:pPr>
        <w:ind w:left="440" w:hanging="316"/>
        <w:spacing w:after="0" w:line="250"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due to an accident, labor issues, weather conditions, natural disaster, or a disease outbreak, including epidemics, pandemics or similar widespread public health concerns;</w:t>
      </w:r>
    </w:p>
    <w:p>
      <w:pPr>
        <w:ind w:left="440" w:hanging="316"/>
        <w:spacing w:after="0" w:line="250"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raw materials, energy, labor and freight, including the impact of tariffs, trade sanctions and similar matters affecting our importation of certain raw materials;</w:t>
      </w: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and increased labor costs;</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brands that are critical to our success;</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in our target markets;</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businesses;</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inflationary trends;</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meeting our sales growth objectives and innovation goals; and</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interest rates and the availability of capital.</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Investors are cautioned not to place undue reliance on any such forward-looking statements, which speak only as of the date they are made. We are under no duty to update any of these forward-looking statements after the date of this Annual Report on Form 10-K to conform our prior statements to actual results or revised expectations.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about these factors and about the material factors or assumptions underlying such forward-looking statements may be found elsewhere in this Annual Report on Form 10-K, under Part I, Item 1A. “Risk Factors.”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Annual Report on Form 10-K, “Reynolds Consumer Products,” “RCP,” the “Company,” “we,” “us” and “our” refer to Reynolds Consumer Products Inc. and its consolidated subsidiaries. Reynolds Consumer Products Inc., formerly known as RenPac Holdings Inc., was incorporated in the state of Delaware on September 26, 2011.</w:t>
      </w:r>
    </w:p>
    <w:p>
      <w:pPr>
        <w:spacing w:after="0" w:line="2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own or have rights to trademarks, service marks and trade names that we use in connection with the operation of our business. Other trademarks, service marks and trade names appearing in this Annual Report on Form 10-K are the property of their respective owners. Solely for convenience, some of the trademarks, service marks and trade names referred to in this Annual Report on Form 10-K are listed without the ® or ™ symbols, but we will assert, to the fullest extent under applicable law, our rights to our trademarks, service marks and trade names.</w:t>
      </w:r>
    </w:p>
    <w:p>
      <w:pPr>
        <w:spacing w:after="0" w:line="17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is to simplify daily life so consumers can enjoy what matters most.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market-leading consumer products company with a presence in 95% of households across the United States. We produce and sell products across three broad categories: cooking products, waste and storage products and tableware. We sell our products under iconic brands such as Reynolds and Hefty, and also under store brands that are strategically important to our retail partners. Overall, across both our branded and store brand offerings, we hold the #1 or #2 U.S. market share position in the majority of product categories in which we participate. Over 65% of our revenue comes from products that are #1 in their respective categories. We have developed our market-leading position by investing in our product categories, championing the categories in partnership with our retail partners and consistently developing innovative products to meet the evolving needs and preferences of the modern consumer.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mix of branded and store brand products is a key competitive advantage that aligns our goal of growing the overall product categories where we have offerings. Our retail partners also measure their success in category growth, which positions us as a trusted strategic partner.</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products are typically used in the homes of consumers of all demographics on a frequent basis and meet the convenience-oriented preferences of consumers across a broad range of household activities. Our products help simplify daily life by assisting with cooking, serving, clean-up and storage through a range of product offerings. Our diverse portfolio includes a wide range of products, including aluminum foil, parchment paper, disposable bakeware, trash bags, food storage bags and disposable tableware. Our products are known for their quality, which is recognized by our consumers and retail partners alike. Our Reynolds and Hefty brands have preeminent positions in their categories and carry strong brand recognition in household aisles. These factors generate consumer loyalty, which affords us the opportunity to develop and launch new products that expand usage occasions and transition our portfolio into adjacent categories.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strong relationships with a diverse set of retail partners including leading grocery stores, mass merchants, warehouse clubs, discount chains, dollar stores, drug stores, home improvement stores, military outlets and eCommerce retailers. Our relationships with our retail partners have been built on a long history of trust. Our portfolio of branded and store brand products allows our retail partners to manage multiple household aisles with a single vendor. Many of our products have had a prominent position on the shelves of major retailers for decades and have become an integral part of household aisles. We believe our strong brand recognition and customer loyalty lead to robust product performance.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brands have #1 market share positions across nearly all our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 w:lineRule="exact"/>
        <w:rPr>
          <w:sz w:val="20"/>
          <w:szCs w:val="20"/>
          <w:color w:val="auto"/>
        </w:rPr>
      </w:pPr>
    </w:p>
    <w:p>
      <w:pPr>
        <w:ind w:left="1580"/>
        <w:spacing w:after="0"/>
        <w:tabs>
          <w:tab w:leader="none" w:pos="5400" w:val="left"/>
          <w:tab w:leader="none" w:pos="9100" w:val="left"/>
        </w:tabs>
        <w:rPr>
          <w:sz w:val="20"/>
          <w:szCs w:val="20"/>
          <w:color w:val="auto"/>
        </w:rPr>
      </w:pPr>
      <w:r>
        <w:rPr>
          <w:rFonts w:ascii="Times New Roman" w:cs="Times New Roman" w:eastAsia="Times New Roman" w:hAnsi="Times New Roman"/>
          <w:sz w:val="14"/>
          <w:szCs w:val="14"/>
          <w:b w:val="1"/>
          <w:bCs w:val="1"/>
          <w:color w:val="auto"/>
        </w:rPr>
        <w:t>Category</w:t>
      </w:r>
      <w:r>
        <w:rPr>
          <w:sz w:val="20"/>
          <w:szCs w:val="20"/>
          <w:color w:val="auto"/>
        </w:rPr>
        <w:tab/>
      </w:r>
      <w:r>
        <w:rPr>
          <w:rFonts w:ascii="Times New Roman" w:cs="Times New Roman" w:eastAsia="Times New Roman" w:hAnsi="Times New Roman"/>
          <w:sz w:val="14"/>
          <w:szCs w:val="14"/>
          <w:b w:val="1"/>
          <w:bCs w:val="1"/>
          <w:color w:val="auto"/>
        </w:rPr>
        <w:t>Brand</w:t>
      </w:r>
      <w:r>
        <w:rPr>
          <w:sz w:val="20"/>
          <w:szCs w:val="20"/>
          <w:color w:val="auto"/>
        </w:rPr>
        <w:tab/>
      </w:r>
      <w:r>
        <w:rPr>
          <w:rFonts w:ascii="Times New Roman" w:cs="Times New Roman" w:eastAsia="Times New Roman" w:hAnsi="Times New Roman"/>
          <w:sz w:val="14"/>
          <w:szCs w:val="14"/>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4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Aluminum foil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146050</wp:posOffset>
            </wp:positionV>
            <wp:extent cx="857250"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0" cy="34290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Aluminum foil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146050</wp:posOffset>
            </wp:positionV>
            <wp:extent cx="857250"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0" cy="34290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Parchment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146050</wp:posOffset>
            </wp:positionV>
            <wp:extent cx="857250"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0" cy="34290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Wax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146050</wp:posOffset>
            </wp:positionV>
            <wp:extent cx="857250" cy="342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0" cy="34290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Slow cooker liners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146050</wp:posOffset>
            </wp:positionV>
            <wp:extent cx="857250" cy="342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0" cy="34290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Oven bags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146050</wp:posOffset>
            </wp:positionV>
            <wp:extent cx="857250" cy="342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0" cy="34290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Freezer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146050</wp:posOffset>
            </wp:positionV>
            <wp:extent cx="857250" cy="342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0" cy="34290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Slider bags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146050</wp:posOffset>
            </wp:positionV>
            <wp:extent cx="857250" cy="342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0" cy="34290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Party cups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146050</wp:posOffset>
            </wp:positionV>
            <wp:extent cx="857250" cy="342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0" cy="34290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Foam dishes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146050</wp:posOffset>
            </wp:positionV>
            <wp:extent cx="857250" cy="342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0" cy="34290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Trash bags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3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Source: Circana Dollar Sales MULO latest 52 weeks ended December 31, 2023 and Nielsen MarketTrack latest 52 weeks ended December 30, 2023.</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manage our operations in four reportable segments: Reynolds Cooking &amp; Baking, Hefty Waste &amp; Storage, Hefty Tableware and Presto Products.</w:t>
      </w:r>
    </w:p>
    <w:p>
      <w:pPr>
        <w:spacing w:after="0" w:line="248" w:lineRule="exact"/>
        <w:rPr>
          <w:sz w:val="20"/>
          <w:szCs w:val="20"/>
          <w:color w:val="auto"/>
        </w:rPr>
      </w:pPr>
    </w:p>
    <w:p>
      <w:pPr>
        <w:jc w:val="both"/>
        <w:ind w:left="440" w:hanging="316"/>
        <w:spacing w:after="0" w:line="255"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Reynolds Cooking &amp; Baking</w:t>
      </w:r>
      <w:r>
        <w:rPr>
          <w:rFonts w:ascii="Times New Roman" w:cs="Times New Roman" w:eastAsia="Times New Roman" w:hAnsi="Times New Roman"/>
          <w:sz w:val="18"/>
          <w:szCs w:val="18"/>
          <w:color w:val="auto"/>
        </w:rPr>
        <w:t>: Through our Reynolds Cooking &amp; Baking segment, we sell both branded and store brand aluminum foil, disposable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 With our flagship Reynolds Wrap products, we hold the #1 market position in the U.S. consumer foil market measured by retail sales and volume. We also hold the #1 market position in the Canadian branded foil market under the ALCAN brand. We have no significant branded competitor in this market. Reynolds is one of the most recognized household brands in the United States and has been the top trusted brand in the consumer foil market for over 75 years, with greater than 50% market share in most of its categories.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both"/>
        <w:ind w:left="440" w:hanging="316"/>
        <w:spacing w:after="0" w:line="256" w:lineRule="auto"/>
        <w:tabs>
          <w:tab w:leader="none" w:pos="4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Hefty Waste &amp; Storage</w:t>
      </w:r>
      <w:r>
        <w:rPr>
          <w:rFonts w:ascii="Times New Roman" w:cs="Times New Roman" w:eastAsia="Times New Roman" w:hAnsi="Times New Roman"/>
          <w:sz w:val="18"/>
          <w:szCs w:val="18"/>
          <w:color w:val="auto"/>
        </w:rPr>
        <w:t>: Through our Hefty Waste &amp; Storage segment, we produce both branded and store brand trash and food storage bags. Hefty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well-recognized leader in the trash bag and food storage bag categories and our private label products offer value to our retail partners. Our branded products are sold under the Hefty Ultra Strong and Hefty Strong brands for trash bags, and as the Hefty and Baggies brands for our food storage bags. Hefty has 99% brand awareness and is most commonly identified with the Brand's famous “Hefty! Hefty! Hefty!” slogan. We have the #1 branded market share in the U.S. large black trash bag and slider bag segments, and the #2 branded market share in the tall kitchen trash bag segment. Our robust product portfolio in this segment includes a full suite of products, including sustainable solutions such as compostable bags, bags made from recycled materials and orange bags through the Hefty ReNew Program.</w:t>
      </w:r>
    </w:p>
    <w:p>
      <w:pPr>
        <w:spacing w:after="0" w:line="209" w:lineRule="exact"/>
        <w:rPr>
          <w:rFonts w:ascii="Times New Roman" w:cs="Times New Roman" w:eastAsia="Times New Roman" w:hAnsi="Times New Roman"/>
          <w:sz w:val="18"/>
          <w:szCs w:val="18"/>
          <w:color w:val="auto"/>
        </w:rPr>
      </w:pPr>
    </w:p>
    <w:p>
      <w:pPr>
        <w:jc w:val="both"/>
        <w:ind w:left="440" w:hanging="316"/>
        <w:spacing w:after="0" w:line="256" w:lineRule="auto"/>
        <w:tabs>
          <w:tab w:leader="none" w:pos="4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Hefty Tableware</w:t>
      </w:r>
      <w:r>
        <w:rPr>
          <w:rFonts w:ascii="Times New Roman" w:cs="Times New Roman" w:eastAsia="Times New Roman" w:hAnsi="Times New Roman"/>
          <w:sz w:val="18"/>
          <w:szCs w:val="18"/>
          <w:color w:val="auto"/>
        </w:rPr>
        <w:t>: Through our Hefty Tableware segment, we sell both branded and store brand disposable and compostable plates, bowls, platters,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cups and cutlery. Our Hefty branded products include dishes and party cups. Hefty branded party cups are the #1 party cup in America measured by market share. Our branded products use our Hefty brand to represent both quality and great value, and we bring this same quality and value promise to all of our store brands as well. We sell across a broad range of materials and price points in all retail channels, allowing our consumers to select the product that best suits their price, function and aesthetic needs. These materials include sustainable solutions, such as Hefty ECOSAVE and Hefty Compostable Printed Paper Plates. In 2023, we also tapped into the nostalgia trend and brought back Zoo Pals plates, garnering 3.7 billion media impressions.</w:t>
      </w:r>
    </w:p>
    <w:p>
      <w:pPr>
        <w:spacing w:after="0" w:line="209" w:lineRule="exact"/>
        <w:rPr>
          <w:rFonts w:ascii="Times New Roman" w:cs="Times New Roman" w:eastAsia="Times New Roman" w:hAnsi="Times New Roman"/>
          <w:sz w:val="18"/>
          <w:szCs w:val="18"/>
          <w:color w:val="auto"/>
        </w:rPr>
      </w:pPr>
    </w:p>
    <w:p>
      <w:pPr>
        <w:jc w:val="both"/>
        <w:ind w:left="440" w:hanging="316"/>
        <w:spacing w:after="0" w:line="257" w:lineRule="auto"/>
        <w:tabs>
          <w:tab w:leader="none" w:pos="4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Presto Products</w:t>
      </w:r>
      <w:r>
        <w:rPr>
          <w:rFonts w:ascii="Times New Roman" w:cs="Times New Roman" w:eastAsia="Times New Roman" w:hAnsi="Times New Roman"/>
          <w:sz w:val="18"/>
          <w:szCs w:val="18"/>
          <w:color w:val="auto"/>
        </w:rPr>
        <w:t>: Through our Presto Products segment, we primarily sell store brand products in four main categories: food storage bags, trash bags,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reusable storage containers and plastic wrap. Presto Products is a market leader in food storage bags and differentiates itself by providing access to category management, consumer insights, marketing, merchandising and research and development (“R&amp;D”) resources. Presto Products was the first in the U.S. market to offer a store branded sandwich bag made with an approximately 20% proprietary blend of plant and ocean, renewable materials. Our Presto Products segment also includes our specialty business, which serves other consumer products companies by providing Fresh-Lock and Slide-Rite resealable closure systems.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portfolio consists of three main product groups: waste and storage products, cooking products and tableware. Our consolidated net revenues by product line for fiscal years 2023, 2022 and 2021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Waste and storage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Cooking products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Tableware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3,817</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640" w:hanging="63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and storage products are comprised of our Hefty Waste &amp; Storage and Presto Products segments.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 base includes leading grocery stores, mass merchants, warehouse clubs, discount chains, dollar stores, drug stores, home improvement stores, military outlets and eCommerce retailers. We sell both branded and store brand products across our customer base. We generally sell our branded products pursuant to informal trading policies and our store brand products under one year or multi-year agreements. Walmart accounted for 30%, 30% and 29% and Sam’s Club accounted for 18%, 18% and 15% of our total net revenue in fiscal years 2023, 2022 and 2021, respectively. Walmart and Sam’s Club are affiliated entities. Sales to Walmart are concentrated more heavily in our Hefty Waste &amp; Storage segment, and sales to Sam’s Club are concentrated more heavily in our Hefty Tableware segment.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year 2023, sales in North America and the United States represented 99% and 97% of our total sales, respectively.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Through our sales and marketing organization, we are able to manage our relationships with customers at the national, regional and local levels, depending on their needs. We believe that our dedicated sales representatives, category management teams and our participation in both branded and store brand products create a significant competitive advantage.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direct sales force organized by customer type, including national accounts, regional accounts and eCommerce. Our sales force is responsible for sales across each of our segments and our portfolio of branded and store brand products. We complement our internal sales platform by selectively utilizing third-party brokers for certain products and customers. In addition to sales professionals, each of our top 20 customers has a dedicated customer support team, including category management, production planning and transportation teams, as well as customer service representatives.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two routes of distribution to deliver our products to our customers. In many cases, we ship directly from our warehouses to the customer's distribution center. Given the breadth of our product offerings, we are also able to optimize truckloads and reduce inventory for our retail partners by shipping trucks from mixing centers filled with SKUs across all of our product categories.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household consumer products market is mature and highly competitive. Our competitive set consists of consumer products companies, including large and well-established multinational companies as well as smaller regional and local companies. These competitors include The Clorox Company, S.C. Johnson &amp; Son, Inc., Poly-America, Handi-Foil Corporation, Republic Plastics, Ltd., Trinidad Benham Corporation and Inteplast Group, Ltd. Within each product category, most of our products compete with other widely advertised brands and store brand products.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Competition in our categories is based on a number of factors including brand recognition, price and quality. We benefit from the strength of our brands, a differentiated portfolio of quality branded and store brand products, as well as significant capital investment in our manufacturing facilities. We believe the strong recognition of the Reynolds brand and Hefty brand among U.S. consumers gives us a competitive advantage. In addition, our largest customers choose us for our customer service, category management services and commitment to “Made in the U.S.A.” products.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Portions of our business have historically been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Reynolds Parchment Paper and disposable aluminum pans. Our tableware products generally have higher sales in the second quarter of the year, primarily due to outdoor summertime use of disposable plates, cups and bowls.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Raw Materials and Suppliers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diverse supplier base, and are not reliant on any single supplier for our primary raw materials, including polyethylene, polystyrene and aluminum. We also purchase raw material additives, secondary packaging materials and finished products for resale. We source a significant majority of our resin requirements from domestic suppliers.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Centralized purchasing enables us to leverage the purchasing power of our operations and reduces our dependence on any one supplier. We generally have one to two year contracts with resin and aluminum suppliers, which have historically provided us with a steady supply of raw materials. In certain instances, we purchase selected finished goods from third-party suppliers to supplement capacity and source specialty items.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significant number of registered patents and registered trademarks, including Reynolds and Hefty, as well as several copyrights, which, along with our trade secrets and manufacturing know-how, help support our ability to add value within the market and sustain our competitive advantages. We have invested a considerable amount of resources in developing proprietary products and manufacturing capabilities, and we employ various methods, including confidentiality and non-disclosure agreements with third parties, employees and consultants, to protect our intellectual property. While in the aggregate our patents are of material importance to us, we believe that we are not dependent upon any single patent or group of patents.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licenses for commercially available software, we do not believe that any of our licenses from third parties are material to us taken as a whole.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any of our licenses to intellectual property rights granted to third parties are material to us taken as a whole.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objectives related to an engaged team include successfully identifying, recruiting, onboarding, retaining and incentivizing both new and existing employees. Our talent management and succession planning process includes the identification of primary succession roles based on current and future business strategies, the identification of potential successors, a list of action items and a plan for talent development. As of December 31, 2023, we employed approximately 6,000 people, most of whom are located in our U.S. and Canada manufacturing facilities. Approximately 23% of our employees are covered by collective bargaining agreements. We have not experienced any significant union-related work stoppages over the last ten years. We believe our relationships with our employees and labor unions are satisfactory.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Health &amp; Safety: </w:t>
      </w:r>
      <w:r>
        <w:rPr>
          <w:rFonts w:ascii="Times New Roman" w:cs="Times New Roman" w:eastAsia="Times New Roman" w:hAnsi="Times New Roman"/>
          <w:sz w:val="18"/>
          <w:szCs w:val="18"/>
          <w:color w:val="auto"/>
        </w:rPr>
        <w:t>We are committed to protecting the safety, health and security of our employees and that of the environments in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operate. We are firm in our policy that we will not compromise employee health and safety or the environment for profit or production. We are passionate about health and safety and pride ourselves on our strategy of prevention through proactive risk elimination and reduction. Our cross-functional leaders and team members work collaboratively to identify risks and to develop and implement control measures leveraging engineering solutions and new technology for mitigation. Our safety performance continues to outperform the industry’s average safety performance by a significant margin, and we continue to progress toward our goal of zero incidents through increasing awareness of opportunities for improvement and implementing effective solutions to reduce risks associated with contact with equipment, slips, trips, and falls, as well as ergonomic hazards.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Diversity, Equity &amp; Inclusion: </w:t>
      </w:r>
      <w:r>
        <w:rPr>
          <w:rFonts w:ascii="Times New Roman" w:cs="Times New Roman" w:eastAsia="Times New Roman" w:hAnsi="Times New Roman"/>
          <w:sz w:val="18"/>
          <w:szCs w:val="18"/>
          <w:color w:val="auto"/>
        </w:rPr>
        <w:t>We believe that a diverse, equitable and inclusive organization will enhance the sense of belonging for our colleagues, retail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consumers, shareholders and communities. We are committed to building a respectful workplace, educating our colleagues and integrating DE&amp;I within our overall business strategy. Treating others with dignity, empathy and respect are the foundation of our DE&amp;I journey, and we will continue to implement best practices, educate our colleagues on the importance of implementing DE&amp;I strategies, promote a culture where all feel they belong and implement specific solutions to build and retain a more diverse and inclusive experience based upon equity.</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Talent Acquisition: </w:t>
      </w:r>
      <w:r>
        <w:rPr>
          <w:rFonts w:ascii="Times New Roman" w:cs="Times New Roman" w:eastAsia="Times New Roman" w:hAnsi="Times New Roman"/>
          <w:sz w:val="18"/>
          <w:szCs w:val="18"/>
          <w:color w:val="auto"/>
        </w:rPr>
        <w:t>We are committed to a diverse and inclusive workplace environment in which individual differences are recognized, respected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appreciated. We provide job opportunities for individual growth in our exciting, dynamic and fast-paced manufacturing plants and corporate office. We have made investments in our Talent Acquisition team to better enable us to source and recruit talent in today’s challenging labor market, assist in a great candidate experience and provide a welcoming new hire onboarding. To support our plants, we have also created a comprehensive hourly employee recruiting strategy and social media plan. In addition, we have invested in tools and resources for a consistent and efficient approach to identifying diverse talent.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Regulatory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many of our products are used in food packaging, our business is subject to regulations governing products that may contact food in all the countries in which we have operations. Our business is also subject to regulations governing advertising claims related to our products and practices, including regulations concerning representations that products are environmentally-friendly, have less of an environmental impact, or are sustainable. Future regulatory and legislative change can affect the economics of our business activities, lead to changes in operating practices, affect our customers and influence the demand for and the cost of providing products and services to our customers. We have implemented compliance programs and procedures designed to achieve compliance with applicable laws and regulations.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various national, state, local, foreign and international environmental, health and safety laws, regulations and permits. Among other things, these requirements regulate the emission or discharge of materials into the environment, govern the use, storage, treatment, disposal and management of hazardous substances and wastes, protect the health and safety of our employees, regulate the materials used in and the recycling of our products and impose liability, which can be strict, joint and several, for the costs of investigating and remediating, and damages resulting from, present and past releases of hazardous substances related to our current and former sites, as well as at third party sites where we or our predecessors have sent hazardous waste for disposal. Many of our manufacturing facilities require environmental permits, such as those limiting air emissions.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 number of governmental authorities, at the federal, state and local level in the United States and abroad, have implemented, considered, or are expected to consider, legislation aimed at reducing the amount of plastic waste, regulating product content and regulating environmental claims. Our business is subject to regulations that govern matters such as post-consumer recycled content, extended producer responsibility, compostability and recyclability claims, and use of Per- and Polyfluorinated Substances (“PFAS”). We have implemented compliance programs and procedures designed to achieve compliance with applicable laws and regulations.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as environmental issues, such as climate change, have become more prevalent, governments have responded, and are expected to continue to respond, with increased legislation and regulation, which could negatively affect us. For example, the United States Congress has in the past considered legislation to reduce emissions of greenhouse gases. In addition, the Environmental Protection Agency is regulating certain greenhouse gas emissions under existing laws such as the Clean Air Act. A number of states and local governments in the United States have also implemented or announced their intentions to implement their own programs to reduce greenhouses gases.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various laws and regulations related to data privacy and protection, including the California Privacy Act of 2018 (“CCPA”) and the European Union’s General Data Protection Regulation (“GDPR”). We have internal programs in place to manage and monitor global compliance with these various requirements.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site that contains reports, proxy and information statements, and other information regarding issuers that file electronically with the SEC at http://www.sec.gov.</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make financial information, news releases and other information available on our corporate website at www.reynoldsconsumerproducts.com. Our annual reports on Form 10-K, quarterly reports on Form 10-Q, current reports on Form 8-K, and any amendments to those reports filed or furnished pursuant to Section 13(a) or 15(d) of the Securities Exchange Act of 1934 (the “Exchange Act”) are available free of charge on this website as soon as reasonably practicable after we electronically file these reports and amendments with, or furnish them to, the SEC. Our board has adopted a code of business conduct and ethics that applies to all of our employees, officers and directors, including our Chief Executive Officer, Chief Financial Officer and other executive and senior financial officers, the full text of which is posted on the investor relations section of our website at www.reynoldsconsumerproducts.com. We intend to disclose future amendments to our code of business conduct and ethics, or any waivers of such code, on our website or in public filings.</w:t>
      </w:r>
    </w:p>
    <w:p>
      <w:pPr>
        <w:spacing w:after="0" w:line="3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contained on or connected to our website is not incorporated by reference into this Annual Report on Form 10-K and should not be considered part of this or any other report filed with the SEC.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in addition to the other information set forth in this Annual Report on Form 10-K, including the Management’s Discussion and Analysis of Financial Condition and Results of Operations section and the consolidated financial statements and related notes. If any of the following risks actually occurs, our business, financial condition and results of operations could be materially adversely affected. The risks discussed below are not the only risks we face. Additional risks or uncertainties not currently known to us, or that we currently deem immaterial, may also have a material adverse effect on our business, financial condition, prospects, results of operations, cash flows or price of our securities.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Growth and Profitability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anticipate and respond to changes in consumer preferences.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consumer products company and believe that our success depends, in part, on our ability to leverage our existing brands and products to drive increased sales and profits. This depends on our ability to identify and offer products at attractive prices that appeal to consumer tastes and preferences, which are difficult to predict and evolve over time. Our ability to implement this strategy depends on, among other things, our ability to:</w:t>
      </w:r>
    </w:p>
    <w:p>
      <w:pPr>
        <w:spacing w:after="0" w:line="68" w:lineRule="exact"/>
        <w:rPr>
          <w:sz w:val="20"/>
          <w:szCs w:val="20"/>
          <w:color w:val="auto"/>
        </w:rPr>
      </w:pPr>
    </w:p>
    <w:p>
      <w:pPr>
        <w:ind w:left="440" w:hanging="3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offer to our customers products that consumers want at competitive prices;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 new and appealing products and innovate successfully on our existing products;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consumer interest in our brands;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brand recognition and loyalty.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not be able to implement this strategy successfully, which could materially and adversely affect our sales and business, financial condition and results of operations.</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maintaining satisfactory relationships with our major customers, and significant consolidation among our customers, or the loss of a significant customer, could decrease demand for our products or reduce our profitability.</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customers are large and possess significant market leverage, which results in significant downward pricing pressure and can constrain our ability to pass through price increases. We generally sell our branded products pursuant to informal trading policies and our store brand products under one year or multi-year agreements. We do not have written agreements with most of our customers. Our contracts generally do not obligate the customer to purchase any given amount of product. If our major customers reduce purchasing volumes or stop purchasing our products for any reason, our business and results of operations would likely be materially and adversely affected. It is possible that we will lose customers, which may materially and adversely affect our business, financial condition and results of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a relatively small number of customers for a significant portion of our revenue. In 2023, sales to our top ten customers accounted for 72% of our total revenue, and our two largest customers, Walmart and Sam’s Club, individually accounted for 30% and 18%, respectively, of our total revenue. Walmart and Sam’s Club are affiliated entities. Sales to Walmart are concentrated more heavily in our Hefty Waste &amp; Storage segment, and sales to Sam’s Club are concentrated more heavily in our Hefty Tableware segment. The loss of any of our significant customers would have a material adverse effect on our business, financial condition and results of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over the last several years, there has been a trend toward consolidation among our customers in the retail industry and we expect that this trend will continue. Consolidation among our customers could increase their ability to apply pricing pressure, and thereby force us to reduce our selling prices or lose sales. In addition, following a consolidation, our customers may close stores, reduce inventory or switch suppliers. Any of these factors could negatively impact our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competitive markets.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in competitive markets. Our main competitors include The Clorox Company, S.C. Johnson &amp; Son, Inc., Poly-America, Handi-Foil Corporation, Republic Plastics, Ltd., Trinidad Benham Corporation and Inteplast Group, Ltd. Although capital costs, intellectual property and technology may create barriers to entry, we face the threat of competition from new entrants to our markets as well as from existing competitors, including competitors outside the United States who may have lower production costs. Our customers continuously evaluate their suppliers, often resulting in downward pricing pressure and increased pressure to continuously introduce and commercialize innovative new products, improve customer service, maintain strong relationships with our customers and, where applicable, develop and maintain brands that are meaningful to consumers. If our products fail to compete successfully with other branded or private label offerings, demand for our products and our sales and profitability could be negatively impacted.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any of our key manufacturing facilities or of those of our key suppliers could have an adverse effect on our business.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products are manufactured at a single location. For example, our Malvern, Arkansas plant is our sole producer of foil reroll for our Louisville, Kentucky and Wheeling, Illinois plants, which in turn are our sole producers of household foil. The loss of the use of all or a portion of any of our key manufacturing facilities, especially one that is a sole producer, or the loss of any key suppliers, due to any reason, including an accident, labor issues, weather conditions, natural disaster, a disease outbreak (including epidemics, pandemics or similar widespread public health concerns), cyber-attacks against our information systems (such as ransomware) or otherwise, could have a material adverse effect on our business, financial condition and results of operations.</w:t>
      </w:r>
    </w:p>
    <w:p>
      <w:pPr>
        <w:spacing w:after="0" w:line="2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been and continues to be impacted by fluctuations in raw material, energy and freight costs, including the impact of tariffs and similar matters.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Fluctuations in raw material and energy costs could adversely affect our business, financial condition and results of operations. Raw material costs represent a significant portion of our cost of sales. The primary raw materials we use are plastic resins, particularly polyethylene and polystyrene, and aluminum. The prices of our raw materials have fluctuated significantly in recent years. Aluminum prices have been historically volatile as aluminum is a cyclical commodity with prices subject to global market factors. Resin prices have also historically fluctuated with changes in crude oil and natural gas prices as well as changes in refining capacity and the demand for other petroleum-based products. We experienced significant increases in material costs in both 2021 and 2022, particularly in resin and aluminum prices, which negatively impacted our results. Significant increases in material costs could also occur in future periods, which could negatively impact our future results.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Raw material costs are also impacted by governmental actions, such as tariffs and trade sanctions. For example, the imposition by the U.S. government of tariffs on products imported from certain countries and trade sanctions against certain countries have introduced greater uncertainty with respect to policies affecting trade between the United States and other countries and have impacted the cost of certain raw materials, including aluminum and resin. Major developments in trade relations, including the imposition of new or increased tariffs by the United States and/or other countries, could have a material adverse effect on our business, financial condition and results of operations.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typically do not enter into long-term fixed price purchase contracts for our principal raw materials. The majority of sales contracts for our products generally do not contain cost pass-through mechanisms for raw material costs. Where our contracts use such pass-through mechanisms, differences in timing between purchases of raw materials and sales to customers can create a “lead lag” effect during which margins are negatively impacted when raw material costs rise and positively impacted when raw material costs fall. We adjust prices, where possible, to mitigate the effect of production cost increases, including raw materials, but these increases are not always possible or may not cover the increased raw material costs. For example, we implemented multiple rounds of price increases in both 2021 and 2022, however those pricing actions typically lagged material cost increases.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distribute our products and receive raw materials primarily by rail and truck. Reduced availability of rail or trucking capacity has caused us, and may continue to cause us, to incur unanticipated expenses and impair our ability to distribute our products or receive our raw materials in a timely manner, which could disrupt our operations, strain our customer relations and adversely affect our operating profits. In particular, reduced trucking capacity, due to a shortage of drivers, the federal regulation requiring drivers to electronically log their driving hours and adverse weather conditions, among other reasons, have caused an increase in the cost of transportation for us and many other companies.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interruption in our supply of raw materials could harm our business, financial condition and results of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dependent on our suppliers for an uninterrupted supply of key raw materials in a timely manner. The supply of these materials could be disrupted for a wide variety of reasons, including political and economic instability, the financial stability of our suppliers, their ability to meet our standards, labor problems, the availability and prices of raw materials, currency exchange rates, transport availability and cost, transport security and inflation, and other factors beyond our control. We have written contracts with some but not all of our key suppliers, and where we have written contracts, they generally include force majeure clauses that excuse the supplier’s failure to supply in certain circumstances. Any interruption in the supply of raw materials for an extended period of time could have a material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shortages and increased labor costs have had and could have a material adverse effect on our business and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Labor costs in the United States continue to rise, and our industry has, and could again, experience a shortage of workers. Labor is one of the primary components in the cost of operating our business. If we face labor shortages and incur further increases to labor costs as a result of increased competition for employees, higher employee turnover rates, increases in the federal, state or local minimum wage or other employee benefit costs, our operating expenses could increase and our growth and results of operations could be adversely impacted.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brands are critical to our success.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compete successfully depends on our ability to develop and maintain brands that are meaningful to consumers. The development and maintenance of such brands requires significant investment in product innovation, brand-building, advertising and marketing. We focus on developing innovative products to address consumers’ unmet needs and introducing store brand products that emulate other popular branded consumer products, and, as a result, may increase our expenditures for advertising and other brand-building or marketing initiatives. However, these initiatives may not deliver the desired results, which could adversely affect our business and the recoverability of the trade names recorded on our balance sheet, which could materially and adversely affect our business, financial condition and results of operations.</w:t>
      </w:r>
    </w:p>
    <w:p>
      <w:pPr>
        <w:spacing w:after="0" w:line="2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impacted by changes in consumer lifestyle and environmental concerns, as well as current and future laws and regulations related to environmental matters.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 consumer products company and any reduction in consumer demand for the types of products we offer as a result of changes in consumer lifestyle, environmental concerns or other considerations could have a significant impact on our business, financial condition and results of operations. For example, there have been recent concerns about the environmental impact of single-use disposable products and products made from plastic, particularly polystyrene foam. These concerns, and the actions taken in response (including regulations banning the sale of certain polystyrene foam products in certain jurisdictions), impact several of our products, especially in our Hefty Tableware segment. Further, a number of governmental authorities, both at the federal, state and local level in the United States and abroad, have implemented, considered, or are expected to consider, additional legislation aimed at reducing the amount of plastic waste, regulating product content and regulating environmental claims. Our business is subject to regulations that govern matters such as post-consumer recycled content, extended producer responsibility, compostability and recyclability claims, and use of PFAS. Future regulatory and legislative change could affect the economics of our business activities, lead to changes in operating practices, affect our customers and influence the demand for and the cost of providing products and services to our customers. Sustainability concerns, including the recycling of products, have received increased focus in recent years and are expected to play an increasing role in brand management and consumer purchasing decisions. These changes in consumer lifestyle, environmental concerns or other considerations may result in a decrease in the demand for certain of our current products, an increase in expenditures to attempt to adapt and respond to these concerns, and an inability to respond through innovation or acquisition of assets we do not currently own, could materially and adversely affect our business, financial condition and results of operations.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affected by economic downturns in the markets that we serve and in the regions that supply our raw materials.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impacted by market conditions in the retail industry and consumer demand for our products, which in turn are affected by general economic conditions. Downturns or periods of economic weakness or increased prices in these consumer markets have resulted in the past, and could result in the future, in decreased demand for our products. For example, uncertainty about future economic conditions globally, and in the United States in particular, could lead to declines in consumer spending and consumption and cause our customers to purchase fewer of our products.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conditions could also impact our ability to manage our inventory levels to meet customers’ demand for our products. Our production levels and inventory management goals for our products are based on estimates of demand, taking into account production capacity, timing of shipments and inventory levels. If market conditions change, resulting in us overestimating or underestimating demand for any of our products during a given season, we may not maintain appropriate inventory levels, which could materially and adversely affect our business, financial condition and results of operation.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Global supply chain issues and other macroeconomic factors in the past have resulted in an inflationary environment that led to increased raw material costs and other input costs. The additional costs resulting from this inflationary environment and its constraints to our supply chain and distribution networks may again unfavorably impact our gross margin and operating results in future periods.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and assumptions on which our financial projections are based may prove to be inaccurate, which may cause our actual results to materially differ from such projections, which may adversely affect our future profitability, cash flows and stock price.</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projections, including any sales and earnings guidance or outlook we may provide from time to time, are dependent on certain estimates and assumptions. Our financial projections are based on historical experience, various other estimates and assumptions that we believe to be reasonable under the circumstances and at the time they are made, but our actual results may differ materially from our financial projections. Any material variation between the Company’s financial projections and its actual results may adversely affect the Company’s future profitability, cash flows and stock price.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profitability and cash flows could suffer if we are unable to generate cost savings in our manufacturing and distribution processes.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continue to work on various incremental cost savings programs, if we cannot successfully develop and implement cost savings plans, or if the cost of making these changes increases, we will not realize all anticipated benefits, which could materially and adversely affect our business, financial condition and results of operations.</w:t>
      </w:r>
    </w:p>
    <w:p>
      <w:pPr>
        <w:spacing w:after="0" w:line="28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Sales growth objectives may be difficult to achieve, we may not be able to achieve our innovation goals, develop and introduce new products and line extensions or expand into adjacent categories and countries, and we may not be able to successfully implement price increases; further, changes to our product mix may adversely impact our financial condition and results of operations.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mature markets that are subject to high levels of competition. Our future performance and growth depend on innovation and our ability to successfully develop or license capabilities to introduce new products, brands, line extensions and product innovations or enter into or expand into adjacent product categories, sales channels or countries. Our ability to quickly innovate in order to adapt our products to meet changing consumer demands is essential, especially in light of eCommerce and direct-to-consumer channels significantly reducing the barriers for even small competitors to quickly introduce new brands and products directly to consumers. The development and introduction of new products require substantial and effective research and development and demand creation expenditures, which we may be unable to recoup if the new products do not gain widespread market acceptance. If we are unable to increase market share in existing product lines, develop product innovations, undertake sales, marketing and advertising initiatives that grow our product categories, effectively adopt new technologies, and/or develop, acquire or successfully launch new products or brands, we may not achieve our sales growth objectives.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effective and integrated systems are required for us to gather and use consumer data and information to successfully market our products. New product development and marketing efforts, including efforts to enter markets or product categories in which we have limited or no prior experience, have inherent risks, including product development or launch delays. These could result in us not being the first to market and the failure of new products, brands or line extensions to achieve anticipated levels of market acceptance. If product introductions or new or expanded adjacencies are not successful, costs associated with these efforts may not be fully recouped and our results of operations could be adversely affected. In addition, if sales generated by new products cause a decline in sales of our existing products, our financial condition and results of operations could be materially adversely affected. Even if we are successful in increasing market share within particular product categories, a decline in the markets for such product categories could have a negative impact on our financial results. In addition, in the future, our growth strategy may include expanding our international operations, which would be subject to foreign market risks, including, among others, foreign currency fluctuations, economic or political instability and the imposition of tariffs and trade restrictions, which could adversely affect our financial results.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have implemented price increases and may implement additional price increases in the future, which may slow sales growth or create volume declines in the short term as customers and consumers adjust to these price increases. Competitors may or may not take competitive actions, which may lead to sales declines and loss of market share. In addition, changes to the mix of products that we sell may adversely impact our net sales, profitability and cash flow.</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liabilities, experience harm to our reputation and brands, or be forced to recall products as a result of real or perceived product quality or other product-related issues.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have control measures and systems in place that are designed to ensure that the safety and quality of our products are maintained, the consequences of not being able to do so could be severe, including adverse effects on consumer health, our reputation, the loss of customers and market share, financial costs and loss of revenue. If any of our products are found to be defective, we could be required to or may voluntarily recall such products, which could result in adverse publicity, significant expenses and a disruption in sales and could affect our reputation and that of our products. In addition, if any of our competitors or customers supply faulty or contaminated products to the market, our industry could be negatively impacted, which in turn could have adverse effects on our business.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widespread use of social media and networking sites by consumers has greatly increased the speed and accessibility of information dissemination. Negative publicity, posts or comments on social media or networking sites about us or our brands, whether accurate or inaccurate, or disclosure of non-public sensitive information about us, could be widely disseminated through the use of social media. Such events, if they were to occur, could harm our image and adversely affect our business, as well as require resources to rebuild our reputation.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affected by seasonality.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Portions of our business have historically been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Reynolds Parchment Paper and disposable aluminum pans. Our tableware products generally have higher sales in the second quarter of the year, primarily due to outdoor summertime use of disposable plates, cups and bowls. As a result of this seasonality, any factors negatively affecting us during these periods of any year, including unfavorable economic conditions or pandemic-related impacts, could have a material adverse effect on our financial condition and results of operations for the entire year. Because of quarterly fluctuations caused by these and other factors, comparisons of our operating results across different fiscal quarters may not be accurate indicators of our future performance.</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our key management and other personnel, or an inability to attract new management and other personnel, could negatively impact our business, financial condition and results of operations.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depend on our senior executive officers and other key personnel to operate our businesses, develop new products and technologies and service our customers. The loss of any of these key personnel could adversely affect our operations. Competition is intense for qualified personnel and the loss of them or an inability to attract, retain and motivate additional highly skilled personnel required for the operation and expansion of our business could hinder our ability to successfully conduct research and development activities or develop and support marketable products. Additionally, the high U.S. employment levels in our industry in recent years have increased turnover as compared to prior periods at some of our facilities and made hiring and retaining hourly employees more difficult. Any of these factors could have a material adverse effect on our business, financial condition and results of operations.</w:t>
      </w:r>
    </w:p>
    <w:p>
      <w:pPr>
        <w:spacing w:after="0" w:line="2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difficulty acquiring or integrating product lines or businesses, which could impact our business, financial condition and results of operations.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continue to pursue acquisitions of brands, businesses, assets or technologies from third parties. Acquisitions and their pursuits can involve, numerous risks, including, among other things:</w:t>
      </w:r>
    </w:p>
    <w:p>
      <w:pPr>
        <w:spacing w:after="0" w:line="54" w:lineRule="exact"/>
        <w:rPr>
          <w:sz w:val="20"/>
          <w:szCs w:val="20"/>
          <w:color w:val="auto"/>
        </w:rPr>
      </w:pPr>
    </w:p>
    <w:p>
      <w:pPr>
        <w:ind w:left="440" w:hanging="316"/>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realizing the full extent of the expected benefits or synergies as a result of a transaction, within the anticipated time frame, or at all;</w:t>
      </w:r>
    </w:p>
    <w:p>
      <w:pPr>
        <w:spacing w:after="0" w:line="117"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the operations, technologies, services, products and systems of the acquired brands, assets or businesses in an effective, timely and cost-efficient manner;</w:t>
      </w:r>
    </w:p>
    <w:p>
      <w:pPr>
        <w:spacing w:after="0" w:line="53"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priorities;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operating in new lines of business, channels of distribution or markets;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 partners, suppliers and customers of the acquired business;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conforming standards, controls, procedures and policies of the acquired business with our own;</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unforeseen risks and liabilities associated with acquired businesses;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developing or launching products with acquired technologies;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unanticipated problems or liabilities.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Acquisitions could result in the assumption of contingent liabilities. In addition, to the extent that the economic benefits associated with an acquisition or investment diminish in the future or the performance of an acquired company or business is less robust than expected, we may be required to record impairments of any acquired intangible assets, including goodwill.</w:t>
      </w:r>
    </w:p>
    <w:p>
      <w:pPr>
        <w:spacing w:after="0" w:line="2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maintaining and enforcing sufficient intellectual property rights to protect our business, or in avoiding claims that we infringe on the intellectual property rights of others.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intellectual property rights such as patents, trademarks and copyrights, as well as unpatented proprietary knowledge and trade secrets, to protect our business. However, these rights do not afford complete protection against third parties. For example, patents, trademarks and copyrights are territorial; thus, our business will only be protected by these rights in those jurisdictions in which we have been issued patents or have trademarks or copyrights, or have obtained licenses to use such patents, trademarks or copyrights. Even so, the laws of certain countries may not protect our intellectual property rights to the same extent as do the laws of the United States. Additionally, there can be no assurance that others will not independently develop knowledge and trade secrets that are similar to ours, or develop products or brands that compete effectively with our products and brands without infringing, misusing or otherwise violating any of our intellectual property rights.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be certain that any of our current or pending patents, trademarks and copyrights will provide us with sufficient protection from competitors, or that any intellectual property rights we do hold will not be invalidated, circumvented or challenged in the future. There is also a risk that we will not be able to obtain and perfect or, where appropriate, license, the intellectual property rights necessary to support new product introductions and product innovations. Additionally, we have licensed, and may license in the future, patents, trademarks, trade secrets and other intellectual property rights to third parties. While we attempt to ensure that our intellectual property rights are protected when entering into business relationships, third parties may take actions that could materially and adversely affect our rights or the value of our intellectual property rights.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Third parties may copy or otherwise obtain and use our proprietary knowledge or trade secrets without authorization or infringe, misuse or otherwise violate our other intellectual property rights. For example, our brand names, especially Reynolds, Hefty, Diamond and Presto, are well-established in the market and have attracted infringers in the past. Additionally, we may not be able to prevent current and former employees, contractors and other parties from misappropriating our confidential and proprietary knowledge. Infringement, misuse or other violation of any of our intellectual property rights may dilute or diminish the value of our brands and products in the marketplace, which could adversely affect our results of operations and make it more difficult for us to maintain a strong market position.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believe that our intellectual property rights are sufficient to allow us to conduct our business without incurring liability to third parties, our products and brands may infringe on the intellectual property rights of others, and in the past we have been, and in the future we may be, subject to claims asserting infringement, misuse or other violation of intellectual property rights and seeking damages, the payment of royalties or licensing fees, and/or injunctions against the sales of our products. If we are found to have infringed, misused or otherwise violated the intellectual property rights of others, we could be forced to pay damages, cease use of such intellectual property or, if we are given the opportunity to continue to use the intellectual property rights of others, we could be required to pay a substantial amount for continued use of those rights. In any case, such claims could be protracted and costly and could have a material adverse effect on our business and results of operations regardless of their outcome.</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 are a material component of our balance sheet and impairments of these assets could have a significant impact on our results.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recorded a significant amount of goodwill and indefinite-lived intangible assets, representing our Reynolds and Hefty trade names, on our balance sheet. We test the carrying values of goodwill and indefinite-lived intangible assets for impairment at least annually and whenever events or circumstances indicate the carrying value may not be recoverable. The estimates and assumptions about future results of operations and cash flows made in connection with impairment testing could differ from future actual results of operations and cash flows. While we concluded that our goodwill and indefinite-lived intangible assets were not impaired during our annual impairment review performed during the fourth quarter of 2023, future events could cause us to conclude that the goodwill associated with a given reporting unit, or one of our indefinite-lived intangible assets, may have become impaired. Any resulting impairment charge, although non-cash, could have a material adverse effect on our results of operations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workforce is covered by collective bargaining agreements, and our business could be harmed in the event of a prolonged work stoppage.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Approximately 23% of our employees are covered by collective bargaining agreements. While we believe we have good relationships with our unionized employees and we have not experienced a significant union-related work stoppage over the last ten years, if we encounter difficulties with renegotiations or renewals of collective bargaining arrangements or are unsuccessful in those efforts, we could incur additional costs and experience work stoppages. We cannot predict how stable our union relationships will be or whether we will be able to successfully negotiate successor collective bargaining agreements without impacting our financial condition. In addition, the presence of unions may limit our flexibility in dealing with our workforce. Work stoppages could negatively impact our ability to manufacture our products on a timely basis, which could have a material adverse effect on our results of operations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legislation initiatives or challenges to our tax positions could adversely affect our operations and financial condition.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tax laws and regulations of the U.S. federal, state and local governments. From time to time, legislative measures may be enacted that could adversely affect our overall tax positions regarding income or other taxes. There can be no assurance that our effective tax rate or tax payments will not be adversely affected by these legislative measures.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U.S. federal, state and local tax laws and regulations are extremely complex and subject to varying interpretations. There can be no assurance that our tax positions will be sustained if challenged by relevant tax authorities and if not sustained, there could be a material adverse effect on our results of operations, financial condition and cash flows.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Impacts associated with a future pandemic and associated responses could adversely impact our business and results of operations.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COVID-19 pandemic negatively affected certain parts of our business and operations. A resurgence of the COVID-19 pandemic, or a future pandemic or health epidemic, could adversely impact our business and results of operations in a number of ways, including but not limited to:</w:t>
      </w:r>
    </w:p>
    <w:p>
      <w:pPr>
        <w:spacing w:after="0" w:line="54" w:lineRule="exact"/>
        <w:rPr>
          <w:sz w:val="20"/>
          <w:szCs w:val="20"/>
          <w:color w:val="auto"/>
        </w:rPr>
      </w:pPr>
    </w:p>
    <w:p>
      <w:pPr>
        <w:ind w:left="440" w:right="20" w:hanging="316"/>
        <w:spacing w:after="0" w:line="282" w:lineRule="auto"/>
        <w:tabs>
          <w:tab w:leader="none" w:pos="4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shutdown, disruption or less than full utilization of one or more of our manufacturing, warehousing or distribution facilities, or disruption in our supply chain or customer base, including but not limited to, as a result of illness, government restrictions or other workforce disruptions;</w:t>
      </w:r>
    </w:p>
    <w:p>
      <w:pPr>
        <w:spacing w:after="0" w:line="53"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 parties on which we rely, including but not limited to those that supply our raw materials and other necessary operating materials, co-manufacturers and independent contractors, to meet their obligations to us, or significant disruptions in their ability to do so;</w:t>
      </w:r>
    </w:p>
    <w:p>
      <w:pPr>
        <w:spacing w:after="0" w:line="53"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escalated government or regulatory responses in markets where we manufacture, sell or distribute our products, or in the markets of third parties on which we rely, could prevent or disrupt our business operations;</w:t>
      </w:r>
    </w:p>
    <w:p>
      <w:pPr>
        <w:spacing w:after="0" w:line="53" w:lineRule="exact"/>
        <w:rPr>
          <w:rFonts w:ascii="Times New Roman" w:cs="Times New Roman" w:eastAsia="Times New Roman" w:hAnsi="Times New Roman"/>
          <w:sz w:val="18"/>
          <w:szCs w:val="18"/>
          <w:color w:val="auto"/>
        </w:rPr>
      </w:pPr>
    </w:p>
    <w:p>
      <w:pPr>
        <w:jc w:val="both"/>
        <w:ind w:left="440" w:hanging="316"/>
        <w:spacing w:after="0" w:line="282" w:lineRule="auto"/>
        <w:tabs>
          <w:tab w:leader="none" w:pos="4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in certain areas such as front-line employee compensation, as well as incremental costs associated with newly added health screenings, temperature checks and enhanced cleaning and sanitation protocols to protect our employees, which we expect could increase in these or other areas;</w:t>
      </w:r>
    </w:p>
    <w:p>
      <w:pPr>
        <w:spacing w:after="0" w:line="53" w:lineRule="exact"/>
        <w:rPr>
          <w:rFonts w:ascii="Times New Roman" w:cs="Times New Roman" w:eastAsia="Times New Roman" w:hAnsi="Times New Roman"/>
          <w:sz w:val="18"/>
          <w:szCs w:val="18"/>
          <w:color w:val="auto"/>
        </w:rPr>
      </w:pPr>
    </w:p>
    <w:p>
      <w:pPr>
        <w:jc w:val="both"/>
        <w:ind w:left="440" w:hanging="316"/>
        <w:spacing w:after="0" w:line="266" w:lineRule="auto"/>
        <w:tabs>
          <w:tab w:leader="none" w:pos="4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reductions or volatility in demand for one or more of our products, which may be caused by, among other things: the temporary inability of consumers to purchase our products due to illness, quarantine or other travel restrictions, or financial hardship; or other pandemic related restrictions impacting consumer behavior;</w:t>
      </w:r>
    </w:p>
    <w:p>
      <w:pPr>
        <w:spacing w:after="0" w:line="67"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respond to or capitalize on increased demand, including challenges and increased costs associated with adding capacity and related staffing issues;</w:t>
      </w:r>
    </w:p>
    <w:p>
      <w:pPr>
        <w:spacing w:after="0" w:line="53"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demand for or availability of our products as a result of retailers, distributors or carriers modifying their inventory, fulfillment or shipping practices; and</w:t>
      </w:r>
    </w:p>
    <w:p>
      <w:pPr>
        <w:spacing w:after="0" w:line="53"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unknown duration and magnitude of a pandemic and all of its related impacts.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and other impacts of a pandemic could have the effect of heightening many of the other risk factors disclosed in this Annual Report on Form 10-K. The ultimate impact depends on the severity and duration of the pandemic and actions taken by governmental authorities and other third parties in response, each of which is uncertain and difficult to predict. Any of these disruptions could adversely impact our business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Liquidity and Indebtedness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debt, which could adversely affect our financial condition and ability to operate our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we had $1,845 million of outstanding indebtedness under our senior secured term loan facility (“Term Loan Facility”) maturing in 2027 and $244 million of borrowing capacity under our senior secured revolving credit facility (“Revolving Facility”) maturing in 2026 (the Term Loan Facility and the Revolving Facility, the “External Debt Facilities”). Our debt level and related debt service obligations:</w:t>
      </w:r>
    </w:p>
    <w:p>
      <w:pPr>
        <w:spacing w:after="0" w:line="68" w:lineRule="exact"/>
        <w:rPr>
          <w:sz w:val="20"/>
          <w:szCs w:val="20"/>
          <w:color w:val="auto"/>
        </w:rPr>
      </w:pPr>
    </w:p>
    <w:p>
      <w:pPr>
        <w:ind w:left="440" w:hanging="316"/>
        <w:spacing w:after="0" w:line="282" w:lineRule="auto"/>
        <w:tabs>
          <w:tab w:leader="none" w:pos="4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significant cash flow to the payment of principal of, and interest on, our debt, which reduces the funds we have available for other purposes, including working capital, capital expenditures and general corporate purposes;</w:t>
      </w:r>
    </w:p>
    <w:p>
      <w:pPr>
        <w:spacing w:after="0" w:line="53"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limit our flexibility in planning for or reacting to changes in our business and market conditions or in funding our strategic growth plan;</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us financial and operational restrictions;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interest rate risk on our debt obligations bearing interest at variable rates.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restrictions could adversely affect our financial condition and limit our ability to successfully implement our growth strategy.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need additional financing to support our business and pursue our growth strategy, including for strategic acquisitions. Our ability to obtain additional financing, if and when required, will depend on investor demand, our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those of our common stock, and, in the case of equity and equity-linked securities, our existing stockholders may experience dilution.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interest rates have increased and could continue to increase our interest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debt bears interest at variable rates, and we may incur additional variable interest rate indebtedness in the future. This exposes us to interest rate risk, and while we have entered into a series of interest rate swaps to mitigate the risk of variable rate debt, any interest rate swaps we enter into in order to reduce interest rate volatility may not fully mitigate our interest rate risk. As of December 31, 2023, the unhedged portion of our Term Loan Facility was approximately $695 million, and any borrowings under our Revolving Facility are subject to interest rate volatility.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Higher interest rates during the year ended December 31, 2023, have increased our debt service obligations on the unhedged variable rate indebtedness, and our net income and cash flows, including cash available for servicing our indebtedness, has correspondingly decreased. Further increases in interest rates on unhedged debt could further reduce our net income and cash flows, including cash available for servicing our indebtedness.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Regulatory and Compliance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regulation and we may incur material liabilities under, or costs in order to comply with, existing or future laws and regulations.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products come into contact with food when used, and the manufacture, packaging, labeling, storage, distribution, advertising and sale of such products are subject to various laws designed to protect human health and the environment. For example, in the United States, many of our products are regulated by the Food and Drug Administration (including applicable current good manufacturing practice regulations) and/or the Consumer Product Safety Commission, and our product claims and advertising are regulated by the Federal Trade Commission. Most states have agencies that regulate in parallel to these federal agencies. Liabilities under, and/or costs of compliance, and the impact on us of any non-compliance with any such laws and regulations could materially and adversely affect our business, financial condition and results of operations. In addition, changes in the laws and regulations which we are subject to could impose significant limitations and require changes to our business, which in turn may increase our compliance expenses, make our business more costly and less efficient to conduct, and compromise our growth strategy.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incur significant liabilities related to, and significant costs in complying with, environmental, health and safety laws, regulations and permits.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are subject to various national, state, local, foreign and international environmental, health and safety laws, regulations and permits that govern, among other things, the emission or discharge of materials into the environment; the use, storage, treatment, disposal, management and release of hazardous substances and wastes; the health and safety of our employees and the end-users of our products; and the materials used in, and the recycling of, our products. These laws and regulations impose liability, which can be strict, joint and several, for the costs of investigating and remediating, and damages resulting from, present and past releases of hazardous substances related to our current and former sites, as well as at third party sites where we or our predecessors have sent waste for disposal. Non-compliance with, or liability related to, these laws, regulations and permits, which tend to become more stringent over time, could result in substantial fines or penalties, injunctive relief, requirements to install pollution control devices or other controls or equipment, civil or criminal sanctions, permit revocations or modifications and/or facility shutdowns, and could expose us to costs of investigation or remediation, as well as tort claims for property damage or personal injury, and could limit production.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 number of governmental authorities, both in the United States and abroad, have considered, and are expected to consider, legislation aimed at reducing the amount of plastic waste. Programs have included banning certain types of products, mandating certain rates of recycling and/or the use of recycled materials, imposing deposits or taxes on plastic bags and packaging material, and requiring retailers or manufacturers to take back packaging used for their products. Such legislation, as well as voluntary initiatives, aimed at reducing the level of plastic wastes could reduce the demand for certain plastic products, result in greater costs for manufacturers of plastic products or otherwise impact our business, financial condition and results of operations. Additional regulatory efforts addressing other environmental or safety concerns in the future could similarly impact our operations and financial results.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ESG matters, including those related to climate change and sustainability, may have an adverse effect on our business, financial condition and results of operations and impact our reputation.</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has been an increased focus from stakeholders and regulators related to environmental, social and governance (“ESG”) matters across all industries in recent years. This increased focus and activism related to ESG may hinder our access to capital, as investors may reconsider their capital investment as a result of their assessment of the Company’s ESG practices. In particular, customers, consumers, investors and other stakeholders are increasingly focusing on environmental issues, including climate change, water use, deforestation, plastic waste and other sustainability concerns. Changing consumer preferences may also result in decreased demand for plastics and packaging materials, including single-use and non-recyclable plastic products and packaging, and other components of our products and their environmental impact on sustainability. These demands could impact the profitability of our products, cause us to incur additional costs, to make changes to our operations, or to make additional commitments, set targets or establish additional goals and take actions to meet them, which could expose us to market, operational and execution costs and risks.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Concern over climate change or plastics and packaging materials, in particular, may result in new or increased legal and regulatory requirements to reduce or mitigate impacts to the environment. Increased regulatory requirements, including in relation to various aspects of ESG, such as the SEC’s disclosure proposal on climate change and California’s recent enactment of climate-related disclosure laws, or environmental causes may result in increased compliance costs or input costs of energy, raw materials or compliance with emissions standards, which may cause disruptions in the manufacture of our products or an increase in operating costs. We may incur additional costs to control, assess and report on ESG metrics as the nature, scope and complexity of ESG reporting, diligence and disclosure requirements expand. Our ability to achieve any stated goal, target, or objective is subject to numerous factors and conditions, many of which are outside of our control. Any failure to achieve our ESG goals or a perception (whether or not valid) of our failure to act responsibly with respect to the environment or to effectively respond to new, or changes in, legal or regulatory requirements concerning environmental or other ESG matters, or increased operating or manufacturing costs due to increased regulation or environmental causes could adversely affect our business and reputation.</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do not adapt to or comply with new regulations, or fail to meet the ESG goals under our ESG framework or evolving investor, industry or stakeholder expectations and standards, or if we are perceived to have not responded appropriately to the growing concern for ESG issues, customers and consumers may choose to stop purchasing our products or purchase products from another company or a competitor, and our reputation, business or financial condition may be adversely affected.</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rights licensed from third parties, and disputes regarding, or termination of, these licenses could result in loss of rights, which could harm our business.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dependent in part on intellectual property rights licensed from third parties. Our licenses of such intellectual property rights may not provide exclusive or unrestricted rights in all fields of use and in all territories in which we may wish to develop or commercialize our products in the future and may restrict our rights to offer certain products in certain markets or impose other obligations on us in exchange for our rights to the licensed intellectual property. In addition, we may not have full control over the maintenance, protection or use of in-licensed intellectual property rights, and therefore we may be reliant on our licensors to conduct such activities.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Disputes may arise between us and our licensors regarding the scope of rights or obligations under our intellectual property license agreements, including the scope of our rights to use the licensed intellectual property, our rights with respect to third parties, our and our licensors’ obligations with respect to the maintenance and protection of the licensed intellectual property, and other interpretation-related issues. The agreements under which we license intellectual property rights from others are complex, and the provisions of such agreements may be susceptible to multiple interpretations. The resolution of any contract interpretation disagreement that may arise could narrow what we believe to be the scope of our rights to the intellectual property being licensed, or increase what we believe to be our financial or other obligations under the relevant agreement. Termination of or disputes over such licenses could result in the loss of significant rights.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generally also subject to all of the same risks with respect to protection of intellectual property that we license as we are for intellectual property that we own. Any failure on our part or the part of our licensors to adequately protect this intellectual property could have a material adverse effect on our business and results of operations.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cyber-attack or failure of one or more key information technology systems, operational technology systems, networks, processes, associated sites or service providers could have a material adverse impact on our business and reputation.</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extensively on information technology (“IT”) and operational technology (“OT”) systems, networks and services, including Internet sites, data hosting and processing facilities and tools and other hardware, software and technological applications and platforms, some of which are managed, hosted, provided and/or used by third parties or their vendors, to assist in conducting business. The various uses of these systems, networks and services include, but are not limited to:</w:t>
      </w:r>
    </w:p>
    <w:p>
      <w:pPr>
        <w:spacing w:after="0" w:line="72" w:lineRule="exact"/>
        <w:rPr>
          <w:sz w:val="20"/>
          <w:szCs w:val="20"/>
          <w:color w:val="auto"/>
        </w:rPr>
      </w:pPr>
    </w:p>
    <w:p>
      <w:pPr>
        <w:ind w:left="440" w:hanging="31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ordering and managing materials from suppliers;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materials to finished products;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supply chain network;</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products to customers;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selling products to consumers;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processing transactions;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summarizing and reporting results of operations;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hosting, processing and sharing confidential and proprietary research, business plans and financial information;</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regulatory, legal or tax requirements;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data security; and</w:t>
      </w:r>
    </w:p>
    <w:p>
      <w:pPr>
        <w:sectPr>
          <w:pgSz w:w="11900" w:h="16838" w:orient="portrait"/>
          <w:cols w:equalWidth="0" w:num="1">
            <w:col w:w="11240"/>
          </w:cols>
          <w:pgMar w:left="320" w:top="121" w:right="339" w:bottom="144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6" w:lineRule="exact"/>
        <w:rPr>
          <w:sz w:val="20"/>
          <w:szCs w:val="20"/>
          <w:color w:val="auto"/>
        </w:rPr>
      </w:pPr>
    </w:p>
    <w:p>
      <w:pPr>
        <w:ind w:left="440" w:hanging="316"/>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handling other processes necessary to manage our business.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Increased cyber security threats and cyber-crime, including advanced persistent threats, computer viruses, ransomware, other types of malicious code, hacking, phishing and social engineering schemes designed to provide access to our networks or data, pose a potential risk to the security of our IT and OT systems, networks and services, as well as the confidentiality, availability and integrity of our data. Cyber threats are becoming more sophisticated, are constantly evolving and are being made by groups and individuals with a wide range of expertise and motives, increasing the difficulty of preventing, detecting and successfully defending against them. Furthermore, our relationships with, and access provided to, third parties and their vendors may create difficulties in anticipating and implementing adequate preventative measures or fully mitigating harms after an attack or breach occurs.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cannot guarantee that our security efforts will prevent attacks and resulting breaches or breakdowns of our, or our third-party service providers’, databases or systems. If the IT or OT systems, networks or service providers relied upon fail to function properly, or if we suffer a loss or disclosure of customers’ and consumers’ data, business or stakeholder information, due to any number of causes, ranging from catastrophic events to power outages to security breaches, or the inability to effectively address these failures on a timely basis, we may suffer interruptions in our ability to manage operations, a risk of government enforcement action, litigation and possible liability, and reputational, competitive and/or business harm, which may adversely impact our results of operations and/or financial condition. In addition, if our service providers, suppliers or customers experience a breach or unauthorized disclosure or system failure, their business could be disrupted or otherwise negatively affected, which may result in a disruption in our supply chain or reduced customer orders or other business operations, which would adversely affect us.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claims and proceedings could adversely impact our business.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be subject to a wide variety of legal claims and proceedings. Regardless of their merit, these claims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 The resolution of, or increase in the reserves taken in connection with, one or more of these matters could have a material adverse effect on our business, results of operations, cash flows and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may not adequately protect us against business and operating risks.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insurance for some, but not all, of the potential risks and liabilities associated with our business. For some risks, we may not obtain insurance if we believe the cost of available insurance is excessive in relation to the risks presented. As a result of market conditions, premiums and deductibles for certain insurance policies can increase substantially, and in some instances, certain insurance policies are economically unavailable or available only for reduced amounts of coverage. For example, we will not be fully insured against all risks associated with pollution and other environmental incidents or impacts. Moreover, we may face losses and liabilities that are uninsurable by their nature, or that are not covered, fully or at all, under our existing insurance policies. Any significant uninsured liability may require us to pay substantial amounts, which would adversely affect our cash position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Stockholder Influence, Related Party Transactions and Governance</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by Packaging Finance Limited or others of our common stock, or the perception that such sales may occur, could depress the price of our common stock.</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Packaging Finance Limited (“PFL”) owns the majority of our outstanding common stock. We do not know whether or when PFL will sell shares of our common stock. The sale by PFL or others of a substantial number of shares of our common stock, or a perception that such sales could occur, could significantly reduce the market price of our common stock. The perception of a potential sell-down by PFL could depress the market price of our common stock and make it more difficult for us to sell equity securities in the future at a time and at a price that we deem appropriate.</w:t>
      </w:r>
    </w:p>
    <w:p>
      <w:pPr>
        <w:spacing w:after="0" w:line="2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in our certificate of incorporation and bylaws may have the effect of delaying or preventing a change of control or changes in our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and bylaws include provisions that:</w:t>
      </w:r>
    </w:p>
    <w:p>
      <w:pPr>
        <w:spacing w:after="0" w:line="99" w:lineRule="exact"/>
        <w:rPr>
          <w:sz w:val="20"/>
          <w:szCs w:val="20"/>
          <w:color w:val="auto"/>
        </w:rPr>
      </w:pPr>
    </w:p>
    <w:p>
      <w:pPr>
        <w:ind w:left="440" w:hanging="316"/>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staggered board;</w:t>
      </w:r>
    </w:p>
    <w:p>
      <w:pPr>
        <w:spacing w:after="0" w:line="117" w:lineRule="exact"/>
        <w:rPr>
          <w:rFonts w:ascii="Times New Roman" w:cs="Times New Roman" w:eastAsia="Times New Roman" w:hAnsi="Times New Roman"/>
          <w:sz w:val="18"/>
          <w:szCs w:val="18"/>
          <w:color w:val="auto"/>
        </w:rPr>
      </w:pPr>
    </w:p>
    <w:p>
      <w:pPr>
        <w:jc w:val="both"/>
        <w:ind w:left="440" w:hanging="316"/>
        <w:spacing w:after="0" w:line="261" w:lineRule="auto"/>
        <w:tabs>
          <w:tab w:leader="none" w:pos="4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at least 66-2/3% of the votes that all of our stockholders would be entitled to cast in an annual election of directors in order to amend our certificate of incorporation and bylaws after the date on which PFL and all other entities beneficially owned by Mr. Graeme Richard Hart or his estate, heirs, executor, administrator or other personal representative, or any of his immediate family members or any trust, fund or other entity which is controlled by his estate, heirs, any of his immediate family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6"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members or any of their respective affiliates (PFL and all of the foregoing, collectively, the “Hart Entities”) and any other transferee of all of the outstanding shares of common stock held at any time by the Hart Entities which are transferred other than pursuant to a widely distributed public sale (“Permitted Assigns”) beneficially own less than 50% of the outstanding shares of our common stock;</w:t>
      </w:r>
    </w:p>
    <w:p>
      <w:pPr>
        <w:spacing w:after="0" w:line="68" w:lineRule="exact"/>
        <w:rPr>
          <w:sz w:val="20"/>
          <w:szCs w:val="20"/>
          <w:color w:val="auto"/>
        </w:rPr>
      </w:pPr>
    </w:p>
    <w:p>
      <w:pPr>
        <w:ind w:left="440" w:hanging="316"/>
        <w:spacing w:after="0" w:line="282" w:lineRule="auto"/>
        <w:tabs>
          <w:tab w:leader="none" w:pos="4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 after the date on which the Hart Entities or Permitted Assigns beneficially own less than 50% of the outstanding shares of our common stock;</w:t>
      </w:r>
    </w:p>
    <w:p>
      <w:pPr>
        <w:spacing w:after="0" w:line="53" w:lineRule="exact"/>
        <w:rPr>
          <w:rFonts w:ascii="Times New Roman" w:cs="Times New Roman" w:eastAsia="Times New Roman" w:hAnsi="Times New Roman"/>
          <w:sz w:val="18"/>
          <w:szCs w:val="18"/>
          <w:color w:val="auto"/>
        </w:rPr>
      </w:pPr>
    </w:p>
    <w:p>
      <w:pPr>
        <w:jc w:val="both"/>
        <w:ind w:left="440" w:hanging="316"/>
        <w:spacing w:after="0" w:line="266" w:lineRule="auto"/>
        <w:tabs>
          <w:tab w:leader="none" w:pos="4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instead requiring stockholder actions to be taken solely at a duly convened meeting of our stockholders, after the date on which the Hart Entities or Permitted Assigns beneficially own less than 50% of the outstanding shares of our common stock;</w:t>
      </w:r>
    </w:p>
    <w:p>
      <w:pPr>
        <w:spacing w:after="0" w:line="67"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without further action by our stockholders, to fix the rights, preferences, privileges and restrictions of preferred stock, the rights of which may be greater than the rights of our common stock;</w:t>
      </w:r>
    </w:p>
    <w:p>
      <w:pPr>
        <w:spacing w:after="0" w:line="53"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forum for certain litigation against us to the Court of Chancery of the State of Delaware; and</w:t>
      </w:r>
    </w:p>
    <w:p>
      <w:pPr>
        <w:spacing w:after="0" w:line="117"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As a result, these provisions may adversely affect the market price and market for our common stock if they are viewed as limiting the liquidity of our stock. These provisions may also make it more difficult for a third party to acquire us in the future, and, as a result, our stockholders may be limited in their ability to obtain a premium for their shares of common stock.</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we have entered into a stockholders agreement with PFL which, among other matters, provides PFL with the right to nominate a certain number of directors to our board of directors so long as the Hart Entities beneficially own at least 10% of the outstanding shares of our common stock.</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is the exclusive forum for substantially all disputes between us and our stockholders.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Notwithstanding the foregoing, the exclusive forum provision will not apply to suits brought to enforce any liability or duty created by the Exchange Act, the Securities Act of 1933, or any other claim for which the federal courts have exclusive jurisdiction.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intend to continue to pay regular dividends on our common stock, but our ability to do so may be limited.</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intend to continue to pay cash dividends on our common stock on a quarterly basis, subject to the discretion of our board of directors and our compliance with applicable law, and depending on our results of operations, capital requirements, financial condition, business prospects, contractual restrictions, restrictions imposed by applicable laws and other factors that our board of directors deems relevant. Our ability to pay dividends is restricted by the terms of our External Debt Facilities and may be restricted by the terms of any future debt or preferred equity securities. 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cease paying dividends, and/or declare any periodic special dividends. There can be no assurance that our board of directors will not reduce the amount of regular cash dividends or cause us to cease paying dividends altogether.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incur significant liability if our separation from PEI Group fails to qualify as a tax-free transaction for U.S. federal income tax purposes.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historically operated as part of Pactiv Evergreen Inc. (“PEI”) and its subsidiaries (together with PEI, “PEI Group”). In preparation for our IPO, PEI Group effected certain distributions pursuant to the Corporate Reorganization to transfer its interests in us to PFL in a manner that was intended to qualify as tax-free to PFL and PEI Group under Sections 368(a)(1)(D) and 355 of the Internal Revenue Code of 1986, as amended (“Code”). PEI received a tax opinion as to the tax treatment of these distributions, which relied on certain facts, assumptions, representations and undertakings from Mr. Graeme Hart, PEI Group and us regarding the past and future conduct of the companies’ respective businesses and other matters. If any of these facts, assumptions, representations or undertakings are incorrect or not otherwise satisfied, PEI may not be able to rely on the opinion of tax counsel and could be subject to significant tax liabilities. Notwithstanding the opinion of tax counsel, the Internal Revenue Service (“IRS”) could determine on audit that these distributions are taxable if it determines that any of these facts, assumptions, representations or undertakings are not correct or have been violated or if it disagrees with the conclusions in the opinion, or for other reasons. If the distributions are determined to be taxable for U.S. federal income tax purposes, PFL, PEI and Pactiv Evergreen Group Holdings Inc. could incur significant U.S. federal income tax liabilities, and we could also incur significant liabilities. Under the tax matters agreement between PEI and us (“Tax Matters Agreement”), we are required to indemnify PEI Group against taxes incurred by them that arise as a result of, among other things, a breach of any representation made by us, including those provided in connection with the opinion of tax counsel or us taking or failing to take, as the case may be, certain actions, in each case, that result in any of the distributions failing to meet the requirements of a tax-free distribution under Sections 355 and 368(a)(1)(D) of the Code.</w:t>
      </w:r>
    </w:p>
    <w:p>
      <w:pPr>
        <w:spacing w:after="0" w:line="30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PFL controls the direction of our business and PFL’s concentrated ownership of our common stock may prevent our stockholders from influencing significant decisions.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PFL owns and controls the voting power of approximately 74% of our outstanding shares of common stock. Under our stockholders agreement with PFL, PFL is entitled to nominate all of our board of directors so long as it owns at least 50% of our shares, and a majority of our board of directors so long as it owns at least 40% of our shares. Additionally, as long as PFL continues to control a majority of the voting power of our outstanding common stock, it is generally able to determine the outcome of all corporate actions requiring stockholder approval.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PFL and its affiliates engage in a broad spectrum of activities. In the ordinary course of their business activities, PFL and its affiliates may engage in activities where their interests may not be the same as, or may conflict with, the interests of our other stockholders. Other stockholders will not be able to affect the outcome of any stockholder vote while PFL controls the majority of the voting power of our outstanding common stock. As a result, PFL controls, directly or indirectly and subject to applicable law, the composition of our board of directors, which in turn will be able to control all matters affecting us, including, among others:</w:t>
      </w:r>
    </w:p>
    <w:p>
      <w:pPr>
        <w:spacing w:after="0" w:line="75" w:lineRule="exact"/>
        <w:rPr>
          <w:sz w:val="20"/>
          <w:szCs w:val="20"/>
          <w:color w:val="auto"/>
        </w:rPr>
      </w:pPr>
    </w:p>
    <w:p>
      <w:pPr>
        <w:ind w:left="440" w:hanging="31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 with respect to our business direction and policies, including the appointment and removal of officers and directors;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amendments to our certificate of incorporation;</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determinations with respect to mergers, business combinations or disposition of assets;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 programs and other human resources policy decisions;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on our common stock;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determinations with respect to tax matters.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concentration of PFL’s ownership could also discourage others from making tender offers, which could prevent holders from receiving a premium for their common stock.</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PFL’s interests may differ from ours or from those of our other stockholders, actions that PFL takes with respect to us, as our controlling stockholder, may not be favorable to us or our other stockholders, including holders of our common stock.</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 longer affiliated with PEI Group, we may be unable to continue to benefit from that relationship, which may adversely affect our operations and have a material adverse effect on us.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affiliation with PEI Group has provided us with increased scale and reach. We have leveraged our combined scale to coordinate purchases across our operations to reduce costs. If we no longer benefit from this relationship, whether because we are no longer affiliated with PEI Group or otherwise, it may result in increased costs for us and higher prices to our customers because we may be unable to obtain goods, services and technology from unaffiliated third parties on terms as favorable as those previously obtained. As a result of any of the above factors, we may be precluded from pursuing certain opportunities that we would otherwise pursue, including growth opportunities, which in turn may adversely affect our business, financial condition and results of operations.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and may continue to enter, into certain related party transactions. There can be no assurance that we could not have achieved more favorable terms if such transactions had not been entered into with related parties, or that we will be able to maintain existing terms in the future.</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entered into various transactions with Rank Group Limited (“Rank”) and other related parties that are members of PEI Group, including, among others:</w:t>
      </w:r>
    </w:p>
    <w:p>
      <w:pPr>
        <w:spacing w:after="0" w:line="54" w:lineRule="exact"/>
        <w:rPr>
          <w:sz w:val="20"/>
          <w:szCs w:val="20"/>
          <w:color w:val="auto"/>
        </w:rPr>
      </w:pPr>
    </w:p>
    <w:p>
      <w:pPr>
        <w:ind w:left="440" w:hanging="3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for our corporate headquarters in Lake Forest, Illinois;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for a facility used for certain research and development activities in Canandaigua, New York;</w:t>
      </w:r>
    </w:p>
    <w:p>
      <w:pPr>
        <w:spacing w:after="0" w:line="117" w:lineRule="exact"/>
        <w:rPr>
          <w:rFonts w:ascii="Times New Roman" w:cs="Times New Roman" w:eastAsia="Times New Roman" w:hAnsi="Times New Roman"/>
          <w:sz w:val="18"/>
          <w:szCs w:val="18"/>
          <w:color w:val="auto"/>
        </w:rPr>
      </w:pPr>
    </w:p>
    <w:p>
      <w:pPr>
        <w:ind w:left="440" w:right="20" w:hanging="316"/>
        <w:spacing w:after="0" w:line="282" w:lineRule="auto"/>
        <w:tabs>
          <w:tab w:leader="none" w:pos="4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agreements where we sell certain products (primarily aluminum foil containers and roll foil) to, and purchase certain products (primarily tableware) from Pactiv LLC (“Pactiv”), a member of PEI Group; and</w:t>
      </w:r>
    </w:p>
    <w:p>
      <w:pPr>
        <w:spacing w:after="0" w:line="53"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warehousing and freight services agreement whereby Pactiv provides certain logistics services to us.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believe that all such transactions have been negotiated on an arm’s length basis and contain commercially reasonable terms, we may have been able to achieve more favorable terms had such transactions been entered into with unrelated parties. In addition, while these services are being provided to us by related parties, our operational flexibility to modify or implement changes with respect to such services or the amounts we pay for them may be limited. Such related party transactions may also potentially involve conflicts of interest; for example, in the event of a dispute under any of these related party agreements, PEI Group could decide the matter in a way adverse to us, and our ability to enforce our contractual rights may be limited.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also likely that we may enter into related party transactions in the future. Although material related party transactions that we may enter into will be subject to approval or ratification by the Audit Committee, there can be no assurance that such transactions, individually or in the aggregate, will not have an adverse effect on our financial condition and results of operations, or that we could not have achieved more favorable terms if such transactions had not been entered into with related parties.</w:t>
      </w:r>
    </w:p>
    <w:p>
      <w:pPr>
        <w:spacing w:after="0" w:line="2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PFL sells a controlling interest in our company to a third party in a private transaction, investors may not realize any change-of-control premium on shares of our common stock and we may become subject to the control of a presently unknown third party.</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PFL owns and controls the voting power of approximately 74% of our outstanding shares of common stock. PFL has the ability, should it choose to do so, to sell some or all of its shares of our common stock in a privately negotiated transaction, which, if sufficient in size, could result in a change of control of our company.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ability of PFL to privately sell its shares of our common stock, with no requirement for a concurrent offer to be made to acquire all of the shares of our common stock that are publicly traded, could prevent investors from realizing any change-of-control premium on shares of our common stock that may otherwise accrue to PFL on its private sale of our common stock. Additionally, if PFL privately sells its significant equity interest in our company, we may become subject to the control of a presently unknown third party. Such third party may have conflicts of interest with those of other stockholders. In addition, if PFL sells a controlling interest in our company to a third party, our liquidity could be impaired, our outstanding indebtedness may be subject to acceleration and our commercial agreements and relationships could be impacted, all of which may adversely affect our ability to run our business as described herein and may have a material adverse effect on our results of operations and financial condition.</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rules of Nasdaq and, as a result, rely on exemptions from certain corporate governance requirements.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PFL controls a majority of the voting power of our outstanding common stock. As a result, we are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w:t>
      </w:r>
    </w:p>
    <w:p>
      <w:pPr>
        <w:spacing w:after="0" w:line="68" w:lineRule="exact"/>
        <w:rPr>
          <w:sz w:val="20"/>
          <w:szCs w:val="20"/>
          <w:color w:val="auto"/>
        </w:rPr>
      </w:pPr>
    </w:p>
    <w:p>
      <w:pPr>
        <w:ind w:left="440" w:hanging="316"/>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the board of directors consist of independent directors;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compensation, nominating and corporate governance committee be composed entirely of independent directors;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an annual performance evaluation of our compensation, nominating and corporate governance committee.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PFL controls a majority of the voting power of our outstanding common stock, we intend to rely on these exemptions and, as a result, will not have a majority of independent directors on our board of directors or a compensation, nominating and corporate governance committee consisting entirely of independent directors. Accordingly, you will not have the same protections afforded to stockholders of companies that are subject to all of the corporate governance requirements of Nasdaq.</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PEI Group may compete with us, and its competitive position in certain markets may constrain our ability to build and maintain partnerships.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face competition from a variety of sources, including Pactiv and other members of PEI Group, both today and in the future. For example, while we have supply agreements in place with Pactiv, Pactiv may still compete with us in certain products and/or in certain channels. In addition, while none of the other members of PEI Group currently manufacture or sell products that compete with our products, they may do so in the future, including as a result of acquiring a company that operates as a manufacturer of consumer products. Due to the significant resources of PEI Group, including financial resources and know-how resulting from the previous management of our business, PEI Group could have a significant competitive advantage should it decide to engage in the type of business we conduct, which may materially and adversely affect our business, financial condition and results of operations. Although Pactiv has historically sold the products (primarily tableware and cups) that we purchase from it in the foodservice business-to-business channel, after the termination of our supply agreement with Pactiv it could seek to sell such products in the retail channel or otherwise compete with us, especially where we sell private label or store brand products. As our former supplier, Pactiv would have information about products, including pricing that could give it a competitive advantage.</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we may partner with companies that compete with PEI Group in certain markets. Our affiliation with PEI Group may affect our ability to effectively partner with these companies. These companies may favor our competitors because of our relationship with PEI Group.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may arise because certain of our directors may hold a board position with PEI Group entities.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certain of our directors may also be directors of PEI or other PEI Group entities. The interests of any such director in PEI, other PEI Group entities and us could create, or appear to create, conflicts of interest with respect to decisions involving both us and PEI or PEI Group entities that could have different implications for PEI and us. These decisions could, for example, relate to:</w:t>
      </w:r>
    </w:p>
    <w:p>
      <w:pPr>
        <w:spacing w:after="0" w:line="68" w:lineRule="exact"/>
        <w:rPr>
          <w:sz w:val="20"/>
          <w:szCs w:val="20"/>
          <w:color w:val="auto"/>
        </w:rPr>
      </w:pPr>
    </w:p>
    <w:p>
      <w:pPr>
        <w:ind w:left="440" w:hanging="316"/>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corporate opportunities;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between us and PEI Group;</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or recruiting;</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 policy;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and arrangements from which we benefit as a result of our relationship with PEI Group.</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Conflicts of interest could also arise if we enter into any new commercial arrangements with PEI Group in the future. The presence of directors of entities affiliated with PEI on our board of directors could create, or appear to create, conflicts of interest and conflicts in allocating their time with respect to matters involving both us and any one of them, or involving us and PEI, that could have different implications for any of these entities than they do for us. Provisions of our amended and restated certificate of incorporation and amended and restated bylaws address corporate opportunities that are presented to any of our directors who, from time to time, are also directors of PEI and certain of its subsidiaries. We cannot assure you that our amended and restated certificate of incorporation will adequately address potential conflicts of interest or that potential conflicts of interest will be resolved in our favor or that we will be able to take advantage of corporate opportunities presented to any such individual who is a director of both us and PEI. As a result, we may be precluded from pursuing certain advantageous transactions or growth initiatives.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resolve in a manner favorable to us any potential conflicts or disputes that arise between us and PEI Group, PFL or Rank with respect to our past and ongoing relationships may adversely affect our business and prospects.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Potential conflicts or disputes may arise between PEI Group, PFL or Rank and us in a number of areas relating to our past or ongoing relationships, including:</w:t>
      </w:r>
    </w:p>
    <w:p>
      <w:pPr>
        <w:spacing w:after="0" w:line="54" w:lineRule="exact"/>
        <w:rPr>
          <w:sz w:val="20"/>
          <w:szCs w:val="20"/>
          <w:color w:val="auto"/>
        </w:rPr>
      </w:pPr>
    </w:p>
    <w:p>
      <w:pPr>
        <w:ind w:left="440" w:hanging="316"/>
        <w:spacing w:after="0"/>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employee benefit, indemnification and other matters arising from our relationship with PEI Group, PFL or Rank;</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involving us;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pricing of services PEI Group and Rank have agreed to provide us;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opportunities that may be attractive to us and PEI Group;</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or other proprietary rights;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sales and marketing activities with PEI Group.</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resolution of any potential conflicts or disputes between us, PEI Group, PFL or Rank or their subsidiaries over these or other matters may be less favorable to us than the resolution we might achieve if we were dealing with an unaffiliated third party.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agreements we have entered into with PEI Group and Rank are of varying durations and may be amended upon agreement of the parties. So long as it has the ability to nominate a majority of our board of directors, PFL will be able to determine the outcome of all matters requiring stockholder approval and will be able to cause or prevent a change of control of our company or a change in the composition of our board of directors, and could preclude any acquisition of our company. For so long as we are controlled by PFL, we may be unable to negotiate renewals or amendments to these agreements, if required, on terms as favorable to us as those we would be able to negotiate with an unaffiliated third party.</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information security program is managed by a dedicated Chief Information Security Officer (“CISO”), whose team is responsible for leading enterprise-wide cybersecurity strategy, policy, standards, architecture and processes, including assessing and managing our material risks from cybersecurity threats. The CISO is a Certified Information Systems Security Professional (“CISSP”), and has over 20 years of experience holding various roles in information technology and cybersecurity. The Audit Committee of our Board of Directors is charged with oversight of cybersecurity matters, including oversight of risks from cybersecurity threats.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CISO provides quarterly reports to the Audit Committee, as well as more frequent reports to our Chief Executive Officer and other members of our senior management. These reports include updates on our cyber risks and threats, the status of projects to strengthen our information security systems, assessments of our information security program, and the emerging threat landscape. Our cybersecurity program is regularly evaluated by internal and external experts, with the results of those reviews reported to senior management and the Audit Committee. We also actively engage with key vendors, industry participants and intelligence and law enforcement communities as part of our continuing efforts to evaluate and enhance the effectiveness of our information security policies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comprehensive cybersecurity and information security framework that includes risk assessment and mitigation through a threat intelligence-driven approach, application controls and enhanced security with ransomware defense. The framework leverages International Organization for Standardization 27001/27002 standards for general information technology controls, the National Institute of Standards and Technology Cyber Security Framework for measuring overall readiness to respond to cyber threats, and Sarbanes-Oxley Act for assessment in internal controls. Our cybersecurity processes are integrated into our overall risk management system, and include a comprehensive cyber crisis management program that would apply if a cybersecurity related incident were to occur.</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perform simulations, tabletop exercises and response readiness tests on an annual basis. In addition, we engage external consultants to perform penetration testing at least annually. Our cyber crisis management program includes a documented plan that provides guidance to address the overall coordination of our response to a cyber crisis and plan for resources, actions and decisions we may need to be prepared for; a cyber crisis communication plan for timely and accurate dissemination of evolving information to stakeholders during the crisis, including the timeline, approval process and monitoring of messaging; and business continuity plans that document the application of specific strategies and measures to enable core business activities to continue during a cyber event. The ongoing development and maturity of our cyber crisis management program is reported to senior management quarterly. Tabletop testing of the various plans occur annually with quarterly preparedness exercises.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third-party service providers, we perform information security assessments and due diligence reviews prior to entering into a contractual agreement. We also perform periodic due diligence reviews for existing third-party service providers based on the risks identified in the initial review, or if events and circumstances necessitate a review.</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"A cyber-attack or failure of one or more key information technology systems, operational technology systems, networks, processes, associated sites or service providers could have a material adverse impact on our business and reputation" in Item 1A. "Risk Factors" for information regarding material risks from cybersecurity threats that affect 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Lake Forest, Illinois. In addition, as of December 31, 2023, our production and distribution network consisted of 25 manufacturing and warehouse facilities in 12 states and one manufacturing facility in Canada, which are used to produce and store the products sold in all four of our business segments. We own the majority of our physical properties. We believe that all of our properties are in good operating condition and are suitable to adequately meet our current needs.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are a party to various claims, charges and litigation matters arising in the ordinary course of business. Management and legal counsel regularly review the probable outcome of such proceedings. We have established reserves for legal matters that are probable and estimable, and at December 31, 2023, these reserves were not significant. While we cannot feasibly predict the outcome of these matters with certainty, we believe, based on examination of these matters, experience to date and discussions with counsel, that the ultimate liability, individually or in the aggregate, will not have a material adverse effect on our business, financial position, results of operations or cash flows.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Market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Stock Market LLC under the “REYN” symbol and began “regular way” trading on The Nasdaq Stock Market LLC on January 31, 2020. Prior to that date, there was no public trading market for our common stock.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January 31, 2024, there were four holders of record of our common stock. The actual number of our stockholders is greater than this number, and includes beneficial owners whose shares are held in “street name” by banks, brokers and other nominees.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our practice of paying quarterly cash dividends on our common stock will continue, although the payment of future dividends is at the discretion of our Board of Directors and will depend upon our earnings, capital requirements, financial condition, contractual restrictions (including under our External Debt Facilities) and other factors.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The information required by this Item concerning our equity compensation plan is incorporated herein by reference to Part III, Item 12 of this report.</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graph compares our cumulative total stockholder return from January 31, 2020 to December 31, 2023 to that of the S&amp;P 500 Index, the Russell MidCap Index and a peer group. The graph assumes that the value for the investment in our common stock, each index and the peer group was $100 on January 31, 2020, and that all dividends were reinvested. The complete list of our peer group comprises: Church &amp; Dwight Co., Inc., The Clorox Company, Colgate-Palmolive Company, Energizer Holdings, Inc., Kimberly-Clark Corporation, Newell Brands Inc., The Procter &amp; Gamble Company, The Scotts Miracle-Gro Company, Spectrum Brands Holdings, Inc. and WD-40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returns over the indicated period should not be considered indicative of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154305</wp:posOffset>
            </wp:positionV>
            <wp:extent cx="6172200" cy="511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72200" cy="511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management’s discussion and analysis is intended to help the reader understand our results of operations and financial condition and is provided as an addition to, and should be read in connection with, our consolidated financial statements and the accompanying notes included elsewhere in this Annual Report on Form 10-K.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Company and its Business Segments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market-leading consumer products company with a presence in 95% of households across the United States. We produce and sell products across three broad categories: cooking products, waste and storage products and tableware. We sell our products under iconic brands such as Reynolds and Hefty and also under store brands that are strategically important to our retail partners. Overall, across both our branded and store brand offerings, we hold the #1 or #2 U.S. market share position in the majority of product categories in which we participate. Over 65% of our revenue comes from products that are #1 in their respective categories. We have developed our market-leading position by investing in our product categories and consistently developing innovative products that meet the evolving needs and preferences of the modern consumer.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mix of branded and store brand products is a key competitive advantage that aligns our goal of growing the overall product categories where we have offerings. Our retail partners also measure their success in category growth, which positions us as a trusted strategic partner. Our Reynolds and Hefty brands have preeminent positions in their categories and carry strong brand recognition in household aisles.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operations in four operating and reportable segments: Reynolds Cooking &amp; Baking, Hefty Waste &amp; Storage, Hefty Tableware and Presto Products:</w:t>
      </w:r>
    </w:p>
    <w:p>
      <w:pPr>
        <w:spacing w:after="0" w:line="54" w:lineRule="exact"/>
        <w:rPr>
          <w:sz w:val="20"/>
          <w:szCs w:val="20"/>
          <w:color w:val="auto"/>
        </w:rPr>
      </w:pPr>
    </w:p>
    <w:p>
      <w:pPr>
        <w:jc w:val="both"/>
        <w:ind w:left="440" w:hanging="316"/>
        <w:spacing w:after="0" w:line="254" w:lineRule="auto"/>
        <w:tabs>
          <w:tab w:leader="none" w:pos="4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Reynolds Cooking &amp; Baking: Through our Reynolds Cooking &amp; Baking segment, we sell both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 With our flagship Reynolds Wrap products, we hold the #1 market position in the U.S. consumer foil market measured by retail sales and volume. We also hold the #1 market position in the Canadian branded foil market under the ALCAN brand. We have no significant branded competitor in this market. Reynolds is one of the most recognized household brands in the United States and has been the top trusted brand in the consumer foil market for over 75 years, with greater than 50% market share in most of its categories.</w:t>
      </w:r>
    </w:p>
    <w:p>
      <w:pPr>
        <w:spacing w:after="0" w:line="83" w:lineRule="exact"/>
        <w:rPr>
          <w:rFonts w:ascii="Times New Roman" w:cs="Times New Roman" w:eastAsia="Times New Roman" w:hAnsi="Times New Roman"/>
          <w:sz w:val="18"/>
          <w:szCs w:val="18"/>
          <w:color w:val="auto"/>
        </w:rPr>
      </w:pPr>
    </w:p>
    <w:p>
      <w:pPr>
        <w:jc w:val="both"/>
        <w:ind w:left="440" w:hanging="316"/>
        <w:spacing w:after="0" w:line="255" w:lineRule="auto"/>
        <w:tabs>
          <w:tab w:leader="none" w:pos="4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Waste &amp; Storage: Through our Hefty Waste &amp; Storage segment, we produce both branded and store brand trash and food storage bags. Hefty is a well-recognized leader in the trash bag and food storage bag categories and our private label products offer value to our retail partners. Our branded products are sold under the Hefty Ultra Strong and Hefty Strong brands for trash bags, and as the Hefty and Baggies brands for our food storage bags. Hefty has 99% brand awareness and is most commonly identified with the Brand's famous “Hefty! Hefty! Hefty!” slogan. We have the #1 branded market share in the U.S. large black trash bag and slider bag segments, and the #2 branded market share in the tall kitchen trash bag segment. Our robust product portfolio in this segment includes a full suite of products, including sustainable solutions such as compostable bags, bags made from recycled materials and orange bags through the Hefty ReNew Program.</w:t>
      </w:r>
    </w:p>
    <w:p>
      <w:pPr>
        <w:spacing w:after="0" w:line="80" w:lineRule="exact"/>
        <w:rPr>
          <w:rFonts w:ascii="Times New Roman" w:cs="Times New Roman" w:eastAsia="Times New Roman" w:hAnsi="Times New Roman"/>
          <w:sz w:val="18"/>
          <w:szCs w:val="18"/>
          <w:color w:val="auto"/>
        </w:rPr>
      </w:pPr>
    </w:p>
    <w:p>
      <w:pPr>
        <w:jc w:val="both"/>
        <w:ind w:left="440" w:hanging="316"/>
        <w:spacing w:after="0" w:line="255" w:lineRule="auto"/>
        <w:tabs>
          <w:tab w:leader="none" w:pos="4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Tableware: Through our Hefty Tableware segment, we sell both branded and store brand disposable and compostable plates, bowls, platters, cups and cutlery. Our Hefty branded products include dishes and party cups. Hefty branded party cups are the #1 party cup in America measured by market share. Our branded products use our Hefty brand to represent both quality and great value, and we bring this same quality and value promise to all of our store brands as well. We sell across a broad range of materials and price points in all retail channels, allowing our consumers to select the product that best suits their price, function and aesthetic needs. These materials include sustainable solutions, such as Hefty ECOSAVE and Hefty Compostable Printed Paper Plates. In 2023, we also tapped into the nostalgia trend and brought back Zoo Pals plates, garnering 3.7 billion media impressions.</w:t>
      </w:r>
    </w:p>
    <w:p>
      <w:pPr>
        <w:spacing w:after="0" w:line="80" w:lineRule="exact"/>
        <w:rPr>
          <w:rFonts w:ascii="Times New Roman" w:cs="Times New Roman" w:eastAsia="Times New Roman" w:hAnsi="Times New Roman"/>
          <w:sz w:val="18"/>
          <w:szCs w:val="18"/>
          <w:color w:val="auto"/>
        </w:rPr>
      </w:pPr>
    </w:p>
    <w:p>
      <w:pPr>
        <w:jc w:val="both"/>
        <w:ind w:left="440" w:hanging="316"/>
        <w:spacing w:after="0" w:line="256" w:lineRule="auto"/>
        <w:tabs>
          <w:tab w:leader="none" w:pos="4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Products: Through our Presto Products segment, we primarily sell store brand products in four main categories: food storage bags, trash bags, reusable storage containers and plastic wrap. Presto Products is a market leader in food storage bags and differentiates itself by providing access to category management, consumer insights, marketing, merchandising and R&amp;D resources. Presto Products was the first in the U.S. market to offer a store branded sandwich bag made with an approximately 20% proprietary blend of plant and ocean, renewable materials. Our Presto Products segment also includes our specialty business, which serves other consumer products companies by providing Fresh-Lock and Slide-Rite resealable closure systems.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but also pose risks and challenges, including those discussed below and in the section of this Annual Report on Form 10-K titled “Risk Factors.”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Demand for our Products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largely impacted by the demands of our customers, and our success depends on our ability to anticipate and respond to changes in consumer preferences. Our products are household staples with a presence in 95% of households across the United States.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expect that consumers’ desire for convenience will continue to sustain demand for our products. Today’s consumers are focused on convenience, which extends into household products that improve ease of use and provide time savings, and they are willing to pay a higher price for innovative features and functionality. While advanced features are already prevalent in many of our products, we intend to continue investing in product development to accommodate the convenience-oriented lifestyles of today’s consumers. Consumer demand is also impacted by changes in consumer lifestyle, environmental concerns and other considerations. In addition, customers’ sensitivity to price points contributes to fluctuations in demand in portions of our business.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Branded products and store brand products accounted for 62% and 38% of our revenue, excluding business-to-business revenue, respectively, in the year ended December 31, 2023. We intend to continue investing in both our branded and store brand products to grow the entire product category. Our scale across household aisles and ability to offer both branded and store brand products enable us to grow the overall category. Through our category captain level advisor roles with our retail partners, we offer marketing and consumer shopping strategies, both in store and online, which expand usage occasions and stimulate consumption.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for Raw Materials, Energy, Labor and Freight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impacted by fluctuations in the prices of the raw materials, energy and freight costs incurred in manufacturing and distributing our products as well as fluctuations in labor costs. The primary raw materials used to manufacture our products are plastic resins and aluminum, and we also use commodity chemicals and energy. We are exposed to commodity and other price risk principally from the purchase of resin, aluminum, natural gas, electricity, carton board and diesel. We distribute our products and receive raw materials primarily by rail and truck, which exposes us to fluctuations in labor, freight and handling costs caused by reduced rail and trucking capacity. Sales contracts for our products typically do not contain pass-through mechanisms for raw material, energy, labor and freight cost changes, but we adjust prices, where possible, in response to such price fluctuations.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Resin prices have historically fluctuated with supply and demand, changes in the prices of crude oil and natural gas, changes in refining capacity and the demand for other petroleum-based products. Aluminum prices have also historically fluctuated, as aluminum is a cyclical commodity with prices subject to global market factors. Raw material costs have also been impacted by governmental actions, such as tariffs and trade sanctions.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Purchases of most of our raw materials are based on negotiated rates with suppliers, which are linked to published indices. Typically, we do not enter into long-term purchase contracts that provide for fixed quantities or prices for our principal raw materials.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various strategies to manage our cost exposures on certain raw material purchases, including managing these costs through supplier negotiations and entering into contracts of varying durations, and we use naturally established forecast cycles to influence the timing of purchases of raw materials.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since we distribute our products and receive raw materials primarily by rail and truck, reduced availability of rail or trucking capacity and fluctuations in labor, freight and handling costs have caused us to incur increased expenses in certain periods. Where possible, we also adjust the prices of our products in response to fluctuations in production and distribution costs.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operating results are also impacted by energy-related cost movements, including those impacting both our manufacturing operations and transportation and utility costs.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Environment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in a marketplace influenced by large retailers with strong negotiating power over their suppliers. Current trends among these large retailers include increased demand for innovative new products from suppliers, requiring suppliers to maintain or reduce product prices and to deliver products within shorter lead times. We also face the threat of competition from new entrants to our markets as well as from existing competitors, including those overseas who may have lower production costs. In addition, the timing and amount in which our competitors invest in advertising and promotional spending may vary from quarter to quarter and impact our sales volumes and financial results. See “Business - Competition” for more detail on our competitors.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Portions of our business historically have been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Reynolds Parchment Paper and disposable aluminum pans. Our tableware products generally have higher sales in the second quarter of the year, primarily due to outdoor summertime use of disposable plates, cups and bowls.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Sustainability</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Interest in environmental sustainability has increased over the past decade, and it has played, and we expect it will continue to play, an increasing role in consumer purchasing decisions. For instance, there have been recent concerns about the environmental impact of single-use disposable products and products made from plastic, particularly polystyrene foam, affecting our products, especially our Hefty Tableware segment. While there is a focus on environmentally friendly products, survey results indicate that in most of our product categories, consumers continue to rank performance-related purchase criteria, such as durability and ease of use, followed by price, as top considerations, rather than sustainability. As our consumers may shift towards purchasing more sustainable products, we have focused much of our innovation efforts around sustainability. We offer a broad line of products made with recycled, renewable, recyclable and compostable materials. We intend to continue sustainability innovation in our efforts to be at the leading edge of recyclability, renewability and compostability in order to offer our customers environmentally sustainable choices. During the year ended December 31, 2023, we acquired privately held Atacama Manufacturing Inc., which is an innovation driven company that designs, formulates, manufactures and commercializes products that include recycled or renewable, plant-based materials.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this Annual Report on Form 10-K we use the non-GAAP financial measures “Adjusted EBITDA”, “Adjusted Net Income” and “Adjusted Diluted Earnings Per Share” (“Adjusted EPS”), which are measures adjusted for the impact of specified items and are not in accordance with GAAP.</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calculated in accordance with GAAP, plus the sum of income tax expense, net interest expense, depreciation and amortization and further adjusted to exclude IPO and separation-related costs, as well as other non-recurring costs. We define Adjusted Net Income and Adjusted EPS as Net Income and Earnings Per Share (“EPS”) calculated in accordance with GAAP, plus IPO and separation-related costs and other non-recurring costs.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present Adjusted EBITDA because it is a key measure used by our management team to evaluate our operating performance, generate future operating plans and make strategic decisions. In addition, our chief operating decision maker uses Adjusted EBITDA of each reportable segment to evaluate the operating performance of such segments. We use Adjusted Net Income and Adjusted EPS as supplemental measures to evaluate our business’ performance in a way that also considers our ability to generate profit without the impact of certain items. Accordingly, we believe presenting these measures provides useful information to investors and others in understanding and evaluating our operating results in the same manner as our management team and board of directors.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our net income, the most directly comparable GAAP financial measure, to Adjusted EBITDA: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0" w:type="dxa"/>
            <w:vAlign w:val="bottom"/>
            <w:gridSpan w:val="6"/>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6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GAAP</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6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IPO and separation-related costs </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92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hanging="652"/>
        <w:spacing w:after="0" w:line="282"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during the years ended December 31, 2022 and 2021 related to our separation to operate as a stand-alone public company as well as costs related to the IPO process. No such costs were incurred during the year ended December 31, 2023.</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our net income and diluted EPS, the most directly comparable GAAP financial measures, to Adjusted Net Income and Adjusted EPS: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40" w:type="dxa"/>
            <w:vAlign w:val="bottom"/>
          </w:tcPr>
          <w:p>
            <w:pPr>
              <w:spacing w:after="0"/>
              <w:rPr>
                <w:sz w:val="16"/>
                <w:szCs w:val="16"/>
                <w:color w:val="auto"/>
              </w:rPr>
            </w:pPr>
          </w:p>
        </w:tc>
        <w:tc>
          <w:tcPr>
            <w:tcW w:w="252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40" w:type="dxa"/>
            <w:vAlign w:val="bottom"/>
          </w:tcPr>
          <w:p>
            <w:pPr>
              <w:spacing w:after="0"/>
              <w:rPr>
                <w:sz w:val="16"/>
                <w:szCs w:val="16"/>
                <w:color w:val="auto"/>
              </w:rPr>
            </w:pPr>
          </w:p>
        </w:tc>
        <w:tc>
          <w:tcPr>
            <w:tcW w:w="2420" w:type="dxa"/>
            <w:vAlign w:val="bottom"/>
            <w:gridSpan w:val="6"/>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per share data)</w:t>
            </w:r>
          </w:p>
        </w:tc>
        <w:tc>
          <w:tcPr>
            <w:tcW w:w="92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900" w:type="dxa"/>
            <w:vAlign w:val="bottom"/>
            <w:tcBorders>
              <w:top w:val="single" w:sz="8" w:color="auto"/>
            </w:tcBorders>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w w:val="99"/>
              </w:rPr>
              <w:t>Diluted</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56"/>
              <w:spacing w:after="0" w:line="129" w:lineRule="exact"/>
              <w:rPr>
                <w:sz w:val="20"/>
                <w:szCs w:val="20"/>
                <w:color w:val="auto"/>
              </w:rPr>
            </w:pPr>
            <w:r>
              <w:rPr>
                <w:rFonts w:ascii="Times New Roman" w:cs="Times New Roman" w:eastAsia="Times New Roman" w:hAnsi="Times New Roman"/>
                <w:sz w:val="14"/>
                <w:szCs w:val="14"/>
                <w:b w:val="1"/>
                <w:bCs w:val="1"/>
                <w:color w:val="auto"/>
                <w:w w:val="99"/>
              </w:rPr>
              <w:t>Diluted</w:t>
            </w:r>
          </w:p>
        </w:tc>
        <w:tc>
          <w:tcPr>
            <w:tcW w:w="120" w:type="dxa"/>
            <w:vAlign w:val="bottom"/>
          </w:tcPr>
          <w:p>
            <w:pPr>
              <w:spacing w:after="0"/>
              <w:rPr>
                <w:sz w:val="11"/>
                <w:szCs w:val="11"/>
                <w:color w:val="auto"/>
              </w:rPr>
            </w:pPr>
          </w:p>
        </w:tc>
        <w:tc>
          <w:tcPr>
            <w:tcW w:w="92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920" w:type="dxa"/>
            <w:vAlign w:val="bottom"/>
            <w:tcBorders>
              <w:top w:val="single" w:sz="8" w:color="auto"/>
            </w:tcBorders>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Diluted</w:t>
            </w: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56"/>
              <w:spacing w:after="0" w:line="129" w:lineRule="exact"/>
              <w:rPr>
                <w:sz w:val="20"/>
                <w:szCs w:val="20"/>
                <w:color w:val="auto"/>
              </w:rPr>
            </w:pPr>
            <w:r>
              <w:rPr>
                <w:rFonts w:ascii="Times New Roman" w:cs="Times New Roman" w:eastAsia="Times New Roman" w:hAnsi="Times New Roman"/>
                <w:sz w:val="14"/>
                <w:szCs w:val="14"/>
                <w:b w:val="1"/>
                <w:bCs w:val="1"/>
                <w:color w:val="auto"/>
              </w:rPr>
              <w:t>Diluted</w:t>
            </w:r>
          </w:p>
        </w:tc>
        <w:tc>
          <w:tcPr>
            <w:tcW w:w="140" w:type="dxa"/>
            <w:vAlign w:val="bottom"/>
          </w:tcPr>
          <w:p>
            <w:pPr>
              <w:spacing w:after="0"/>
              <w:rPr>
                <w:sz w:val="11"/>
                <w:szCs w:val="11"/>
                <w:color w:val="auto"/>
              </w:rPr>
            </w:pPr>
          </w:p>
        </w:tc>
        <w:tc>
          <w:tcPr>
            <w:tcW w:w="9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920" w:type="dxa"/>
            <w:vAlign w:val="bottom"/>
            <w:tcBorders>
              <w:top w:val="single" w:sz="8" w:color="auto"/>
            </w:tcBorders>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Diluted</w:t>
            </w:r>
          </w:p>
        </w:tc>
        <w:tc>
          <w:tcPr>
            <w:tcW w:w="8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0" w:type="dxa"/>
            <w:vAlign w:val="bottom"/>
          </w:tcPr>
          <w:p>
            <w:pPr>
              <w:spacing w:after="0"/>
              <w:rPr>
                <w:sz w:val="1"/>
                <w:szCs w:val="1"/>
                <w:color w:val="auto"/>
              </w:rPr>
            </w:pPr>
          </w:p>
        </w:tc>
      </w:tr>
      <w:tr>
        <w:trPr>
          <w:trHeight w:val="196"/>
        </w:trPr>
        <w:tc>
          <w:tcPr>
            <w:tcW w:w="3080" w:type="dxa"/>
            <w:vAlign w:val="bottom"/>
            <w:vMerge w:val="continue"/>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7"/>
                <w:szCs w:val="17"/>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EPS</w:t>
            </w:r>
          </w:p>
        </w:tc>
        <w:tc>
          <w:tcPr>
            <w:tcW w:w="920" w:type="dxa"/>
            <w:vAlign w:val="bottom"/>
            <w:gridSpan w:val="3"/>
            <w:vMerge w:val="continue"/>
          </w:tcPr>
          <w:p>
            <w:pPr>
              <w:spacing w:after="0"/>
              <w:rPr>
                <w:sz w:val="17"/>
                <w:szCs w:val="17"/>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EPS</w:t>
            </w:r>
          </w:p>
        </w:tc>
        <w:tc>
          <w:tcPr>
            <w:tcW w:w="940" w:type="dxa"/>
            <w:vAlign w:val="bottom"/>
            <w:gridSpan w:val="3"/>
            <w:vMerge w:val="continue"/>
          </w:tcPr>
          <w:p>
            <w:pPr>
              <w:spacing w:after="0"/>
              <w:rPr>
                <w:sz w:val="17"/>
                <w:szCs w:val="17"/>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 Reported - GAAP</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4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14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14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IPO and separation-related costs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(Non-GAAP)</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660" w:hanging="652"/>
        <w:spacing w:after="0" w:line="282"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after tax, calculated using a tax rate of 23.6% for the year ended December 31, 2022 and 24.6% for the year ended December 31, 2021, which is our effective tax rate for the periods presented.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included elsewhere in this Annual Report on Form 10-K.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Detailed comparisons of revenue and results are presented in the discussions of the operating segments, which follow our consolidated results discussion.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discussions in this section provide a breakdown of net revenues between our retail business and our non-retail business. Our retail business net revenues consist of sales to grocery stores, mass merchants, warehouse clubs, discount chains, dollar stores, drug stores, home improvement stores, military outlets and eCommerce retailers. Our non-retail business net revenues consist of sales to food service customers, which are classified as related party revenues, and industrial customers.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Discussions of the year ended December 31, 2022 items and comparisons between the year ended December 31, 2022 and the year ended December 31, 2021 can be found in “Management’s Discussion and Analysis of Financial Condition and Results of Operations” in our Annual Report on Form 10-K filed on February 8, 2023.</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Aggregation of Segment Revenue and Adjusted EBITDA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40" w:type="dxa"/>
            <w:vAlign w:val="bottom"/>
          </w:tcPr>
          <w:p>
            <w:pPr>
              <w:spacing w:after="0"/>
              <w:rPr>
                <w:sz w:val="13"/>
                <w:szCs w:val="13"/>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99"/>
              <w:spacing w:after="0" w:line="146" w:lineRule="exact"/>
              <w:rPr>
                <w:sz w:val="20"/>
                <w:szCs w:val="20"/>
                <w:color w:val="auto"/>
              </w:rPr>
            </w:pPr>
            <w:r>
              <w:rPr>
                <w:rFonts w:ascii="Times New Roman" w:cs="Times New Roman" w:eastAsia="Times New Roman" w:hAnsi="Times New Roman"/>
                <w:sz w:val="14"/>
                <w:szCs w:val="14"/>
                <w:b w:val="1"/>
                <w:bCs w:val="1"/>
                <w:color w:val="auto"/>
              </w:rPr>
              <w:t>Reynolds</w:t>
            </w:r>
          </w:p>
        </w:tc>
        <w:tc>
          <w:tcPr>
            <w:tcW w:w="0" w:type="dxa"/>
            <w:vAlign w:val="bottom"/>
          </w:tcPr>
          <w:p>
            <w:pPr>
              <w:spacing w:after="0"/>
              <w:rPr>
                <w:sz w:val="1"/>
                <w:szCs w:val="1"/>
                <w:color w:val="auto"/>
              </w:rPr>
            </w:pPr>
          </w:p>
        </w:tc>
      </w:tr>
      <w:tr>
        <w:trPr>
          <w:trHeight w:val="148"/>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Cooking &amp;</w:t>
            </w:r>
          </w:p>
        </w:tc>
        <w:tc>
          <w:tcPr>
            <w:tcW w:w="14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Unallocated</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²</w:t>
            </w:r>
            <w:r>
              <w:rPr>
                <w:rFonts w:ascii="MS PGothic" w:cs="MS PGothic" w:eastAsia="MS PGothic" w:hAnsi="MS PGothic"/>
                <w:sz w:val="14"/>
                <w:szCs w:val="14"/>
                <w:color w:val="auto"/>
              </w:rPr>
              <w:t>⁾</w:t>
            </w:r>
          </w:p>
        </w:tc>
        <w:tc>
          <w:tcPr>
            <w:tcW w:w="140" w:type="dxa"/>
            <w:vAlign w:val="bottom"/>
          </w:tcPr>
          <w:p>
            <w:pPr>
              <w:spacing w:after="0"/>
              <w:rPr>
                <w:sz w:val="12"/>
                <w:szCs w:val="12"/>
                <w:color w:val="auto"/>
              </w:rPr>
            </w:pPr>
          </w:p>
        </w:tc>
        <w:tc>
          <w:tcPr>
            <w:tcW w:w="92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0" w:type="dxa"/>
            <w:vAlign w:val="bottom"/>
          </w:tcPr>
          <w:p>
            <w:pPr>
              <w:spacing w:after="0"/>
              <w:rPr>
                <w:sz w:val="1"/>
                <w:szCs w:val="1"/>
                <w:color w:val="auto"/>
              </w:rPr>
            </w:pPr>
          </w:p>
        </w:tc>
      </w:tr>
      <w:tr>
        <w:trPr>
          <w:trHeight w:val="202"/>
        </w:trPr>
        <w:tc>
          <w:tcPr>
            <w:tcW w:w="4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Baking</w:t>
            </w:r>
          </w:p>
        </w:tc>
        <w:tc>
          <w:tcPr>
            <w:tcW w:w="14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Tableware</w:t>
            </w:r>
          </w:p>
        </w:tc>
        <w:tc>
          <w:tcPr>
            <w:tcW w:w="14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jc w:val="right"/>
              <w:ind w:right="3773"/>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jc w:val="right"/>
              <w:ind w:right="3773"/>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jc w:val="right"/>
              <w:ind w:right="3773"/>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34"/>
        </w:trPr>
        <w:tc>
          <w:tcPr>
            <w:tcW w:w="4460" w:type="dxa"/>
            <w:vAlign w:val="bottom"/>
          </w:tcPr>
          <w:p>
            <w:pPr>
              <w:jc w:val="right"/>
              <w:ind w:right="3773"/>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6179185</wp:posOffset>
            </wp:positionH>
            <wp:positionV relativeFrom="paragraph">
              <wp:posOffset>-1004570</wp:posOffset>
            </wp:positionV>
            <wp:extent cx="94615" cy="749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4615" cy="74930"/>
                    </a:xfrm>
                    <a:prstGeom prst="rect">
                      <a:avLst/>
                    </a:prstGeom>
                    <a:noFill/>
                  </pic:spPr>
                </pic:pic>
              </a:graphicData>
            </a:graphic>
          </wp:anchor>
        </w:drawing>
      </w:r>
    </w:p>
    <w:p>
      <w:pPr>
        <w:spacing w:after="0" w:line="159" w:lineRule="exact"/>
        <w:rPr>
          <w:sz w:val="20"/>
          <w:szCs w:val="20"/>
          <w:color w:val="auto"/>
        </w:rPr>
      </w:pPr>
    </w:p>
    <w:p>
      <w:pPr>
        <w:ind w:left="640" w:hanging="632"/>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9" w:lineRule="exact"/>
        <w:rPr>
          <w:rFonts w:ascii="Times New Roman" w:cs="Times New Roman" w:eastAsia="Times New Roman" w:hAnsi="Times New Roman"/>
          <w:sz w:val="18"/>
          <w:szCs w:val="18"/>
          <w:color w:val="auto"/>
        </w:rPr>
      </w:pPr>
    </w:p>
    <w:p>
      <w:pPr>
        <w:ind w:left="660" w:hanging="652"/>
        <w:spacing w:after="0" w:line="260"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net revenues include elimination of intersegment revenues and other revenue adjustments. The unallocated Adjusted EBITDA represents the combination of corporate expenses which are not allocated to our segments and other unallocated revenue adjustments.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with the Year Ended December 31, 2022</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Reynolds Consumer Products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40" w:type="dxa"/>
            <w:vAlign w:val="bottom"/>
          </w:tcPr>
          <w:p>
            <w:pPr>
              <w:spacing w:after="0"/>
              <w:rPr>
                <w:sz w:val="11"/>
                <w:szCs w:val="11"/>
                <w:color w:val="auto"/>
              </w:rPr>
            </w:pPr>
          </w:p>
        </w:tc>
        <w:tc>
          <w:tcPr>
            <w:tcW w:w="76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1"/>
                <w:szCs w:val="11"/>
                <w:color w:val="auto"/>
              </w:rPr>
            </w:pPr>
          </w:p>
        </w:tc>
        <w:tc>
          <w:tcPr>
            <w:tcW w:w="1000" w:type="dxa"/>
            <w:vAlign w:val="bottom"/>
          </w:tcPr>
          <w:p>
            <w:pPr>
              <w:jc w:val="right"/>
              <w:ind w:right="252"/>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1"/>
                <w:szCs w:val="11"/>
                <w:color w:val="auto"/>
              </w:rPr>
            </w:pPr>
          </w:p>
        </w:tc>
        <w:tc>
          <w:tcPr>
            <w:tcW w:w="1020" w:type="dxa"/>
            <w:vAlign w:val="bottom"/>
          </w:tcPr>
          <w:p>
            <w:pPr>
              <w:jc w:val="right"/>
              <w:ind w:right="272"/>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gridSpan w:val="2"/>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3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1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3,756</w:t>
            </w:r>
          </w:p>
        </w:tc>
        <w:tc>
          <w:tcPr>
            <w:tcW w:w="1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3,817</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4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(75) %</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40" w:type="dxa"/>
            <w:vAlign w:val="bottom"/>
          </w:tcPr>
          <w:p>
            <w:pPr>
              <w:spacing w:after="0"/>
              <w:rPr>
                <w:sz w:val="19"/>
                <w:szCs w:val="19"/>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(80) %</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Pr>
          <w:p>
            <w:pPr>
              <w:spacing w:after="0"/>
              <w:rPr>
                <w:sz w:val="19"/>
                <w:szCs w:val="19"/>
                <w:color w:val="auto"/>
              </w:rPr>
            </w:pP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w:t>
            </w:r>
          </w:p>
        </w:tc>
        <w:tc>
          <w:tcPr>
            <w:tcW w:w="1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30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4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 %</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tcPr>
          <w:p>
            <w:pPr>
              <w:spacing w:after="0"/>
              <w:rPr>
                <w:sz w:val="19"/>
                <w:szCs w:val="19"/>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9"/>
                <w:szCs w:val="19"/>
                <w:color w:val="auto"/>
              </w:rPr>
            </w:pP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512</w:t>
            </w:r>
          </w:p>
        </w:tc>
        <w:tc>
          <w:tcPr>
            <w:tcW w:w="1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w:t>
            </w:r>
          </w:p>
        </w:tc>
        <w:tc>
          <w:tcPr>
            <w:tcW w:w="1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1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1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1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23"/>
                <w:szCs w:val="23"/>
                <w:b w:val="1"/>
                <w:bCs w:val="1"/>
                <w:color w:val="auto"/>
                <w:vertAlign w:val="superscript"/>
              </w:rPr>
              <w:t>(1)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40" w:hanging="632"/>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Change in Net Revenues for the Year Ended December 31, 2023 vs. the Year Ended December 31, 2022</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Reynolds Cooking &amp; Baking</w:t>
            </w:r>
          </w:p>
        </w:tc>
        <w:tc>
          <w:tcPr>
            <w:tcW w:w="9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Hefty Waste &amp; Storage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Hefty Tableware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 %</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Presto Products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 %</w:t>
            </w:r>
          </w:p>
        </w:tc>
      </w:tr>
    </w:tbl>
    <w:p>
      <w:pPr>
        <w:spacing w:after="0" w:line="2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Total Net Revenues</w:t>
      </w:r>
      <w:r>
        <w:rPr>
          <w:rFonts w:ascii="Times New Roman" w:cs="Times New Roman" w:eastAsia="Times New Roman" w:hAnsi="Times New Roman"/>
          <w:sz w:val="18"/>
          <w:szCs w:val="18"/>
          <w:color w:val="auto"/>
        </w:rPr>
        <w:t>. Total net revenues decreased by $61 million, or 2%, to $3,756 million. The 2% decrease was driven by a 2% volume decline and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pricing in our non-retail business, as well as a 2% volume decline in our retail business, partially offset by 3% higher pricing in our retail business. This resulted in a net revenue decline of $71 million in our non-retail business, which is in our Reynolds Cooking &amp; Baking segment, partially offset by a $10 million increase in net revenue in our retail business across all segments.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decreased by $227 million, or 7%, to $2,814 million. The decrease was primarily driven by lower volume and lower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manufacturing costs, as well as lower logistics costs.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("SG&amp;A") increased by $90 million, or 26%, to $430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higher personnel costs, increased investment in advertising and higher professional fees.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decreased by $22 million, or 100%, to $0 million. The decrease was primarily attributable to IPO and separation-related costs in the prior year period that did not reoccur in the current year period.</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w:t>
      </w:r>
      <w:r>
        <w:rPr>
          <w:rFonts w:ascii="Times New Roman" w:cs="Times New Roman" w:eastAsia="Times New Roman" w:hAnsi="Times New Roman"/>
          <w:sz w:val="18"/>
          <w:szCs w:val="18"/>
          <w:color w:val="auto"/>
        </w:rPr>
        <w:t>. Interest expense, net increased by $43 million, or 57%, to $119 million. The increase was primarily due to higher interest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offset by the lower principal balance on our term loan facility.</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recognized income tax expense of $95 million on income before income taxes of $393 million (an effective tax rate of 24.1%)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2023 compared to income tax expense of $80 million on income before income taxes of $338 million (an effective tax rate of 23.6%) for the year ended December 31, 2022.</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increased by $90 million, or 16%, to $636 million. The increase in Adjusted EBITDA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implemented pricing actions and lower material and manufacturing costs, as well as lower logistics costs, partially offset by higher SG&amp;A.</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tcBorders>
              <w:bottom w:val="single" w:sz="8" w:color="CCEEFF"/>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net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654"/>
              <w:spacing w:after="0"/>
              <w:rPr>
                <w:sz w:val="20"/>
                <w:szCs w:val="20"/>
                <w:color w:val="auto"/>
              </w:rPr>
            </w:pPr>
            <w:r>
              <w:rPr>
                <w:rFonts w:ascii="Times New Roman" w:cs="Times New Roman" w:eastAsia="Times New Roman" w:hAnsi="Times New Roman"/>
                <w:sz w:val="18"/>
                <w:szCs w:val="18"/>
                <w:color w:val="auto"/>
                <w:w w:val="99"/>
              </w:rPr>
              <w:t>57</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Non-retail net revenues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center"/>
              <w:ind w:left="654"/>
              <w:spacing w:after="0"/>
              <w:rPr>
                <w:sz w:val="20"/>
                <w:szCs w:val="20"/>
                <w:color w:val="auto"/>
              </w:rPr>
            </w:pPr>
            <w:r>
              <w:rPr>
                <w:rFonts w:ascii="Times New Roman" w:cs="Times New Roman" w:eastAsia="Times New Roman" w:hAnsi="Times New Roman"/>
                <w:sz w:val="18"/>
                <w:szCs w:val="18"/>
                <w:color w:val="auto"/>
                <w:w w:val="99"/>
              </w:rPr>
              <w:t>(71)</w:t>
            </w:r>
          </w:p>
        </w:tc>
        <w:tc>
          <w:tcPr>
            <w:tcW w:w="220" w:type="dxa"/>
            <w:vAlign w:val="bottom"/>
          </w:tcPr>
          <w:p>
            <w:pPr>
              <w:spacing w:after="0"/>
              <w:rPr>
                <w:sz w:val="19"/>
                <w:szCs w:val="19"/>
                <w:color w:val="auto"/>
              </w:rPr>
            </w:pP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48"/>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1,273</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1,287</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center"/>
              <w:ind w:left="654"/>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03"/>
        </w:trPr>
        <w:tc>
          <w:tcPr>
            <w:tcW w:w="4780" w:type="dxa"/>
            <w:vAlign w:val="bottom"/>
            <w:vMerge w:val="continue"/>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184</w:t>
            </w:r>
          </w:p>
        </w:tc>
        <w:tc>
          <w:tcPr>
            <w:tcW w:w="260" w:type="dxa"/>
            <w:vAlign w:val="bottom"/>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142</w:t>
            </w:r>
          </w:p>
        </w:tc>
        <w:tc>
          <w:tcPr>
            <w:tcW w:w="260" w:type="dxa"/>
            <w:vAlign w:val="bottom"/>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center"/>
              <w:ind w:left="654"/>
              <w:spacing w:after="0" w:line="203" w:lineRule="exact"/>
              <w:rPr>
                <w:sz w:val="20"/>
                <w:szCs w:val="20"/>
                <w:color w:val="auto"/>
              </w:rPr>
            </w:pPr>
            <w:r>
              <w:rPr>
                <w:rFonts w:ascii="Times New Roman" w:cs="Times New Roman" w:eastAsia="Times New Roman" w:hAnsi="Times New Roman"/>
                <w:sz w:val="18"/>
                <w:szCs w:val="18"/>
                <w:color w:val="auto"/>
                <w:w w:val="99"/>
              </w:rPr>
              <w:t>42</w:t>
            </w:r>
          </w:p>
        </w:tc>
        <w:tc>
          <w:tcPr>
            <w:tcW w:w="2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w:t>
            </w:r>
          </w:p>
        </w:tc>
        <w:tc>
          <w:tcPr>
            <w:tcW w:w="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11 %</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Reynolds Cooking &amp; Baking total segment net revenues decreased by $14 million, or 1%, to $1,273 million. The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revenues was due to a $71 million decline in our non-retail business, partially offset by a $57 million increase in our retail business.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Reynolds Cooking &amp; Baking Adjusted EBITDA increased by $42 million, or 30%, to $184 million. The increase in Adjusted EBITDA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the optimization of our retail product portfolio mix, lower material and manufacturing costs and lower logistics costs, partially offset by an increased investment in advertising.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80" w:type="dxa"/>
            <w:vAlign w:val="bottom"/>
            <w:tcBorders>
              <w:bottom w:val="single" w:sz="8" w:color="CCEEFF"/>
            </w:tcBorders>
            <w:vMerge w:val="continue"/>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9"/>
                <w:szCs w:val="19"/>
                <w:color w:val="auto"/>
              </w:rPr>
            </w:pP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Hefty Waste &amp; Storage total segment net revenues decreased by $4 million, to $942 million. The decrease in net revenues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lower volume, mostly offset by higher pricing due to previously implemented pricing actions.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Waste &amp; Storage Adjusted EBITDA increased by $54 million, or 26%, to $261 million. The increase in Adjusted EBITDA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higher pricing due to previously implemented pricing actions and lower material and manufacturing costs, as well as lower logistics costs, partially offset by lower volume and an increased investment in advertising.</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Borders>
              <w:bottom w:val="single" w:sz="8" w:color="CCEEFF"/>
            </w:tcBorders>
            <w:vMerge w:val="continue"/>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9"/>
                <w:szCs w:val="19"/>
                <w:color w:val="auto"/>
              </w:rPr>
            </w:pP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Hefty Tableware total segment net revenues decreased by $33 million, or 3%, to $967 million. The decrease in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lower volume, partially offset by higher pricing due to previously implemented pricing actions.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Tableware Adjusted EBITDA increased by $40 million, or 30%, to $174 million. The increase in Adjusted EBITDA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higher pricing due to previously implemented pricing actions and lower material and manufacturing costs, as well as lower logistics costs, partially offset by lower volume and an increased investment in advertising.</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Borders>
              <w:bottom w:val="single" w:sz="8" w:color="CCEEFF"/>
            </w:tcBorders>
            <w:vMerge w:val="continue"/>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9"/>
                <w:szCs w:val="19"/>
                <w:color w:val="auto"/>
              </w:rPr>
            </w:pP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Presto Products total segment net revenues decreased by $11 million, or 2%, to $593 million. The decrease in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lower volume.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Presto Products Adjusted EBITDA increased by $16 million, or 17%, to $112 million. The increase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lower material and manufacturing costs, as well as lower logistics costs, partially offset by lower volume.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Portions of our business historically have been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Reynolds Parchment Paper and disposable aluminum pans. Our tableware products generally have higher sales in the second quarter of the year, primarily due to outdoor summertime use of disposable plates, cups and bowls.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existing cash and cash equivalents, cash generated from operating activities, including proceeds from factored receivables, and available borrowings under the Revolving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our cash flows for the years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w w:val="96"/>
              </w:rPr>
              <w:t>219</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center"/>
              <w:ind w:left="514"/>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center"/>
              <w:ind w:left="514"/>
              <w:spacing w:after="0"/>
              <w:rPr>
                <w:sz w:val="20"/>
                <w:szCs w:val="20"/>
                <w:color w:val="auto"/>
              </w:rPr>
            </w:pPr>
            <w:r>
              <w:rPr>
                <w:rFonts w:ascii="Times New Roman" w:cs="Times New Roman" w:eastAsia="Times New Roman" w:hAnsi="Times New Roman"/>
                <w:sz w:val="18"/>
                <w:szCs w:val="18"/>
                <w:b w:val="1"/>
                <w:bCs w:val="1"/>
                <w:color w:val="auto"/>
              </w:rPr>
              <w:t>(126)</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from operating activities increased by $425 million, or 194%, to $644 million. The increase was primarily driven by improved earnings and the benefit of various working capital reduction initiatives.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decreased by $18 million, or 14%, to $110 million. The decrease was driven primarily by decreased cash outlays for capital expenditures.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financing activities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increased by $240 million, or 111%, to $457 million. The increase was primarily attributable to voluntary principal payments related to our Term Loan Facility that were made throughout the year ended December 31,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2020, we entered into the External Debt Facilities which consists of a $2,475 million Term Loan Facility and a Revolving Facility that provides for additional borrowing capacity of up to $250 million, reduced by amounts used for letters of credit. In February 2023, we amended the External Debt Facilities (“Amendment No. 1”) which replaced the benchmark from the London Interbank Offered Rate (“LIBOR”) to the Secured Overnight Financing Rate (“SOFR”). Additionally, in November 2023, we further amended the External Debt Facilities (“Amendment No. 2”) to extend the maturity date of the Revolving Facility by one year. Other than the foregoing, the material terms of the External Debt Facilities, as amended by Amendment No. 1 and Amendment No. 2 (“Amended External Debt Facilities”) remain unchanged.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outstanding balance under the Term Loan Facility was $1,845 million. As of December 31, 2023, we had no outstanding borrowings under the Revolving Facility, and we had $6 million of letters of credit outstanding, which reduces the borrowing capacity under the Revolving Facility.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borrower under the Amended External Debt Facilities is Reynolds Consumer Products LLC (the “Borrower”). The Revolving Facility includes a sub-facility for letters of credit. In addition, the Amended External Debt Facilities provide that the Borrower has the right at any time, subject to customary conditions, to request incremental term loans or incremental revolving credit commitments in amounts and on terms set forth therein. The lenders under the Amended External Debt Facilities are not under any obligation to provide any such incremental loans or commitments, and any such addition of or increase in loans is subject to certain customary conditions precedent and other provisions.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and fees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Borrowings under the Amended External Debt Facilities bear interest at a rate per annum equal to, at our option, either a base rate plus an applicable margin of 0.75% or a SOFR rate plus an applicable margin of 1.75%.</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During 2020 and 2022, we entered into a series of interest rate swaps to fix the LIBOR of our External Debt Facilities. In February 2023, we amended our interest rate swaps to replace the interest rate benchmark from LIBOR to SOFR. Other than the foregoing, the material terms of the interest rate swap agreements remained unchanged, and our election to use practical expedients under Accounting Standards Update (“ASU”) 2020-04, </w:t>
      </w:r>
      <w:r>
        <w:rPr>
          <w:rFonts w:ascii="Times New Roman" w:cs="Times New Roman" w:eastAsia="Times New Roman" w:hAnsi="Times New Roman"/>
          <w:sz w:val="18"/>
          <w:szCs w:val="18"/>
          <w:i w:val="1"/>
          <w:iCs w:val="1"/>
          <w:color w:val="auto"/>
        </w:rPr>
        <w:t>Reference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Reform (Topic 848): Facilitation of the Effects of Reference Rate Reform on Financial Reporting</w:t>
      </w:r>
      <w:r>
        <w:rPr>
          <w:rFonts w:ascii="Times New Roman" w:cs="Times New Roman" w:eastAsia="Times New Roman" w:hAnsi="Times New Roman"/>
          <w:sz w:val="18"/>
          <w:szCs w:val="18"/>
          <w:color w:val="auto"/>
        </w:rPr>
        <w:t>, and ASU 2021-01,</w:t>
      </w:r>
      <w:r>
        <w:rPr>
          <w:rFonts w:ascii="Times New Roman" w:cs="Times New Roman" w:eastAsia="Times New Roman" w:hAnsi="Times New Roman"/>
          <w:sz w:val="18"/>
          <w:szCs w:val="18"/>
          <w:i w:val="1"/>
          <w:iCs w:val="1"/>
          <w:color w:val="auto"/>
        </w:rPr>
        <w:t xml:space="preserve"> Reference Rate Reform (Topic 848): Scope</w:t>
      </w:r>
      <w:r>
        <w:rPr>
          <w:rFonts w:ascii="Times New Roman" w:cs="Times New Roman" w:eastAsia="Times New Roman" w:hAnsi="Times New Roman"/>
          <w:sz w:val="18"/>
          <w:szCs w:val="18"/>
          <w:color w:val="auto"/>
        </w:rPr>
        <w:t>, resulted in no material impacts on the consolidated financial statements. The aggregate notional amount of our interest rate swaps still in effect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was $1,150 million, and the SOFR is fixed at an annual rate of 0.40% to 3.40% (for an annual effective interest rate of 2.15% to 5.15%, including margin). These interest rate swaps hedge a portion of the interest rate exposure resulting from our Term Loan Facility for periods ranging from two to three years.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contains customary mandatory prepayments, including with respect to excess cash flow, asset sale proceeds and proceeds from certain incurrences of indebtedness.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Borrower may voluntarily repay outstanding loans under the Term Loan Facility at any time without premium or penalty, other than customary breakage costs with respect to SOFR based loans. During the year ended December 31, 2023, we made voluntary principal payments of $250 million related to the Term Loan Facility, which were not subject to a prepayment premium.</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and maturity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Facility matures in February 2027. The Term Loan Facility amortizes in equal quarterly installments of $6 million, which commenced in June 2020, with the balance payable on maturity. During the year ended December 31, 2023, we made voluntary principal payments of $250 million related to our Term Loan Facility, which were first applied to pay the remaining quarterly amortization payments in full, with the residual balance applied to the outstanding principal balance due at maturity.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amended, the Revolving Facility matures in February 2026.</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 and security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obligations under the Amended External Debt Facilities and certain hedge agreements and cash management arrangements provided by any lender party to the Amended External Debt Facilities or any of its affiliates and certain other persons are unconditionally guaranteed by Reynolds Consumer Products Inc. (“RCPI”), the Borrower (with respect to hedge agreements and cash management arrangements not entered into by the Borrower) and certain of RCPI’s existing and subsequently acquired or organized direct or indirect material wholly-owned U.S. restricted subsidiaries, with customary exceptions including, among other things, where providing such guarantees is not permitted by law, regulation or contract or would result in material adverse tax consequences.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obligations under the Amended External Debt Facilities and certain hedge agreements and cash management arrangements provided by any lender party to the Amended External Debt Facilities or any of its affiliates and certain other persons, and the guarantees of such obligations, are secured, subject to permitted liens and other exceptions, by: (i) a perfected first-priority pledge of all the equity interests of each wholly-owned material restricted subsidiary of RCPI, the Borrower or a subsidiary guarantor, including the equity interests of the Borrower (limited to 65% of voting stock in the case of first-tier non-U.S. subsidiaries of RCPI, the Borrower or any subsidiary guarantor) and (ii) perfected first-priority security interests in substantially all tangible and intangible personal property of RCPI, the Borrower and the subsidiary guarantors (subject to certain other exclusions).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covenants and events of default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Amended External Debt Facilities contain a number of covenants that, among other things, restrict, subject to certain exceptions, our ability and the ability of the restricted subsidiaries of RCPI to:</w:t>
      </w:r>
    </w:p>
    <w:p>
      <w:pPr>
        <w:spacing w:after="0" w:line="54" w:lineRule="exact"/>
        <w:rPr>
          <w:sz w:val="20"/>
          <w:szCs w:val="20"/>
          <w:color w:val="auto"/>
        </w:rPr>
      </w:pPr>
    </w:p>
    <w:p>
      <w:pPr>
        <w:ind w:left="440" w:hanging="316"/>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or repurchase capital stock;</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indebtedness;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which limit the ability of our restricted subsidiaries to incur restrictions on their ability to make distributions;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amendments to certain indebtedness in a manner materially adverse to the lenders.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Amended External Debt Facilities are entitled to take various actions, including the acceleration of amounts due under the Amended External Debt Facilities and all actions permitted to be taken by secured creditors.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in compliance with the covenants contained in our Amended External Debt Facilities.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Factoring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party to a factoring agreement with JP Morgan Chase Bank, N.A. to sell certain accounts receivable up to $95 million. We had no outstanding balance owed under the factoring arrangement as of December 31, 2023. The outstanding balance owed under the factoring arrangement as of December 31, 2022 was $15 million. Transactions under this agreement are accounted for as sales of accounts receivable, and the receivables sold are removed from the consolidated balance sheet at the time of the sales transaction. We classify proceeds received from the sales of accounts receivable as an operating cash flow in the consolidated statement of cash flows. We record the discount as other expense, net in the consolidated statement of income.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Financing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we initiated a voluntary Supply Chain Finance program (the “SCF”) with a global financial institution (the “SCF Bank”). Under the SCF, qualifying suppliers may elect to sell their receivables from us to the SCF Bank. These participating suppliers negotiate their receivables sales arrangements directly with the SCF Bank. We are not party to those agreements, nor do we provide any security or other forms of guarantees to the SCF Bank. The participation in the program is at the sole discretion of the supplier, we have no economic interest in a supplier’s decision to enter into the agreement and have no direct financial relationship with the SCF Bank, as it relates to the SCF. Once a qualifying supplier elects to participate in the SCF and reaches an agreement with the SCF Bank, they elect which individual invoices they sell to the SCF Bank.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our payment obligations are not impacted by a supplier’s participation in the SCF and as such, the SCF has no impact on our balance sheets, cash flows or liquidity. Our payment terms with our suppliers for similar services and materials within individual markets are consistent between suppliers that elect to participate in the SCF and those that do not participate.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outstanding amounts related to suppliers participating in the SCF are recorded within accounts payable in the consolidated balance sheet and associated payments are included as an operating cash flow in the consolidated statement of cash flows. As of December 31, 2023, the amount of obligations outstanding that we have confirmed as valid under the SCF was $19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cash dividends totaling $0.92 per share were declared and paid. On January 25, 2024, a quarterly cash dividend of $0.23 per share was declared and is to be paid on February 29, 2024. We expect to continue paying cash dividends on a quarterly basis; however, future dividends are at the discretion of our Board of Directors and will depend upon our earnings, capital requirements, financial condition, contractual limitations (including under the Amended External Debt Facilities) and other factors.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including proceeds from factored receivables, and available borrowings under the Revolving Facility are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“Item 1A. Risk Factors”.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material contractual obligations as of December 31, 2023: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3"/>
                <w:szCs w:val="13"/>
                <w:color w:val="auto"/>
              </w:rPr>
            </w:pP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40" w:type="dxa"/>
            <w:vAlign w:val="bottom"/>
          </w:tcPr>
          <w:p>
            <w:pPr>
              <w:spacing w:after="0"/>
              <w:rPr>
                <w:sz w:val="13"/>
                <w:szCs w:val="13"/>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One to three</w:t>
            </w:r>
          </w:p>
        </w:tc>
        <w:tc>
          <w:tcPr>
            <w:tcW w:w="140" w:type="dxa"/>
            <w:vAlign w:val="bottom"/>
          </w:tcPr>
          <w:p>
            <w:pPr>
              <w:spacing w:after="0"/>
              <w:rPr>
                <w:sz w:val="13"/>
                <w:szCs w:val="13"/>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to five</w:t>
            </w:r>
          </w:p>
        </w:tc>
        <w:tc>
          <w:tcPr>
            <w:tcW w:w="140" w:type="dxa"/>
            <w:vAlign w:val="bottom"/>
          </w:tcPr>
          <w:p>
            <w:pPr>
              <w:spacing w:after="0"/>
              <w:rPr>
                <w:sz w:val="13"/>
                <w:szCs w:val="13"/>
                <w:color w:val="auto"/>
              </w:rPr>
            </w:pP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0" w:type="dxa"/>
            <w:vAlign w:val="bottom"/>
          </w:tcPr>
          <w:p>
            <w:pPr>
              <w:spacing w:after="0"/>
              <w:rPr>
                <w:sz w:val="1"/>
                <w:szCs w:val="1"/>
                <w:color w:val="auto"/>
              </w:rPr>
            </w:pPr>
          </w:p>
        </w:tc>
      </w:tr>
      <w:tr>
        <w:trPr>
          <w:trHeight w:val="195"/>
        </w:trPr>
        <w:tc>
          <w:tcPr>
            <w:tcW w:w="4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4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6"/>
                <w:szCs w:val="16"/>
                <w:color w:val="auto"/>
              </w:rPr>
            </w:pP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0" w:type="dxa"/>
            <w:vAlign w:val="bottom"/>
          </w:tcPr>
          <w:p>
            <w:pPr>
              <w:spacing w:after="0"/>
              <w:rPr>
                <w:sz w:val="1"/>
                <w:szCs w:val="1"/>
                <w:color w:val="auto"/>
              </w:rPr>
            </w:pPr>
          </w:p>
        </w:tc>
      </w:tr>
      <w:tr>
        <w:trPr>
          <w:trHeight w:val="228"/>
        </w:trPr>
        <w:tc>
          <w:tcPr>
            <w:tcW w:w="462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liabilities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Unconditional capital expenditure obligations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plan obligations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2,459</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1,889</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hanging="652"/>
        <w:spacing w:after="0" w:line="282"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obligations for long-term debt consist of the principal amounts and interest obligations. The interest rate on the floating rate debt balances has been assumed to be the same as the rate in effect as of December 31, 2023.</w:t>
      </w:r>
    </w:p>
    <w:p>
      <w:pPr>
        <w:spacing w:after="0" w:line="5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lease liabilities include $55 million in commitments related to operating leases executed that have not yet commenced.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2023, our liabilities for uncertain tax positions and defined benefit pension obligations totaled $13 million. The ultimate timing of these liabilities cannot be determined; therefore, we have excluded these amounts from the contractual obligations table above.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material off-balance sheet obligations.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methods, estimates and judgments we use in applying our most critical accounting policies have a significant impact on the results we report in our consolidated financial statements. Critical accounting estimates are those that involve a significant level of estimation uncertainty and have had or are reasonably likely to have a material impact on our financial condition and results of operations. Specific areas requiring the application of management’s estimates and judgments include, among others, assumptions pertaining to valuation assumptions of goodwill and intangible assets, useful lives of long-lived assets and sales incentives. Accordingly, a different financial presentation could result depending on the judgments, estimates or assumptions that are used. A summary of our significant accounting policies and use of estimates is contained in Note 2 - Summary of Significant Accounting Policies of our consolidated financial statements included elsewhere in this Annual Report on Form 10-K.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accounting estimates and assumptions described below involve significant subjectivity and judgment, and changes to such estimates or assumptions could have a material impact on our financial condition or operating results. Therefore, we consider an understanding of the variability and judgment required in making these estimates and assumptions to be critical in fully understanding and evaluating our reported financial results.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Recognition-Sales Incentives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routinely commit to one-time or ongoing trade-promotion programs with our customers. Programs include discounts, allowances, shelf-price reductions, end-of-aisle or in-store displays of our products and graphics and other trade-promotion activities conducted by the customer, such as coupons. Collectively, we refer to these as sales incentives or trade promotions. Costs related to these programs are recorded as a reduction to revenue. Our trade promotion accruals are primarily based on estimated volume and incorporate historical sales and spending trends by customer and category. The determination of these estimated accruals requires judgment and may change in the future as a result of changes in customer promotion participation, particularly for new programs and for programs related to the introduction of new products. Final determination of the total cost of a promotion is dependent upon customers providing information about proof of performance and other information related to the promotional event. This process of analyzing and settling trade-promotion programs with customers could impact our results of operations and trade promotion accruals depending on how actual results of the programs compare to original estimates. Sales incentives represented 5%, 4%, and 4% of total net revenues for the years ended December 31, 2023, 2022 and 2021, respectively. As of December 31, 2023 and 2022, we had accruals of $40 million and $38 million, respectively, reflected on our consolidated balance sheets in Accrued and other current liabilities related to sales incentive programs.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Indefinite-Lived Intangible Assets and Long-Lived Assets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test our goodwill and other indefinite-lived intangible assets for impairment annually in the fiscal fourth quarter unless there are indications during a different interim period that these assets may have become impaired. No impairments were identified as a result of our impairment review performed annually during the fourth quarter of fiscal years 2023, 2022 and 2021.</w:t>
      </w:r>
    </w:p>
    <w:p>
      <w:pPr>
        <w:spacing w:after="0" w:line="28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Goodwill</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reporting units for goodwill impairment testing purposes are Reynolds Cooking &amp; Baking, Hefty Waste &amp; Storage, Hefty Tableware and Presto Products. No instances of impairment were identified during the fiscal year 2023 annual impairment review. All of our reporting units had fair values that significantly exceeded recorded carrying values. However, future changes in the judgments, assumptions and estimates that are used in the impairment testing for goodwill as described below could result in significantly different estimates of the fair values.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evaluation of goodwill impairment, we have the option to first assess qualitative factors such as the maturity and stability of the reporting unit, the magnitude of the excess fair value over carrying value from the prior year’s impairment testing, other reporting unit operating results as well as new events and circumstances impacting the operations at the reporting unit level. If the result of a qualitative test indicates a potential for impairment, or if we voluntarily elect, a quantitative test is performed, wherein we compare the estimated fair value of each reporting unit to its carrying value. In all instances where a quantitative test was performed, the estimated fair value exceeded the carrying value of the reporting unit and none of our reporting units were at a risk of failing the quantitative test. If the estimated fair value of any reporting unit had been less than its carrying value, an impairment charge would have been recorded for the amount by which the reporting unit’s carrying amount exceeds its fair value.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determine the fair value of a reporting unit as part of our quantitative test, we use a capitalization of earnings method under the income approach. Under this approach, we estimate the forecasted Adjusted EBITDA of each reporting unit and capitalize this amount using a multiple. The Adjusted EBITDA amounts are consistent with those we use in our internal planning, which gives consideration to actual business trends experienced and the long-term business strategy. The selection of a capitalization multiple incorporates consideration of comparable entity trading multiples within the same industry and recent sale and purchase transactions. Changes in such estimates or the application of alternative assumptions could produce different results.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Indefinite-Lived Intangible Assets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indefinite-lived intangible assets consist of certain trade names. We test indefinite-lived intangible assets for impairment on an annual basis in the fourth quarter and whenever events or changes in circumstances indicate that the carrying amount of such assets may not be recoverable. We have the option to first assess qualitative factors such as the maturity of the trade name, the magnitude of the excess fair value over carrying value from the prior year’s impairment testing, as well as new events and circumstances impacting the trade name. If the result of a qualitative test indicates a potential for impairment, or if we voluntarily elect, a quantitative test is performed. If the carrying amount of such asset exceeds its estimated fair value, an impairment charge is recorded for the difference between the carrying amount and the estimated fair value. When a quantitative test is performed we use a relief from royalty computation under the income approach to estimate the fair value of our trade names. This approach requires significant judgments in determining</w:t>
      </w:r>
    </w:p>
    <w:p>
      <w:pPr>
        <w:spacing w:after="0" w:line="3" w:lineRule="exact"/>
        <w:rPr>
          <w:sz w:val="20"/>
          <w:szCs w:val="20"/>
          <w:color w:val="auto"/>
        </w:rPr>
      </w:pPr>
    </w:p>
    <w:p>
      <w:pPr>
        <w:jc w:val="both"/>
        <w:ind w:firstLine="8"/>
        <w:spacing w:after="0" w:line="253" w:lineRule="auto"/>
        <w:tabs>
          <w:tab w:leader="none" w:pos="22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future branded revenue from the use of the asset; (ii) the relevant royalty rate to be applied to these estimated future cash flows; and (iii) the appropriate discount rates applied to those cash flows to determine fair value. Changes in such estimates or the use of alternative assumptions could produce different results. No instances of impairment were identified during the fiscal year 2023 annual impairment review. Each of our indefinite-lived intangible assets had fair values that significantly exceeded recorded carrying values.</w:t>
      </w:r>
    </w:p>
    <w:p>
      <w:pPr>
        <w:spacing w:after="0" w:line="29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Long-Lived Assets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Long-lived assets, including finite-lived intangible assets, are reviewed for possible impairment whenever events or changes in circumstances occur that indicate that the carrying amount of an asset (or asset group) may not be recoverable. Our impairment review requires significant management judgment, including estimating the future success of product lines, future sales volumes, revenue and expense growth rates, alternative uses for the assets and estimated proceeds from the disposal of the assets. We review business plans for possible impairment indicators. Impairment occurs when the carrying amount of the asset (or asset group) exceeds its estimated future undiscounted cash flows. When impairment is indicated, an impairment charge is recorded for the difference between the asset’s carrying value and its estimated fair value. Depending on the asset, estimated fair value may be determined either by use of a discounted cash flow model or by reference to estimated selling values of assets in similar condition. The use of different assumptions would increase or decrease the estimated fair value of assets and would increase or decrease any impairment measurement.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accounting guidance that we have recently adopted, as well as accounting guidance that has been recently issued but not yet adopted by us, is included in Note 2 - Summary of Significant Accounting Policies of our consolidated financial statements included elsewhere in this Annual Report on Form 10-K.</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subject to risks from adverse fluctuations in interest rates and commodity prices. Our objective in managing our exposure to market risk is to limit the impact on earnings and cash flow.</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significant variable rate debt commitments outstanding as of December 31, 2023, which accrue interest at the SOFR rate plus an applicable margin of 1.75%. These on-balance sheet financial instruments expose us to interest rate risk.</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2020 and 2022, we entered into a series of interest rate swaps which fixed the LIBOR of our External Debt Facilities. In February 2023, we amended our interest rate swaps to replace the interest rate benchmark from the LIBOR to SOFR. Other than the foregoing, the material terms of the interest rate swap agreements remained unchanged, and our election to use practical expedients under ASUs 2020-04 and 2021-01 resulted in no material impacts on the consolidated financial statements. The aggregate notional amount of our interest rate swaps still in effect as of December 31, 2023 was $1,150 million, and the SOFR is fixed at an annual rate of 0.40% to 3.40% (for an annual effective interest rate of 2.15% to 5.15%, including margin). These interest rate swaps hedge a portion of the interest rate exposure resulting from our Term Loan Facility for periods ranging from two to three years. We classify these instruments as cash flow hedges. Our average variable rate for the remaining notional amount of $1,150 million is a one-month SOFR plus an applicable margin of 1.75%. The fair value of our interest rate swaps included on our consolidated balance sheets as of December 31, 2023 was $30 million. Refer to Note 8 – Financial Instruments for further detail.</w:t>
      </w:r>
    </w:p>
    <w:p>
      <w:pPr>
        <w:sectPr>
          <w:pgSz w:w="11900" w:h="16838" w:orient="portrait"/>
          <w:cols w:equalWidth="0" w:num="1">
            <w:col w:w="11240"/>
          </w:cols>
          <w:pgMar w:left="320" w:top="121" w:right="339" w:bottom="1440" w:gutter="0" w:footer="0" w:header="0"/>
        </w:sectPr>
      </w:pP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1.75% applicable margin on the one-month SOFR.</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Pay fixed / receive</w:t>
            </w:r>
          </w:p>
        </w:tc>
        <w:tc>
          <w:tcPr>
            <w:tcW w:w="152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 xml:space="preserve">Average pay rate </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5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variable notional</w:t>
            </w:r>
          </w:p>
        </w:tc>
        <w:tc>
          <w:tcPr>
            <w:tcW w:w="152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5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5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150</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5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1,000</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9258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ind w:left="980" w:hanging="964"/>
        <w:spacing w:after="0"/>
        <w:tabs>
          <w:tab w:leader="none" w:pos="9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9258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45720</wp:posOffset>
            </wp:positionV>
            <wp:extent cx="9258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784" w:lineRule="exact"/>
        <w:rPr>
          <w:sz w:val="20"/>
          <w:szCs w:val="20"/>
          <w:color w:val="auto"/>
        </w:rPr>
      </w:pPr>
    </w:p>
    <w:p>
      <w:pPr>
        <w:sectPr>
          <w:pgSz w:w="11900" w:h="16838" w:orient="portrait"/>
          <w:cols w:equalWidth="0" w:num="2">
            <w:col w:w="7160" w:space="720"/>
            <w:col w:w="3360"/>
          </w:cols>
          <w:pgMar w:left="320" w:top="121" w:right="339" w:bottom="1440" w:gutter="0" w:footer="0" w:header="0"/>
          <w:type w:val="continuous"/>
        </w:sectPr>
      </w:pPr>
    </w:p>
    <w:p>
      <w:pPr>
        <w:spacing w:after="0" w:line="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unhedged outstanding borrowings under the Term Loan Facility as of December 31, 2023, a 100-basis point increase (decrease) in the interest rates under the Term Loan Facility would result in a $7 million increase (decrease) in interest expense, per annum, on our borrowings.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Risk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commodity and other price risk principally from the purchase of resin, aluminum, natural gas, electricity, carton board and diesel. In some instances, we use contracts of varying durations along with strategic pricing mechanisms to manage volatility for a portion of our commodity costs, but derivative instruments are not currently being used to manage these risks.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439"/>
        </w:trPr>
        <w:tc>
          <w:tcPr>
            <w:tcW w:w="20" w:type="dxa"/>
            <w:vAlign w:val="bottom"/>
          </w:tcPr>
          <w:p>
            <w:pPr>
              <w:spacing w:after="0"/>
              <w:rPr>
                <w:sz w:val="24"/>
                <w:szCs w:val="24"/>
                <w:color w:val="auto"/>
              </w:rPr>
            </w:pPr>
          </w:p>
        </w:tc>
        <w:tc>
          <w:tcPr>
            <w:tcW w:w="104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4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Income for the years ended December 31, 2023, 2022 and 2021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4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2023, 2022 and 2021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71"/>
        </w:trPr>
        <w:tc>
          <w:tcPr>
            <w:tcW w:w="20" w:type="dxa"/>
            <w:vAlign w:val="bottom"/>
          </w:tcPr>
          <w:p>
            <w:pPr>
              <w:spacing w:after="0"/>
              <w:rPr>
                <w:sz w:val="24"/>
                <w:szCs w:val="24"/>
                <w:color w:val="auto"/>
              </w:rPr>
            </w:pPr>
          </w:p>
        </w:tc>
        <w:tc>
          <w:tcPr>
            <w:tcW w:w="46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2023 and 2022</w:t>
            </w:r>
          </w:p>
        </w:tc>
        <w:tc>
          <w:tcPr>
            <w:tcW w:w="3120" w:type="dxa"/>
            <w:vAlign w:val="bottom"/>
            <w:tcBorders>
              <w:top w:val="single" w:sz="8" w:color="0000FF"/>
            </w:tcBorders>
            <w:gridSpan w:val="4"/>
          </w:tcPr>
          <w:p>
            <w:pPr>
              <w:spacing w:after="0"/>
              <w:rPr>
                <w:sz w:val="24"/>
                <w:szCs w:val="24"/>
                <w:color w:val="auto"/>
              </w:rPr>
            </w:pPr>
          </w:p>
        </w:tc>
        <w:tc>
          <w:tcPr>
            <w:tcW w:w="2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72"/>
        </w:trPr>
        <w:tc>
          <w:tcPr>
            <w:tcW w:w="20" w:type="dxa"/>
            <w:vAlign w:val="bottom"/>
          </w:tcPr>
          <w:p>
            <w:pPr>
              <w:spacing w:after="0"/>
              <w:rPr>
                <w:sz w:val="24"/>
                <w:szCs w:val="24"/>
                <w:color w:val="auto"/>
              </w:rPr>
            </w:pPr>
          </w:p>
        </w:tc>
        <w:tc>
          <w:tcPr>
            <w:tcW w:w="7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2023, 2022 and 2021</w:t>
            </w:r>
          </w:p>
        </w:tc>
        <w:tc>
          <w:tcPr>
            <w:tcW w:w="288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71"/>
        </w:trPr>
        <w:tc>
          <w:tcPr>
            <w:tcW w:w="20" w:type="dxa"/>
            <w:vAlign w:val="bottom"/>
          </w:tcPr>
          <w:p>
            <w:pPr>
              <w:spacing w:after="0"/>
              <w:rPr>
                <w:sz w:val="24"/>
                <w:szCs w:val="24"/>
                <w:color w:val="auto"/>
              </w:rPr>
            </w:pPr>
          </w:p>
        </w:tc>
        <w:tc>
          <w:tcPr>
            <w:tcW w:w="69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2023, 2022 and 2021</w:t>
            </w:r>
          </w:p>
        </w:tc>
        <w:tc>
          <w:tcPr>
            <w:tcW w:w="356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72"/>
        </w:trPr>
        <w:tc>
          <w:tcPr>
            <w:tcW w:w="20" w:type="dxa"/>
            <w:vAlign w:val="bottom"/>
          </w:tcPr>
          <w:p>
            <w:pPr>
              <w:spacing w:after="0"/>
              <w:rPr>
                <w:sz w:val="24"/>
                <w:szCs w:val="24"/>
                <w:color w:val="auto"/>
              </w:rPr>
            </w:pPr>
          </w:p>
        </w:tc>
        <w:tc>
          <w:tcPr>
            <w:tcW w:w="3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706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520"/>
        </w:trPr>
        <w:tc>
          <w:tcPr>
            <w:tcW w:w="662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the </w:t>
      </w:r>
      <w:r>
        <w:rPr>
          <w:rFonts w:ascii="Times New Roman" w:cs="Times New Roman" w:eastAsia="Times New Roman" w:hAnsi="Times New Roman"/>
          <w:sz w:val="18"/>
          <w:szCs w:val="18"/>
          <w:color w:val="383336"/>
        </w:rPr>
        <w:t>Board of Directors and Stockholders of Reynolds Consumer Products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Reynolds Consumer Products Inc. and its subsidiaries (the “Company”) as of December 31, 2023 and 2022, and the related consolidated statements of income, comprehensive income, stockholders’ equity and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w:t>
      </w:r>
      <w:r>
        <w:rPr>
          <w:rFonts w:ascii="Times New Roman" w:cs="Times New Roman" w:eastAsia="Times New Roman" w:hAnsi="Times New Roman"/>
          <w:sz w:val="18"/>
          <w:szCs w:val="18"/>
          <w:color w:val="008080"/>
        </w:rPr>
        <w:t>’</w:t>
      </w:r>
      <w:r>
        <w:rPr>
          <w:rFonts w:ascii="Times New Roman" w:cs="Times New Roman" w:eastAsia="Times New Roman" w:hAnsi="Times New Roman"/>
          <w:sz w:val="18"/>
          <w:szCs w:val="18"/>
          <w:color w:val="auto"/>
        </w:rPr>
        <w: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for Certain Contracts with Customers</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recorded total net revenues of $3,756 million for the year ended December 31, 2023, of which a portion relates to certain contracts with customers, recorded net of discounts, allowances and trade promotions (collectively referred to as “sales incentives”) recognized throughout the year. Consideration in contracts with customers is variable due to anticipated reductions such as sales incentives. Accordingly, revenues are recorded net of estimated sales incentives recognized throughout the year and as of year-end. The transaction price is estimated based on the amount of consideration to which management believes the Company will be entitled, using an expected value method.</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revenue recognition for certain contracts with customers is a critical audit matter is a high degree of auditor effort in performing procedures related to revenue recognition for certain contracts with customers, recorded net of sales incentives recognized throughout the year.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(i) evaluating certain revenue transactions by testing the issuance and settlement of invoices and credit memos, tracing transactions not settled to a detailed listing of accounts receivable, and testing the completeness and accuracy of data provided by management; (ii) evaluating and recalculating, on a sample basis, certain sales incentives recognized by obtaining and inspecting source documents, such as executed contracts and support for the amount; and (iii) evaluating, on a sample basis, outstanding customer invoice balances as of December 31, 2023 by obtaining and inspecting source documents, such as executed contracts, invoices, proof of shipment, and subsequent cash receipts.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3,756</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3,556</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512</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6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70"/>
        </w:trPr>
        <w:tc>
          <w:tcPr>
            <w:tcW w:w="67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r>
      <w:tr>
        <w:trPr>
          <w:trHeight w:val="234"/>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r>
    </w:tbl>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7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benefit plans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1,171</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4,780</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4,929</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6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payables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86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postretirement benefit obligation</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60" w:type="dxa"/>
            <w:vAlign w:val="bottom"/>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2,797</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3,061</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75"/>
        </w:trPr>
        <w:tc>
          <w:tcPr>
            <w:tcW w:w="82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$0.001 par value; 2,000 shares authorized; 210 shares issued and</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8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w:t>
            </w:r>
          </w:p>
        </w:tc>
        <w:tc>
          <w:tcPr>
            <w:tcW w:w="8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1,983</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1,868</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8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4,780</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4,929</w:t>
            </w:r>
          </w:p>
        </w:tc>
      </w:tr>
      <w:tr>
        <w:trPr>
          <w:trHeight w:val="20"/>
        </w:trPr>
        <w:tc>
          <w:tcPr>
            <w:tcW w:w="8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9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80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7"/>
                <w:szCs w:val="17"/>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1,615</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($0.92 per share declared and paid)</w:t>
            </w:r>
          </w:p>
        </w:tc>
        <w:tc>
          <w:tcPr>
            <w:tcW w:w="1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1,756</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($0.92 per share declared and paid)</w:t>
            </w:r>
          </w:p>
        </w:tc>
        <w:tc>
          <w:tcPr>
            <w:tcW w:w="1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10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1,868</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9"/>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income taxes</w:t>
            </w:r>
          </w:p>
        </w:tc>
        <w:tc>
          <w:tcPr>
            <w:tcW w:w="1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($0.92 per share declared and paid)</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5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tcPr>
          <w:p>
            <w:pPr>
              <w:spacing w:after="0"/>
              <w:rPr>
                <w:sz w:val="21"/>
                <w:szCs w:val="21"/>
                <w:color w:val="auto"/>
              </w:rPr>
            </w:pP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6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operating cash flows: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880" w:type="dxa"/>
            <w:vAlign w:val="bottom"/>
          </w:tcPr>
          <w:p>
            <w:pPr>
              <w:spacing w:after="0"/>
              <w:rPr>
                <w:sz w:val="21"/>
                <w:szCs w:val="21"/>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880" w:type="dxa"/>
            <w:vAlign w:val="bottom"/>
          </w:tcPr>
          <w:p>
            <w:pPr>
              <w:spacing w:after="0"/>
              <w:rPr>
                <w:sz w:val="21"/>
                <w:szCs w:val="21"/>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6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5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6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payables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 / receivable</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6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880" w:type="dxa"/>
            <w:vAlign w:val="bottom"/>
          </w:tcPr>
          <w:p>
            <w:pPr>
              <w:spacing w:after="0"/>
              <w:rPr>
                <w:sz w:val="21"/>
                <w:szCs w:val="21"/>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88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w:t>
            </w:r>
          </w:p>
        </w:tc>
        <w:tc>
          <w:tcPr>
            <w:tcW w:w="22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24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r>
      <w:tr>
        <w:trPr>
          <w:trHeight w:val="25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5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business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8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22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24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r>
      <w:tr>
        <w:trPr>
          <w:trHeight w:val="25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financing activities</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5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8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c>
          <w:tcPr>
            <w:tcW w:w="22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24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r>
      <w:tr>
        <w:trPr>
          <w:trHeight w:val="26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as of beginning of the year</w:t>
            </w:r>
          </w:p>
        </w:tc>
        <w:tc>
          <w:tcPr>
            <w:tcW w:w="8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43"/>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Balance as of end of the year</w:t>
            </w:r>
          </w:p>
        </w:tc>
        <w:tc>
          <w:tcPr>
            <w:tcW w:w="8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24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r>
      <w:tr>
        <w:trPr>
          <w:trHeight w:val="27"/>
        </w:trPr>
        <w:tc>
          <w:tcPr>
            <w:tcW w:w="6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6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w:t>
            </w:r>
          </w:p>
        </w:tc>
        <w:tc>
          <w:tcPr>
            <w:tcW w:w="8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50"/>
        </w:trPr>
        <w:tc>
          <w:tcPr>
            <w:tcW w:w="6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 long-term debt, net of interest rate swaps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non-cash investing and financing activities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7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Leases for details of non-cash additions to lease right-of-use assets, net as a result of changes in lease liabilities.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Description of Business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Reynolds Consumer Products Inc. and its subsidiaries (“we”, “us” or “our”) produce and sell products across three broad categories: cooking products, waste and storage products and tableware. We sell our products under brands such as Reynolds and Hefty, and also under store brands. Our product portfolio includes aluminum foil, wraps, disposable bakeware, trash bags, food storage bags and disposable tableware. We report four business segments: Reynolds Cooking &amp; Baking; Hefty Waste &amp; Storage; Hefty Tableware; and Presto Products.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8"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8"/>
          <w:szCs w:val="18"/>
          <w:color w:val="auto"/>
        </w:rPr>
        <w:t>We have prepared the accompanying audited consolidated financial statements in accordance with United States generally accepted accounting principles (“GAAP”).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Consolidation: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intercompany transactions and balances have been eliminated in consolidation.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GAAP, which requires us to make estimates and assumptions that affect a number of amounts in our consolidated financial statements. Significant accounting policy elections, estimates and assumptions include, among others, valuation assumptions of goodwill and intangible assets, useful lives of long-lived assets, sales incentives, income taxes and benefit plan assumptions. We base our estimates on historical experience and other assumptions that we believe are reasonable. If actual amounts differ from estimates, we include the revisions in our consolidated results of operations in the period the actual amounts become known. Historically, the aggregate differences, if any, between our estimates and actual amounts in any year have not had a material effect on our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Translation: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presented in U.S. dollars, which is our reporting currency. We translate the results of operations of our subsidiaries with functional currencies other than the U.S. dollar using average exchange rates during each period and translate balance sheet accounts using exchange rates at the end of each period. We record currency translation adjustments as a component of stockholders’ equity within accumulated other comprehensive income and transaction gains and losses in other expense, net in our consolidated statements of income.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demand deposits with banks and all highly liquid investments with original maturities of three months or less. We maintain our bank accounts with a relatively small number of high quality financial institutions. Cash balances held by non-U.S. entities as of December 31, 2023 and 2022 were $12 million and $2 million,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are recorded at face amounts less an allowance for doubtful accounts. The allowance is an estimate based on historical collection experience, current economic and market conditions and a review of the current status of each customer’s trade accounts receivable balance. We evaluate the aging of the accounts receivable balances and the financial condition of our customers to estimate the amount of accounts receivable that may not be collected in the future and record the appropriate provision. The allowance for doubtful accounts was not material as of December 31, 2023 and 2022.</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party to a factoring agreement with JP Morgan Chase Bank N.A. to sell certain accounts receivable up to $95 million. We had no outstanding balance owed under the factoring arrangement as of December 31, 2023. Transactions under this agreement are accounted for as sales of accounts receivable, and the receivables sold are removed from the consolidated balance sheet at the time of the sales transaction. We classify proceeds received from the sales of accounts receivable as an operating cash flow in the consolidated statement of cash flows. We record the discount as other expense, net in the consolidated statement of income.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value our inventories using the first-in, first-out method. Inventory is valued at actual cost, which includes raw materials, supplies, direct labor and manufacturing overhead associated with production. Inventory is stated at the lower of cost or net realizable value, which includes any costs to sell or dispose. In addition, appropriate consideration is given to obsolescence, excessive inventory levels, product deterioration and other factors in evaluating net realizable value.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stated at historical cost less depreciation, which is computed using the straight-line method over the estimated useful lives of the assets. Machinery and equipment are depreciated over periods ranging from 5 to 20 years and buildings and building improvements over periods ranging from 15 to 40 years. Finite-lived intangible assets, which primarily consist of customer relationships, are stated at historical cost and amortized using the straight-line method (which reflects the pattern of how the assets’ economic benefits are consumed) over the assets’ estimated useful lives which range from 18 to 20 years.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Expenditures for maintenance and repairs are expensed as incurred. When property, plant or equipment is sold or otherwise disposed of, the related cost and accumulated depreciation is removed from the respective accounts and any gain or loss realized on disposition is reflected in other expense, net in our consolidated statements of income.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review long-lived assets, including finite-lived intangible assets, for recoverability on an ongoing basis. Changes in depreciation or amortization are recorded prospectively when estimates of the remaining useful lives or residual values of long-lived assets change. We also review our long-lived assets for impairment when conditions exist that indicate the carrying amount of the assets may not be fully recoverable. In those circumstances, we perform undiscounted cash flow analysis to determine if an impairment exists. When testing for asset impairment, we group assets and liabilities at the lowest level for which cash flows are separately identifiable. If an impairment loss is recorded, it is calculated as the excess of the asset’s carrying value over its estimated fair value as determined by an estimate of discounted future cash flows. Depending on the nature of the asset, impairment losses are recorded in either cost of sales or selling, general and administrative expenses in our consolidated statements of income. There were no impairments of long-lived assets in any of the years presented.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determine whether a contract is or contains a lease at contract inception. Right-of-use (“ROU”) assets represent our right to use an underlying asset for the lease term and lease liabilities represent our obligation to make lease payments arising from the lease. ROU assets are recognized at the commencement date at the value of the lease liability, adjusted for any prepayments, lease incentives received and initial direct costs incurred. Lease liabilities are recognized at the commencement date based on the present value of remaining lease payments over the lease term. For operating leases, following initial recognition, lease liability balances are amortized using the effective interest method, while the related operating lease ROU assets are adjusted by the difference between the fixed lease expense recognized under a straight-line method and the interest expense associated with the effective interest method in the period.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leases contain non-lease components, for example common area or other maintenance costs, that relate to the lease components of the agreement. Non-lease components and the lease components to which they relate are accounted for as a single lease component as we have elected to combine lease and non-lease components for all classes of underlying assets. All operating lease cash payments are recorded within cash flows from operating activities in the consolidated statements of cash flows. Principal cash payments on finance leases are recorded within cash flows from financing activities, while interest payments associated with finance leases are recorded within cash flows from operating activities in the consolidated statements of cash flows. Our lease agreements do not include significant restrictions, covenants or residual value guarantees.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Indefinite-Lived Intangible Assets: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assets acquired. We test goodwill for impairment on an annual basis in the fourth quarter and whenever events or changes in circumstances indicate that the carrying value of goodwill may not be recoverable. We assess goodwill impairment risk by performing a qualitative review of entity-specific, industry, market and general economic factors affecting our goodwill reporting units. Depending on factors such as prior-year test results, current year developments, current risk evaluations and other practical considerations, we may elect to perform quantitative testing instead. In our quantitative testing, we compare a reporting unit’s estimated fair value with its carrying value. Estimating the fair value of individual reporting units requires us to make assumptions and estimates regarding our future plans and industry and economic conditions. The key assumptions associated with determining the estimated fair value are forecasted Adjusted EBITDA and a relevant earnings multiple. Our actual results and conditions may differ over time. If the carrying value of a reporting unit’s net assets exceeds its fair value, we would recognize an impairment charge for the amount by which the carrying value exceeds the reporting unit’s fair value.</w:t>
      </w:r>
    </w:p>
    <w:p>
      <w:pPr>
        <w:sectPr>
          <w:pgSz w:w="11900" w:h="16838" w:orient="portrait"/>
          <w:cols w:equalWidth="0" w:num="1">
            <w:col w:w="11240"/>
          </w:cols>
          <w:pgMar w:left="320" w:top="121" w:right="339" w:bottom="1440"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indefinite-lived intangible assets consist of certain trade names. We test indefinite-lived intangible assets for impairment on an annual basis in the fourth quarter and whenever events or changes in circumstances indicate that the carrying amount of such assets may not be recoverable. Depending on factors such as prior-year test results, current year developments, current risk evaluations and other practical considerations, we may elect to perform quantitative testing instead. If potential impairment risk exists for a specific asset, we quantitatively test it for impairment by comparing its estimated fair value with its carrying value. We determine estimated fair value using the relief-from-royalty method, using key assumptions including planned revenue growth rates, market-based discount rates and estimates of royalty rates. If the carrying value of the asset exceeds its fair value, we consider the asset impaired and reduce its carrying value to the estimated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Financing: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we initiated a voluntary Supply Chain Finance program (the “SCF”) with a global financial institution (the “SCF Bank”). Under the SCF, qualifying suppliers may elect to sell their receivables from us to the SCF Bank. These participating suppliers negotiate their receivables sales arrangements directly with the SCF Bank. We are not party to those agreements, nor do we provide any security or other forms of guarantees to the SCF Bank. The participation in the program is at the sole discretion of the supplier, we have no economic interest in a supplier’s decision to enter into the agreement and have no direct financial relationship with the SCF Bank, as it relates to the SCF. Once a qualifying supplier elects to participate in the SCF and reaches an agreement with the SCF Bank, they elect which individual invoices they sell to the SCF Bank.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our payment obligations are not impacted by a supplier’s participation in the SCF and as such, the SCF has no impact on our balance sheets, cash flows or liquidity. Our payment terms with our suppliers for similar services and materials within individual markets are consistent between suppliers that elect to participate in the SCF and those that do not participate.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outstanding amounts related to suppliers participating in the SCF are recorded within accounts payable in the consolidated balance sheet and associated payments are included as an operating cash flow in the consolidated statement of cash flows. As of December 31, 2023, the amount of obligations outstanding that we have confirmed as valid under the SCF was $19 million.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assessing our customers’ creditworthiness, we recognize revenue when control over products transfers to our customers, which generally occurs upon delivery or shipment of the products. We account for product shipping, handling and insurance as fulfillment activities, with revenues for these activities recorded in net revenues and costs recorded in cost of sales. Any taxes collected on behalf of government authorities are excluded from net revenues.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Consideration in our contracts with customers is variable due to anticipated reductions such as discounts, allowances and trade promotions, collectively referred to as “sales incentives”. Accordingly, revenues are recorded net of estimated sales incentives, recognized throughout the year and as of year-end. The transaction price reflects our estimate of the amount of consideration to which we will be entitled, using an expected value method. We base these estimates principally on historical utilization and redemption rates, anticipated performance and our best judgment at the time to the extent that it is probable that a significant reversal of revenue recognized will not occur. Estimates of sales incentives are monitored and adjusted each period until the sales incentives are realized.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consider purchase orders, which in some cases are governed by master supply agreements, to be the contracts with a customer. Key sales terms, such as pricing and quantities ordered, are established frequently, so most customer arrangements and related sales incentives have a duration of one year or shorter. We generally do not have any unbilled receivables at the end of a period. Deferred revenues are not material and primarily include customer advance payments typically collected a few days before product delivery, at which time deferred revenues are reclassified and recorded as net revenues. We generally do not receive non-cash consideration for the sale of goods nor do we grant payment financing terms greater than one year. We do not incur any significant costs to obtain a contract.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Advertising and Research and Development: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promote our products with marketing and advertising programs. These programs include, but are not limited to, cooperative advertising, in-store displays and consumer marketing promotions. The costs of end-consumer marketing programs that are conducted in conjunction with our customers, such as coupons, are recorded as a reduction to revenue. We do not defer these costs on our consolidated balance sheets and all marketing and advertising costs are recorded as an expense in the year incurred. Advertising expense was $79 million, $59 million and $43 million in the years ended December 31, 2023, 2022 and 2021, respectively. We expense product research and development costs as incurred. Research and development expense was $44 million, $38 million and $36 million in the years ended December 31, 2023, 2022 and 2021, respectively. We record marketing and advertising as well as research and development expenses in selling, general and administrative expenses.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Stock-based compensation expense is measured at the grant date based on the fair value of the award and is recognized as expense over the period in which the awards vest in accordance with applicable guidance under Accounting Standards Codification (“ASC”) 718, Compensation—Stock Compensation. In contemplation of us issuing shares to the public, we granted restricted stock units (“RSUs”) in July 2019 to certain members of management, pursuant to retention agreements entered into with these employees. These RSUs vest upon satisfaction of both a performance-based vesting condition, which was satisfied when we completed our IPO on February 4, 2020, and a service-based vesting condition, which was satisfied with respect to one-third of an employee’s RSUs on each anniversary from the date of our IPO for three consecutive years, subject to the employee’s continued employment through the applicable vesting date. We have also granted RSUs to certain members of management and to certain members of our Board of Directors that have a service-based vesting condition. In addition, we have granted performance stock units (“PSUs”) to certain members of management that have a performance-based vesting condition. We account for forfeitures of outstanding but unvested grants in the period they occur.</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manage interest rate risk by using interest rate derivative instruments. Interest rate swaps (pay fixed, receive variable) are entered into as cash flow hedges to manage a portion of the interest rate risk associated with our floating-rate borrowings.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record interest rate derivative instruments at fair value (Level 2) and on a net basis by counterparty based on our master netting arrangements. The fair value of our interest rate derivatives is determined using a discounted cash flow method based on market-based swap yield curves, taking into account current interest rates. The instruments are classified in our consolidated balance sheets in other assets or other liabilities, as applicable. Cash flows from interest rate derivative instruments are classified as operating activities in our consolidated statements of cash flows based on the nature of the derivative instrument. We have elected to use hedge accounting for our interest rate derivative instruments. Accordingly, the effective portion of the gain or loss on the open hedging instrument is recorded in other comprehensive income and is reclassified into earnings as interest expense, net when settled. We terminate derivative instruments if the underlying asset or liability matures or is repaid, or if we determine the underlying forecasted transaction is no longer probable of occurring.</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income tax expense includes amounts payable or refundable for the current year, the effects of deferred taxes and impacts from uncertain tax positions. We recognize deferred tax assets and liabilities for the expected future tax consequences of temporary differences between the financial statement and tax basis of our assets and liabilities, operating loss carryforwards and tax credit carryforwards. Deferred tax assets and liabilities are measured using enacted tax rates expected to apply in the years in which those differences are expected to reverse.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realization of certain deferred tax assets is dependent on generating sufficient taxable income in the appropriate jurisdiction prior to the expiration of the carryforward periods. Deferred tax assets are reduced by a valuation allowance if it is more likely than not that some portion, or all, of the deferred tax assets will not be realized. When assessing the need for a valuation allowance, we consider any carryback potential, future reversals of existing taxable temporary differences (including liabilities for unrecognized tax benefits), future taxable income and tax planning strategies.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the tax benefits from uncertain tax positions only if it is more likely than not that the tax position will be sustained based on the technical merits of the position. The amount we recognize is measured as the largest amount of benefit that is greater than 50 percent likely of being realized upon resolution. Future changes related to the expected resolution of uncertain tax positions could affect tax expense in the period when the change occurs.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 and Disclosures: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GAAP establishes a hierarchy for measuring fair value. A financial instrument’s categorization within the hierarchy is based on the lowest level of input that is significant to the fair value measurement. The following three levels of inputs may be used to measure fair value:</w:t>
      </w:r>
    </w:p>
    <w:p>
      <w:pPr>
        <w:spacing w:after="0" w:line="54" w:lineRule="exact"/>
        <w:rPr>
          <w:sz w:val="20"/>
          <w:szCs w:val="20"/>
          <w:color w:val="auto"/>
        </w:rPr>
      </w:pPr>
    </w:p>
    <w:p>
      <w:pPr>
        <w:ind w:left="440" w:hanging="316"/>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117" w:lineRule="exact"/>
        <w:rPr>
          <w:rFonts w:ascii="Times New Roman" w:cs="Times New Roman" w:eastAsia="Times New Roman" w:hAnsi="Times New Roman"/>
          <w:sz w:val="18"/>
          <w:szCs w:val="18"/>
          <w:color w:val="auto"/>
        </w:rPr>
      </w:pPr>
    </w:p>
    <w:p>
      <w:pPr>
        <w:jc w:val="both"/>
        <w:ind w:left="440" w:hanging="316"/>
        <w:spacing w:after="0" w:line="266" w:lineRule="auto"/>
        <w:tabs>
          <w:tab w:leader="none" w:pos="4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6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in which little or no market data exists, therefore requiring an entity to develop its own assumptions.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assets and liabilities measured at fair value on a recurring basis are presented in Note 8 - Financial Instruments. We had no assets or liabilities measured at fair value on a non-recurring basis in any of the years presented.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fair value disclosure requirements related to financial instruments carried at fair value, accounting standards require disclosures regarding the fair value of all of our financial instruments. The carrying values of cash equivalents, accounts receivables, other receivables, related party receivables, accounts payable, related party payables and accrued and other current liabilities are reasonable estimates of their fair values as of December 31, 2023 and 2022 due to the short-term nature of these instruments.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Guidance: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Financial Accounting Standards Board (“FASB”) issued Accounting Standards Update (“ASU”) 2018-14, </w:t>
      </w:r>
      <w:r>
        <w:rPr>
          <w:rFonts w:ascii="Times New Roman" w:cs="Times New Roman" w:eastAsia="Times New Roman" w:hAnsi="Times New Roman"/>
          <w:sz w:val="18"/>
          <w:szCs w:val="18"/>
          <w:i w:val="1"/>
          <w:iCs w:val="1"/>
          <w:color w:val="auto"/>
        </w:rPr>
        <w:t>Compensation - Retirement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Benefits - Defined Benefit Plans - General (Subtopic 715-20): Disclosure Framework - Changes to the Disclosure Requirements for Defined Benefit Plans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ASU modifies the disclosure requirements for employers that sponsor defined benefit pension or other postretirement plans. This ASU was effective for fiscal years beginning after December 15, 2020, with early adoption permitted. We adopted the standard as of January 1, 2021 with no material impact on our consolidated financial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xml:space="preserve"> (“ASC 740”), which is intended to simplify various aspects related to accounting for income taxes. This ASU removes certain exceptions to the general principles in Topic 740 and also clarifies and amends existing guidance to improve consistent application. This ASU was effective for fiscal years beginning after December 15, 2020, with early adoption permitted. We adopted the standard as of January 1, 2021 with no material impact on our consolidated financial statements.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and subsequently in January 2021, the FASB issued ASU 2021-01,</w:t>
      </w:r>
      <w:r>
        <w:rPr>
          <w:rFonts w:ascii="Times New Roman" w:cs="Times New Roman" w:eastAsia="Times New Roman" w:hAnsi="Times New Roman"/>
          <w:sz w:val="18"/>
          <w:szCs w:val="18"/>
          <w:i w:val="1"/>
          <w:iCs w:val="1"/>
          <w:color w:val="auto"/>
        </w:rPr>
        <w:t xml:space="preserve"> Reference Rate Reform (Topic 848): Scope</w:t>
      </w:r>
      <w:r>
        <w:rPr>
          <w:rFonts w:ascii="Times New Roman" w:cs="Times New Roman" w:eastAsia="Times New Roman" w:hAnsi="Times New Roman"/>
          <w:sz w:val="18"/>
          <w:szCs w:val="18"/>
          <w:color w:val="auto"/>
        </w:rPr>
        <w:t>, both of which provide optional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expedients to applying the guidance on contract modifications, hedge accounting, and other transactions, to simplify the accounting for transitioning from the London Interbank Offered Rate (“LIBOR”), and other interbank offered rates expected to be discontinued, to alternative reference rates. Each of these ASUs were effective upon its issuance and could be applied prospectively through December 31, 2022. In December 2022, the FASB issued ASU 2022-06, </w:t>
      </w:r>
      <w:r>
        <w:rPr>
          <w:rFonts w:ascii="Times New Roman" w:cs="Times New Roman" w:eastAsia="Times New Roman" w:hAnsi="Times New Roman"/>
          <w:sz w:val="18"/>
          <w:szCs w:val="18"/>
          <w:i w:val="1"/>
          <w:iCs w:val="1"/>
          <w:color w:val="auto"/>
        </w:rPr>
        <w:t>Reference Rate Reform (Topic 848): Deferral of the Sunset Date of Topic 848</w:t>
      </w:r>
      <w:r>
        <w:rPr>
          <w:rFonts w:ascii="Times New Roman" w:cs="Times New Roman" w:eastAsia="Times New Roman" w:hAnsi="Times New Roman"/>
          <w:sz w:val="18"/>
          <w:szCs w:val="18"/>
          <w:color w:val="auto"/>
        </w:rPr>
        <w:t>, which amended the sunset date of the guidance in Topic 848 to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from December 31, 2022. We adopted the standards as of January 1, 2023. As a result of the planned phase out of the LIBOR as a reference rate and adoption of ASU 2020-04 and ASU 2021-01, in February 2023 we amended our external debt facilities and related interest rate swaps to replace the interest rate benchmark from LIBOR to the Secured Overnight Financing Rate (“SOFR”), and applied practical expedients under the guidance. The adoption of these ASUs did not have a material impact on our consolidated financial statements.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2022, FASB issued ASU 2022-04, </w:t>
      </w:r>
      <w:r>
        <w:rPr>
          <w:rFonts w:ascii="Times New Roman" w:cs="Times New Roman" w:eastAsia="Times New Roman" w:hAnsi="Times New Roman"/>
          <w:sz w:val="18"/>
          <w:szCs w:val="18"/>
          <w:i w:val="1"/>
          <w:iCs w:val="1"/>
          <w:color w:val="auto"/>
        </w:rPr>
        <w:t>Liabilities - Supplier Finance Programs (Subtopic 405-50): Disclosure of Supplier Finance Program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These amendments require disclosure of the key terms of outstanding supplier finance programs and a rollforward of the related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amendments were effective for fiscal years beginning after December 31, 2022, except for the amendment on rollforward information, which is effective for fiscal years beginning after December 31, 2023. We adopted the standard, other than the amendment on rollforward information, as of January 1, 2023. The adoption relates to disclosure only, and does not have an impact on the amounts recognized in our consolidated financial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Guidance: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FASB issued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which enhances disclosures about significant segment expenses by requiring disclosure of incremental segment information on an annual and interim basis. This ASU is effective for fiscal years beginning after December 15, 2023, and interim periods within fiscal years beginning after December 15, 2024, with early adoption permitted. We are currently assessing the impact of this standard on our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which enhances disclosures within the income tax rate reconciliation and information disclosed related to income taxes paid, and requires disaggregation of certain financial statement captions between domestic, foreign, federal and state. This ASU is effective for annual periods beginning after December 15, 2024, with early adoption permitted. We are currently assessing the impact of this standard on our consolidated financial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2"/>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5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Spare parts</w:t>
            </w:r>
          </w:p>
        </w:tc>
        <w:tc>
          <w:tcPr>
            <w:tcW w:w="8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w:t>
            </w:r>
          </w:p>
        </w:tc>
        <w:tc>
          <w:tcPr>
            <w:tcW w:w="2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Property, Plant and Equipment, Net</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82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8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2"/>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5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8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5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0" w:type="dxa"/>
            <w:vAlign w:val="bottom"/>
          </w:tcPr>
          <w:p>
            <w:pPr>
              <w:spacing w:after="0"/>
              <w:rPr>
                <w:sz w:val="1"/>
                <w:szCs w:val="1"/>
                <w:color w:val="auto"/>
              </w:rPr>
            </w:pPr>
          </w:p>
        </w:tc>
      </w:tr>
      <w:tr>
        <w:trPr>
          <w:trHeight w:val="25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7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732</w:t>
            </w:r>
          </w:p>
        </w:tc>
        <w:tc>
          <w:tcPr>
            <w:tcW w:w="2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expense was $93 million, $86 million and $78 million for the years ended December 31, 2023, 2022 and 2021, respectively, of which $82 million, $76 million and $70 million, respectively, was recognized in cost of sales and $11 million, $10 million and $8 million, respectively, was recognized in selling, general and administrative expenses.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Goodwill and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by reportable segment was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Cooking &amp;</w:t>
            </w:r>
          </w:p>
        </w:tc>
        <w:tc>
          <w:tcPr>
            <w:tcW w:w="20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Hefty Waste</w:t>
            </w:r>
          </w:p>
        </w:tc>
        <w:tc>
          <w:tcPr>
            <w:tcW w:w="22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6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4"/>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Baking</w:t>
            </w: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&amp; Storage</w:t>
            </w:r>
          </w:p>
        </w:tc>
        <w:tc>
          <w:tcPr>
            <w:tcW w:w="22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2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320" w:type="dxa"/>
            <w:vAlign w:val="bottom"/>
          </w:tcPr>
          <w:p>
            <w:pPr>
              <w:spacing w:after="0"/>
              <w:rPr>
                <w:sz w:val="17"/>
                <w:szCs w:val="17"/>
                <w:color w:val="auto"/>
              </w:rPr>
            </w:pP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1,879</w:t>
            </w:r>
          </w:p>
        </w:tc>
      </w:tr>
      <w:tr>
        <w:trPr>
          <w:trHeight w:val="250"/>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Movements</w:t>
            </w:r>
          </w:p>
        </w:tc>
        <w:tc>
          <w:tcPr>
            <w:tcW w:w="2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1,879</w:t>
            </w:r>
          </w:p>
        </w:tc>
      </w:tr>
      <w:tr>
        <w:trPr>
          <w:trHeight w:val="257"/>
        </w:trPr>
        <w:tc>
          <w:tcPr>
            <w:tcW w:w="3940" w:type="dxa"/>
            <w:vAlign w:val="bottom"/>
          </w:tcPr>
          <w:p>
            <w:pPr>
              <w:ind w:left="220"/>
              <w:spacing w:after="0" w:line="256" w:lineRule="exact"/>
              <w:rPr>
                <w:sz w:val="20"/>
                <w:szCs w:val="20"/>
                <w:color w:val="auto"/>
              </w:rPr>
            </w:pPr>
            <w:r>
              <w:rPr>
                <w:rFonts w:ascii="Times New Roman" w:cs="Times New Roman" w:eastAsia="Times New Roman" w:hAnsi="Times New Roman"/>
                <w:sz w:val="18"/>
                <w:szCs w:val="18"/>
                <w:color w:val="auto"/>
              </w:rPr>
              <w:t xml:space="preserve">Acquisition of business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6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794</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1,895</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040" w:firstLine="8"/>
        <w:spacing w:after="0" w:line="282"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we recognized $16 million of provisional goodwill associated with the acquisition of Atacama Manufacturing Inc. The acquisition did not have a material impact on our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60" w:type="dxa"/>
            <w:vAlign w:val="bottom"/>
            <w:gridSpan w:val="6"/>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60" w:type="dxa"/>
            <w:vAlign w:val="bottom"/>
            <w:gridSpan w:val="6"/>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860" w:type="dxa"/>
            <w:vAlign w:val="bottom"/>
          </w:tcPr>
          <w:p>
            <w:pPr>
              <w:spacing w:after="0"/>
              <w:rPr>
                <w:sz w:val="16"/>
                <w:szCs w:val="16"/>
                <w:color w:val="auto"/>
              </w:rPr>
            </w:pPr>
          </w:p>
        </w:tc>
      </w:tr>
      <w:tr>
        <w:trPr>
          <w:trHeight w:val="23"/>
        </w:trPr>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5"/>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5"/>
        </w:trPr>
        <w:tc>
          <w:tcPr>
            <w:tcW w:w="3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4"/>
        </w:trPr>
        <w:tc>
          <w:tcPr>
            <w:tcW w:w="3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7"/>
                <w:szCs w:val="17"/>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300" w:type="dxa"/>
            <w:vAlign w:val="bottom"/>
          </w:tcPr>
          <w:p>
            <w:pPr>
              <w:spacing w:after="0"/>
              <w:rPr>
                <w:sz w:val="17"/>
                <w:szCs w:val="17"/>
                <w:color w:val="auto"/>
              </w:rPr>
            </w:pPr>
          </w:p>
        </w:tc>
        <w:tc>
          <w:tcPr>
            <w:tcW w:w="7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7"/>
                <w:szCs w:val="17"/>
                <w:color w:val="auto"/>
              </w:rPr>
            </w:pPr>
          </w:p>
        </w:tc>
        <w:tc>
          <w:tcPr>
            <w:tcW w:w="8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3"/>
        </w:trPr>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5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6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finite-lived intangible assets</w:t>
            </w:r>
          </w:p>
        </w:tc>
        <w:tc>
          <w:tcPr>
            <w:tcW w:w="2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w:t>
            </w:r>
          </w:p>
        </w:tc>
        <w:tc>
          <w:tcPr>
            <w:tcW w:w="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1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w:t>
            </w:r>
          </w:p>
        </w:tc>
        <w:tc>
          <w:tcPr>
            <w:tcW w:w="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(424)</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r>
      <w:tr>
        <w:trPr>
          <w:trHeight w:val="26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5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7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1,455</w:t>
            </w: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1,001</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1,455</w:t>
            </w: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1,031</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$30 million for the year ended December 31, 2023, and $31 million for each of the years ended December 31, 2022 and 2021, and has been recognized in selling, general and administrative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annual amortization for intangible assets over the next five calendar years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2028</w:t>
            </w:r>
          </w:p>
        </w:tc>
      </w:tr>
      <w:tr>
        <w:trPr>
          <w:trHeight w:val="23"/>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annual amortization</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513"/>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2"/>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6"/>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24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w:t>
            </w: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transaction costs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7"/>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Original issue discounts</w:t>
            </w: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8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r>
      <w:tr>
        <w:trPr>
          <w:trHeight w:val="263"/>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1,832</w:t>
            </w:r>
          </w:p>
        </w:tc>
        <w:tc>
          <w:tcPr>
            <w:tcW w:w="24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2,066</w:t>
            </w:r>
          </w:p>
        </w:tc>
      </w:tr>
      <w:tr>
        <w:trPr>
          <w:trHeight w:val="27"/>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2020, we entered into new external debt facilities (“External Debt Facilities”), which consist of (i) a $2,475 million senior secured term loan facility (“Term Loan Facility”); and (ii) a $250 million senior secured revolving credit facility (“Revolving Facility”). In February 2023, we amended the External Debt Facilities (“Amendment No. 1”) which replaced the interest rate benchmark from LIBOR to the SOFR. Additionally, in November 2023, we further amended the External Debt Facilities (“Amendment No. 2”) to extend the maturity of the Revolving Facility by one year. Other than the foregoing, the material terms of the External Debt Facilities, as amended by Amendment No. 1 and Amendment No. 2 (“Amended External Debt Facilities”) remained unchanged, and our election to use practical expedients under ASU 2020-04 and ASU 2021-01, as described in Note 2 - Summary of Significant Accounting Policies, resulted in no material impacts on our condensed consolidated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Amended External Debt Facilities bear interest at a rate per annum equal to, at our option, either a base rate plus an applicable margin of 0.75% or a SOFR plus an applicable margin of 1.75%. We have entered into a series of interest rate swaps to hedge a portion of the interest rate exposure resulting from these borrowings. Refer to Note 8 – Financial Instruments for further details.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 We are currently in compliance with the covenants contained in our External Debt Facilities.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Amended External Debt Facilities are entitled to take various actions, including the acceleration of amounts due under the Amended External Debt Facilities and all actions permitted to be taken by secured creditors.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Loan Facility matures in February 2027. The Term Loan Facility amortizes in equal quarterly installments of $6 million, which commenced in June 2020, with the balance payable on maturity. During the year ended December 31, 2023, we made voluntary principal payments of $250 million on our Term Loan Facility, which were first applied to pay the remaining quarterly amortization payments in full, with the residual balance applied to the outstanding principal balance due at maturity. During the year ended December 31, 2021, we made voluntary principal payments of $100 million on our Term Loan Facility, which were applied to the outstanding principal balance.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Facility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we amended the External Debt Facilities to extend the maturity date of the Revolving Facility by one year. The Revolving Facility matures in February 2026 and includes a sub-facility for letters of credit. As of December 31, 2023, we had no outstanding borrowings under the Revolving Facility, and we had $6 million of letters of credit outstanding, which reduces the borrowing capacity under the Revolving Facility.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Our Long-Term Debt</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our long-term debt as of December 31, 2023, which is a Level 2 fair value measurement, approximates the carrying value due to the variable market interest rate and the stability of our credit profile.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20" w:type="dxa"/>
            <w:vAlign w:val="bottom"/>
            <w:gridSpan w:val="8"/>
          </w:tcPr>
          <w:p>
            <w:pPr>
              <w:jc w:val="center"/>
              <w:ind w:right="83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2"/>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Term Loan Facility</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5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transaction costs</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 (benefit) expense</w:t>
            </w:r>
          </w:p>
        </w:tc>
        <w:tc>
          <w:tcPr>
            <w:tcW w:w="9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5"/>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76</w:t>
            </w: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Scheduled Maturities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7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Below is a schedule of required future repayments on our debt outstanding as of December 31, 2023:</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67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0" w:type="dxa"/>
            <w:vAlign w:val="bottom"/>
          </w:tcPr>
          <w:p>
            <w:pPr>
              <w:spacing w:after="0"/>
              <w:rPr>
                <w:sz w:val="1"/>
                <w:szCs w:val="1"/>
                <w:color w:val="auto"/>
              </w:rPr>
            </w:pPr>
          </w:p>
        </w:tc>
      </w:tr>
      <w:tr>
        <w:trPr>
          <w:trHeight w:val="27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9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lease certain buildings and plant and equipment. Our leases have reasonably assured remaining lease terms of up to 13 years. Certain leases include options to renew for up to 15 years. At lease inception, we determine the lease term by assuming the exercise of those renewal options that are reasonably certain. Some leases have variable payments, however, because they are not based on an index or rate, they are not included in the measurement of ROU assets and lease liabilities. Variable payments for real estate leases relate primarily to common area maintenance, insurance, taxes and utilities associated with the properties. Variable payments for equipment leases relate primarily to hours, miles, or other quantifiable usage factors, which are not determinable at the time of lease inception. These variable payments are expensed as incurred. The discount rate applied to our leases in determining the present value of lease payments is our incremental borrowing rate based on the information available at the commencement date. Leases with an initial term of 12 months or less are not recorded in our consolidated balance sheets and we recognize lease expense for these leases on a straight-line basis over the lease term.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2"/>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9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96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lease costs</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20" w:type="dxa"/>
            <w:vAlign w:val="bottom"/>
          </w:tcPr>
          <w:p>
            <w:pPr>
              <w:spacing w:after="0"/>
              <w:rPr>
                <w:sz w:val="21"/>
                <w:szCs w:val="21"/>
                <w:color w:val="auto"/>
              </w:rPr>
            </w:pP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4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7"/>
        </w:trPr>
        <w:tc>
          <w:tcPr>
            <w:tcW w:w="6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Lease costs related to the amortization of finance lease assets and interest on finance lease liabilities were not material for the years ended December 31, 2023, 2022 and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lease payments under non-cancellable leases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5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55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400" w:type="dxa"/>
            <w:vAlign w:val="bottom"/>
          </w:tcPr>
          <w:p>
            <w:pPr>
              <w:spacing w:after="0"/>
              <w:rPr>
                <w:sz w:val="16"/>
                <w:szCs w:val="16"/>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5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5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40" w:type="dxa"/>
            <w:vAlign w:val="bottom"/>
            <w:shd w:val="clear" w:color="auto" w:fill="CCEEFF"/>
          </w:tcPr>
          <w:p>
            <w:pPr>
              <w:jc w:val="right"/>
              <w:ind w:right="12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5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6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4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6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4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undiscounted lease payments</w:t>
            </w:r>
          </w:p>
        </w:tc>
        <w:tc>
          <w:tcPr>
            <w:tcW w:w="144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r>
      <w:tr>
        <w:trPr>
          <w:trHeight w:val="25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4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Present value of lease liabilities</w:t>
            </w:r>
          </w:p>
        </w:tc>
        <w:tc>
          <w:tcPr>
            <w:tcW w:w="1440" w:type="dxa"/>
            <w:vAlign w:val="bottom"/>
            <w:tcBorders>
              <w:bottom w:val="single" w:sz="8" w:color="auto"/>
            </w:tcBorders>
            <w:shd w:val="clear" w:color="auto" w:fill="CCEEFF"/>
          </w:tcPr>
          <w:p>
            <w:pPr>
              <w:jc w:val="right"/>
              <w:ind w:right="1236"/>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December 31, 2023, we had an additional $55 million in commitments related to operating leases executed that have not yet commenced. The leases are expected to commence during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liabilities and ROU assets included in our consolidated balance sheets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40" w:type="dxa"/>
            <w:vAlign w:val="bottom"/>
          </w:tcPr>
          <w:p>
            <w:pPr>
              <w:spacing w:after="0"/>
              <w:rPr>
                <w:sz w:val="16"/>
                <w:szCs w:val="16"/>
                <w:color w:val="auto"/>
              </w:rPr>
            </w:pPr>
          </w:p>
        </w:tc>
      </w:tr>
      <w:tr>
        <w:trPr>
          <w:trHeight w:val="23"/>
        </w:trPr>
        <w:tc>
          <w:tcPr>
            <w:tcW w:w="31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31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2"/>
        </w:trPr>
        <w:tc>
          <w:tcPr>
            <w:tcW w:w="31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2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16"/>
                <w:szCs w:val="16"/>
                <w:color w:val="auto"/>
              </w:rPr>
            </w:pPr>
          </w:p>
        </w:tc>
      </w:tr>
      <w:tr>
        <w:trPr>
          <w:trHeight w:val="23"/>
        </w:trPr>
        <w:tc>
          <w:tcPr>
            <w:tcW w:w="31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44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6"/>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4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4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22"/>
                <w:szCs w:val="22"/>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44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7"/>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442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68"/>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24"/>
        </w:trPr>
        <w:tc>
          <w:tcPr>
            <w:tcW w:w="31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44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4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Other assets</w:t>
            </w:r>
          </w:p>
        </w:tc>
        <w:tc>
          <w:tcPr>
            <w:tcW w:w="114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2"/>
                <w:szCs w:val="22"/>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44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6"/>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442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Other liabilities</w:t>
            </w: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9"/>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4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and 2022, new leases and lease modifications resulted in the recognition of operating ROU assets and corresponding operating lease liabilities totaling $6 million and $23 million, respectively. During the years ended December 31, 2023 and 2022, new leases resulted in the recognition of finance lease ROU assets and corresponding finance lease liabilities totaling $6 million and $12 million, respectively.</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2022 and 2021, cash flows from operating activities in the consolidated statements of cash flows reflected $18 million, $17 million and $15 million, respectively, of payments for operating lease liabilities. Payments for finance lease liabilities in the years ended December 31, 2023, 2022 and 2021 were not material.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4080" w:type="dxa"/>
            <w:vAlign w:val="bottom"/>
            <w:gridSpan w:val="5"/>
          </w:tcPr>
          <w:p>
            <w:pPr>
              <w:jc w:val="right"/>
              <w:ind w:right="14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3"/>
        </w:trPr>
        <w:tc>
          <w:tcPr>
            <w:tcW w:w="7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r>
      <w:tr>
        <w:trPr>
          <w:trHeight w:val="190"/>
        </w:trPr>
        <w:tc>
          <w:tcPr>
            <w:tcW w:w="716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2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CCEEFF"/>
            </w:tcBorders>
          </w:tcPr>
          <w:p>
            <w:pPr>
              <w:spacing w:after="0"/>
              <w:rPr>
                <w:sz w:val="16"/>
                <w:szCs w:val="16"/>
                <w:color w:val="auto"/>
              </w:rPr>
            </w:pPr>
          </w:p>
        </w:tc>
        <w:tc>
          <w:tcPr>
            <w:tcW w:w="174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320" w:type="dxa"/>
            <w:vAlign w:val="bottom"/>
            <w:tcBorders>
              <w:bottom w:val="single" w:sz="8" w:color="CCEEFF"/>
            </w:tcBorders>
          </w:tcPr>
          <w:p>
            <w:pPr>
              <w:spacing w:after="0"/>
              <w:rPr>
                <w:sz w:val="16"/>
                <w:szCs w:val="16"/>
                <w:color w:val="auto"/>
              </w:rPr>
            </w:pPr>
          </w:p>
        </w:tc>
      </w:tr>
      <w:tr>
        <w:trPr>
          <w:trHeight w:val="25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4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4.24</w:t>
            </w:r>
          </w:p>
        </w:tc>
        <w:tc>
          <w:tcPr>
            <w:tcW w:w="28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320" w:type="dxa"/>
            <w:vAlign w:val="bottom"/>
            <w:shd w:val="clear" w:color="auto" w:fill="CCEEFF"/>
          </w:tcPr>
          <w:p>
            <w:pPr>
              <w:spacing w:after="0"/>
              <w:rPr>
                <w:sz w:val="22"/>
                <w:szCs w:val="22"/>
                <w:color w:val="auto"/>
              </w:rPr>
            </w:pPr>
          </w:p>
        </w:tc>
      </w:tr>
      <w:tr>
        <w:trPr>
          <w:trHeight w:val="261"/>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5.01 %</w:t>
            </w:r>
          </w:p>
        </w:tc>
        <w:tc>
          <w:tcPr>
            <w:tcW w:w="2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5.52 </w:t>
            </w:r>
            <w:r>
              <w:rPr>
                <w:rFonts w:ascii="Arial" w:cs="Arial" w:eastAsia="Arial" w:hAnsi="Arial"/>
                <w:sz w:val="18"/>
                <w:szCs w:val="18"/>
                <w:color w:val="auto"/>
              </w:rPr>
              <w:t>%</w:t>
            </w: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2020 and 2022, we entered into a series of interest rate swaps to fix the LIBOR of our External Debt Facilities. In February 2023, we amended our interest rate swaps to replace the interest rate benchmark from LIBOR to SOFR. Other than the foregoing, the material terms of the interest rate swap agreements remain unchanged, and our election to use practical expedients under ASUs 2020-04 and 2021-01, as described in Note 2 - Summary of Significant Accounting Policies, resulted in no material impacts on our condensed consolidated financial statements. The aggregate notional amount of the interest rate swaps still in effect as of December 31, 2023 was $1,150 million, and the SOFR is fixed at an annual rate of 0.40% to 3.40% (for an annual effective interest rate of 2.15% to 5.15%, including margin).</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interest rate swaps outstanding as of December 31, 2023 hedge a portion of the interest rate exposure resulting from our Term Loan Facility for periods ranging from two to three years. We classified these instruments as cash flow hedges.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notional amounts, the annual rates, the weighted average annual effective rates, and the fair value of our interest rate derivatives: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Annual Rate</w:t>
            </w: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3"/>
                <w:szCs w:val="13"/>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 - Other</w:t>
            </w:r>
          </w:p>
        </w:tc>
        <w:tc>
          <w:tcPr>
            <w:tcW w:w="1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 Other Assets</w:t>
            </w:r>
          </w:p>
        </w:tc>
        <w:tc>
          <w:tcPr>
            <w:tcW w:w="0" w:type="dxa"/>
            <w:vAlign w:val="bottom"/>
          </w:tcPr>
          <w:p>
            <w:pPr>
              <w:spacing w:after="0"/>
              <w:rPr>
                <w:sz w:val="1"/>
                <w:szCs w:val="1"/>
                <w:color w:val="auto"/>
              </w:rPr>
            </w:pPr>
          </w:p>
        </w:tc>
      </w:tr>
      <w:tr>
        <w:trPr>
          <w:trHeight w:val="11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1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Annual Effective Rate</w:t>
            </w:r>
          </w:p>
        </w:tc>
        <w:tc>
          <w:tcPr>
            <w:tcW w:w="160" w:type="dxa"/>
            <w:vAlign w:val="bottom"/>
          </w:tcPr>
          <w:p>
            <w:pPr>
              <w:spacing w:after="0"/>
              <w:rPr>
                <w:sz w:val="9"/>
                <w:szCs w:val="9"/>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2.15% to 5.15%</w:t>
            </w:r>
          </w:p>
        </w:tc>
        <w:tc>
          <w:tcPr>
            <w:tcW w:w="14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4.38%</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0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2022</w:t>
            </w:r>
            <w:r>
              <w:rPr>
                <w:rFonts w:ascii="Times New Roman" w:cs="Times New Roman" w:eastAsia="Times New Roman" w:hAnsi="Times New Roman"/>
                <w:sz w:val="23"/>
                <w:szCs w:val="23"/>
                <w:color w:val="auto"/>
                <w:vertAlign w:val="superscript"/>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80" w:type="dxa"/>
            <w:vAlign w:val="bottom"/>
          </w:tcPr>
          <w:p>
            <w:pPr>
              <w:spacing w:after="0"/>
              <w:rPr>
                <w:sz w:val="24"/>
                <w:szCs w:val="24"/>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2.19% to 5.19%</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Based on the interest rate swaps prior to the amendments entered into in February 2023, which was based on the LIBOR as of December 31,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Benefit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Plan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defined benefit plan for certain of our employees, which is non-contributory and eligible employees are fully vested after five years of service.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the liability of the defined benefit plan on our consolidated balance sheets as of December 31, 2023 and 2022 was not material.</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offer defined contribution plans to eligible employees in the United States as well as employees in certain other countries. Our expense relating to defined contribution plans was $29 million, $27 million and $26 million for the years ended December 31, 2023, 2022 and 2021, respectively.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Postretirement Benefit Plan</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Certain of our employees in the United States participate in a postretirement benefit plan. Our postretirement benefit plan is not funded. The changes in and the amount of the accumulated postretirement benefit obligation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9"/>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gridSpan w:val="7"/>
          </w:tcPr>
          <w:p>
            <w:pPr>
              <w:jc w:val="center"/>
              <w:ind w:right="61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postretirement benefit obligation as of January 1</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5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6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gains</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(18)</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4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postretirement benefit obligation as of December 31</w:t>
            </w: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spacing w:after="0"/>
              <w:rPr>
                <w:sz w:val="21"/>
                <w:szCs w:val="21"/>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34</w:t>
            </w:r>
          </w:p>
        </w:tc>
        <w:tc>
          <w:tcPr>
            <w:tcW w:w="0" w:type="dxa"/>
            <w:vAlign w:val="bottom"/>
          </w:tcPr>
          <w:p>
            <w:pPr>
              <w:spacing w:after="0"/>
              <w:rPr>
                <w:sz w:val="1"/>
                <w:szCs w:val="1"/>
                <w:color w:val="auto"/>
              </w:rPr>
            </w:pPr>
          </w:p>
        </w:tc>
      </w:tr>
      <w:tr>
        <w:trPr>
          <w:trHeight w:val="27"/>
        </w:trPr>
        <w:tc>
          <w:tcPr>
            <w:tcW w:w="65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w w:val="99"/>
              </w:rPr>
              <w:t>The accrued benefit obligation was included in our consolidated balance sheets as follows:</w:t>
            </w: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6540" w:type="dxa"/>
            <w:vAlign w:val="bottom"/>
            <w:gridSpan w:val="5"/>
            <w:vMerge w:val="continue"/>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9"/>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gridSpan w:val="7"/>
          </w:tcPr>
          <w:p>
            <w:pPr>
              <w:jc w:val="center"/>
              <w:ind w:right="61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postretirement benefit obligation</w:t>
            </w: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0"/>
        </w:trPr>
        <w:tc>
          <w:tcPr>
            <w:tcW w:w="4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4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34</w:t>
            </w:r>
          </w:p>
        </w:tc>
        <w:tc>
          <w:tcPr>
            <w:tcW w:w="0" w:type="dxa"/>
            <w:vAlign w:val="bottom"/>
          </w:tcPr>
          <w:p>
            <w:pPr>
              <w:spacing w:after="0"/>
              <w:rPr>
                <w:sz w:val="1"/>
                <w:szCs w:val="1"/>
                <w:color w:val="auto"/>
              </w:rPr>
            </w:pPr>
          </w:p>
        </w:tc>
      </w:tr>
      <w:tr>
        <w:trPr>
          <w:trHeight w:val="20"/>
        </w:trPr>
        <w:tc>
          <w:tcPr>
            <w:tcW w:w="612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8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 portion of our accrued benefit obligation has been recorded in accumulated other comprehensive income as follows: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Changes</w:t>
            </w:r>
          </w:p>
        </w:tc>
        <w:tc>
          <w:tcPr>
            <w:tcW w:w="140" w:type="dxa"/>
            <w:vAlign w:val="bottom"/>
          </w:tcPr>
          <w:p>
            <w:pPr>
              <w:spacing w:after="0"/>
              <w:rPr>
                <w:sz w:val="16"/>
                <w:szCs w:val="16"/>
                <w:color w:val="auto"/>
              </w:rPr>
            </w:pPr>
          </w:p>
        </w:tc>
        <w:tc>
          <w:tcPr>
            <w:tcW w:w="620" w:type="dxa"/>
            <w:vAlign w:val="bottom"/>
            <w:gridSpan w:val="2"/>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Changes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actuarial gain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22"/>
                <w:szCs w:val="22"/>
                <w:color w:val="auto"/>
              </w:rPr>
            </w:pPr>
          </w:p>
        </w:tc>
        <w:tc>
          <w:tcPr>
            <w:tcW w:w="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w:t>
            </w:r>
          </w:p>
        </w:tc>
        <w:tc>
          <w:tcPr>
            <w:tcW w:w="140" w:type="dxa"/>
            <w:vAlign w:val="bottom"/>
            <w:shd w:val="clear" w:color="auto" w:fill="CFF0FC"/>
          </w:tcPr>
          <w:p>
            <w:pPr>
              <w:spacing w:after="0"/>
              <w:rPr>
                <w:sz w:val="22"/>
                <w:szCs w:val="22"/>
                <w:color w:val="auto"/>
              </w:rPr>
            </w:pPr>
          </w:p>
        </w:tc>
        <w:tc>
          <w:tcPr>
            <w:tcW w:w="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75"/>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gridSpan w:val="3"/>
            <w:shd w:val="clear" w:color="auto" w:fill="CFF0FC"/>
          </w:tcPr>
          <w:p>
            <w:pPr>
              <w:ind w:left="760"/>
              <w:spacing w:after="0"/>
              <w:rPr>
                <w:sz w:val="20"/>
                <w:szCs w:val="20"/>
                <w:color w:val="auto"/>
              </w:rPr>
            </w:pPr>
            <w:r>
              <w:rPr>
                <w:rFonts w:ascii="Times New Roman" w:cs="Times New Roman" w:eastAsia="Times New Roman" w:hAnsi="Times New Roman"/>
                <w:sz w:val="18"/>
                <w:szCs w:val="18"/>
                <w:b w:val="1"/>
                <w:bCs w:val="1"/>
                <w:color w:val="auto"/>
              </w:rPr>
              <w:t>23</w:t>
            </w:r>
          </w:p>
        </w:tc>
        <w:tc>
          <w:tcPr>
            <w:tcW w:w="12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3"/>
                <w:szCs w:val="23"/>
                <w:color w:val="auto"/>
              </w:rPr>
            </w:pPr>
          </w:p>
        </w:tc>
        <w:tc>
          <w:tcPr>
            <w:tcW w:w="40" w:type="dxa"/>
            <w:vAlign w:val="bottom"/>
            <w:tcBorders>
              <w:bottom w:val="single" w:sz="8" w:color="auto"/>
            </w:tcBorders>
            <w:shd w:val="clear" w:color="auto" w:fill="CFF0FC"/>
          </w:tcPr>
          <w:p>
            <w:pPr>
              <w:spacing w:after="0"/>
              <w:rPr>
                <w:sz w:val="23"/>
                <w:szCs w:val="23"/>
                <w:color w:val="auto"/>
              </w:rPr>
            </w:pPr>
          </w:p>
        </w:tc>
        <w:tc>
          <w:tcPr>
            <w:tcW w:w="40" w:type="dxa"/>
            <w:vAlign w:val="bottom"/>
            <w:tcBorders>
              <w:bottom w:val="single" w:sz="8" w:color="auto"/>
            </w:tcBorders>
            <w:shd w:val="clear" w:color="auto" w:fill="CFF0FC"/>
          </w:tcPr>
          <w:p>
            <w:pPr>
              <w:spacing w:after="0"/>
              <w:rPr>
                <w:sz w:val="23"/>
                <w:szCs w:val="23"/>
                <w:color w:val="auto"/>
              </w:rPr>
            </w:pPr>
          </w:p>
        </w:tc>
        <w:tc>
          <w:tcPr>
            <w:tcW w:w="2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4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34</w:t>
            </w: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auto"/>
            </w:tcBorders>
            <w:gridSpan w:val="2"/>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auto"/>
            </w:tcBorders>
            <w:gridSpan w:val="2"/>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bottom w:val="single" w:sz="8" w:color="auto"/>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6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We used the following weighted-average assumptions to determine our postretirement benefit obligations:</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bottom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4.95</w:t>
            </w:r>
          </w:p>
        </w:tc>
        <w:tc>
          <w:tcPr>
            <w:tcW w:w="2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5"/>
              </w:rPr>
              <w:t>5.18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care cost trend rate assumed for next year</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8.00</w:t>
            </w:r>
          </w:p>
        </w:tc>
        <w:tc>
          <w:tcPr>
            <w:tcW w:w="2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5"/>
              </w:rPr>
              <w:t>7.00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Ultimate trend rate</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4.50</w:t>
            </w:r>
          </w:p>
        </w:tc>
        <w:tc>
          <w:tcPr>
            <w:tcW w:w="2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5"/>
              </w:rPr>
              <w:t>4.50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4"/>
              </w:rPr>
              <w:t>2033</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4"/>
              </w:rPr>
              <w:t>2032</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year-end discount rate for our plan reflects a weighted-average rate from a high-quality corporate bond yield curve that matches the expected duration of the benefit payments. Changes in our discount rates were primarily the result of changes in bond yields year-over-year. Our expected health care cost trend rate is based on historical costs and long-term expectations. We also review our participation rates based on historical actual and expected trends on an annual basis. An update to the participation rate assumption was the primary driver of the actuarial gain in the year ended December 31, 2023.</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Net Periodic Postretirement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net periodic pension and postretirement benefit cost for each of the years ended December 31, 2023, 2022 and 2021 was not material.</w:t>
      </w:r>
    </w:p>
    <w:p>
      <w:pPr>
        <w:sectPr>
          <w:pgSz w:w="11900" w:h="16838" w:orient="portrait"/>
          <w:cols w:equalWidth="0" w:num="1">
            <w:col w:w="11240"/>
          </w:cols>
          <w:pgMar w:left="320" w:top="121" w:right="3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used the following weighted-average assumptions to determine our net periodic postretirement health care cost:</w:t>
      </w:r>
    </w:p>
    <w:p>
      <w:pPr>
        <w:spacing w:after="0" w:line="25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33655</wp:posOffset>
            </wp:positionV>
            <wp:extent cx="29400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gridSpan w:val="2"/>
          </w:tcPr>
          <w:p>
            <w:pPr>
              <w:ind w:left="68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4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6"/>
                <w:szCs w:val="16"/>
                <w:color w:val="auto"/>
              </w:rPr>
            </w:pPr>
          </w:p>
        </w:tc>
      </w:tr>
      <w:tr>
        <w:trPr>
          <w:trHeight w:val="23"/>
        </w:trPr>
        <w:tc>
          <w:tcPr>
            <w:tcW w:w="6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r>
      <w:tr>
        <w:trPr>
          <w:trHeight w:val="25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5.18 %</w:t>
            </w:r>
          </w:p>
        </w:tc>
        <w:tc>
          <w:tcPr>
            <w:tcW w:w="9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2.90 %</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2.54 %</w:t>
            </w:r>
          </w:p>
        </w:tc>
      </w:tr>
      <w:tr>
        <w:trPr>
          <w:trHeight w:val="257"/>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Health care cost trend rate assumed for next year</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7.00 %</w:t>
            </w:r>
          </w:p>
        </w:tc>
        <w:tc>
          <w:tcPr>
            <w:tcW w:w="90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6.60 %</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6.90 %</w:t>
            </w:r>
          </w:p>
        </w:tc>
      </w:tr>
      <w:tr>
        <w:trPr>
          <w:trHeight w:val="256"/>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Ultimate trend rate</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4.50 %</w:t>
            </w:r>
          </w:p>
        </w:tc>
        <w:tc>
          <w:tcPr>
            <w:tcW w:w="9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4.50 %</w:t>
            </w: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4.50 %</w:t>
            </w:r>
          </w:p>
        </w:tc>
      </w:tr>
      <w:tr>
        <w:trPr>
          <w:trHeight w:val="243"/>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2032</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2029</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4"/>
              </w:rPr>
              <w:t>2029</w:t>
            </w:r>
          </w:p>
        </w:tc>
        <w:tc>
          <w:tcPr>
            <w:tcW w:w="280" w:type="dxa"/>
            <w:vAlign w:val="bottom"/>
          </w:tcPr>
          <w:p>
            <w:pPr>
              <w:spacing w:after="0"/>
              <w:rPr>
                <w:sz w:val="21"/>
                <w:szCs w:val="21"/>
                <w:color w:val="auto"/>
              </w:rPr>
            </w:pPr>
          </w:p>
        </w:tc>
      </w:tr>
      <w:tr>
        <w:trPr>
          <w:trHeight w:val="540"/>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Future Benefit Payments:</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4"/>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contributions for the next fiscal year equal the estimated benefit payments of $2 million.</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32"/>
        </w:trPr>
        <w:tc>
          <w:tcPr>
            <w:tcW w:w="8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Our estimated future benefit payments for our postretirement benefit plan as of December 31, 2023 were as follows:</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36"/>
        </w:trPr>
        <w:tc>
          <w:tcPr>
            <w:tcW w:w="6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6340" w:type="dxa"/>
            <w:vAlign w:val="bottom"/>
            <w:tcBorders>
              <w:bottom w:val="single" w:sz="8" w:color="CFF0FC"/>
            </w:tcBorders>
          </w:tcPr>
          <w:p>
            <w:pPr>
              <w:spacing w:after="0"/>
              <w:rPr>
                <w:sz w:val="2"/>
                <w:szCs w:val="2"/>
                <w:color w:val="auto"/>
              </w:rPr>
            </w:pPr>
          </w:p>
        </w:tc>
        <w:tc>
          <w:tcPr>
            <w:tcW w:w="900" w:type="dxa"/>
            <w:vAlign w:val="bottom"/>
            <w:tcBorders>
              <w:bottom w:val="single" w:sz="8" w:color="CFF0FC"/>
            </w:tcBorders>
          </w:tcPr>
          <w:p>
            <w:pPr>
              <w:spacing w:after="0"/>
              <w:rPr>
                <w:sz w:val="2"/>
                <w:szCs w:val="2"/>
                <w:color w:val="auto"/>
              </w:rPr>
            </w:pPr>
          </w:p>
        </w:tc>
        <w:tc>
          <w:tcPr>
            <w:tcW w:w="460" w:type="dxa"/>
            <w:vAlign w:val="bottom"/>
            <w:tcBorders>
              <w:bottom w:val="single" w:sz="8" w:color="CFF0FC"/>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900" w:type="dxa"/>
            <w:vAlign w:val="bottom"/>
            <w:tcBorders>
              <w:bottom w:val="single" w:sz="8" w:color="CFF0FC"/>
            </w:tcBorders>
          </w:tcPr>
          <w:p>
            <w:pPr>
              <w:spacing w:after="0"/>
              <w:rPr>
                <w:sz w:val="2"/>
                <w:szCs w:val="2"/>
                <w:color w:val="auto"/>
              </w:rPr>
            </w:pPr>
          </w:p>
        </w:tc>
        <w:tc>
          <w:tcPr>
            <w:tcW w:w="680" w:type="dxa"/>
            <w:vAlign w:val="bottom"/>
            <w:tcBorders>
              <w:bottom w:val="single" w:sz="8" w:color="CFF0FC"/>
            </w:tcBorders>
            <w:gridSpan w:val="2"/>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r>
      <w:tr>
        <w:trPr>
          <w:trHeight w:val="250"/>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980" w:type="dxa"/>
            <w:vAlign w:val="bottom"/>
            <w:gridSpan w:val="4"/>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63"/>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2029-2033</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Stock-based Compensation</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granted restricted stock units (“RSUs”) in July 2019 to certain members of management, pursuant to retention agreements entered into with these employees (the “IPO Grants”). These RSUs vested upon satisfaction of both a performance-based vesting condition, which was satisfied when we completed our IPO on February 4, 2020, and a service-based vesting condition, which was satisfied with respect to one-third of an employee’s RSUs on each anniversary from the date of our IPO for three consecutive years, subject to the employee’s continued employment through the applicable vesting date.</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 conjunction with our Corporate Reorganization and IPO in February 2020, we established an equity incentive plan for purposes of granting stock-based compensation awards to certain of our senior management, our non-executive directors and to certain employees, to incentivize their performance and align their interests with ours. We have granted RSUs to certain employees and non-employee directors that have a service-based vesting condition. In addition, we have granted performance stock units (“PSUs”) to certain members of management that have a performance-based vesting condition. We account for forfeitures of outstanding but unvested grants in the period they occur. A maximum of 10.5 million shares of common stock were initially available for issuance under equity incentive awards granted pursuant to the plan. In the year ended December 31, 2023, 0.3 million RSUs and 0.2 million PSUs were granted.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for RSUs and PSUs for the year ended December 31, 2023 is as follows (in millions, except for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75"/>
        </w:trPr>
        <w:tc>
          <w:tcPr>
            <w:tcW w:w="8280" w:type="dxa"/>
            <w:vAlign w:val="bottom"/>
          </w:tcPr>
          <w:p>
            <w:pPr>
              <w:spacing w:after="0"/>
              <w:rPr>
                <w:sz w:val="15"/>
                <w:szCs w:val="15"/>
                <w:color w:val="auto"/>
              </w:rPr>
            </w:pP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Grant-Date Fair</w:t>
            </w:r>
          </w:p>
        </w:tc>
        <w:tc>
          <w:tcPr>
            <w:tcW w:w="0" w:type="dxa"/>
            <w:vAlign w:val="bottom"/>
          </w:tcPr>
          <w:p>
            <w:pPr>
              <w:spacing w:after="0"/>
              <w:rPr>
                <w:sz w:val="1"/>
                <w:szCs w:val="1"/>
                <w:color w:val="auto"/>
              </w:rPr>
            </w:pPr>
          </w:p>
        </w:tc>
      </w:tr>
      <w:tr>
        <w:trPr>
          <w:trHeight w:val="195"/>
        </w:trPr>
        <w:tc>
          <w:tcPr>
            <w:tcW w:w="82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5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2022</w:t>
            </w:r>
          </w:p>
        </w:tc>
        <w:tc>
          <w:tcPr>
            <w:tcW w:w="94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0" w:type="dxa"/>
            <w:vAlign w:val="bottom"/>
          </w:tcPr>
          <w:p>
            <w:pPr>
              <w:spacing w:after="0"/>
              <w:rPr>
                <w:sz w:val="1"/>
                <w:szCs w:val="1"/>
                <w:color w:val="auto"/>
              </w:rPr>
            </w:pPr>
          </w:p>
        </w:tc>
      </w:tr>
      <w:tr>
        <w:trPr>
          <w:trHeight w:val="250"/>
        </w:trPr>
        <w:tc>
          <w:tcPr>
            <w:tcW w:w="9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0" w:type="dxa"/>
            <w:vAlign w:val="bottom"/>
          </w:tcPr>
          <w:p>
            <w:pPr>
              <w:spacing w:after="0"/>
              <w:rPr>
                <w:sz w:val="1"/>
                <w:szCs w:val="1"/>
                <w:color w:val="auto"/>
              </w:rPr>
            </w:pPr>
          </w:p>
        </w:tc>
      </w:tr>
      <w:tr>
        <w:trPr>
          <w:trHeight w:val="263"/>
        </w:trPr>
        <w:tc>
          <w:tcPr>
            <w:tcW w:w="9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0" w:type="dxa"/>
            <w:vAlign w:val="bottom"/>
          </w:tcPr>
          <w:p>
            <w:pPr>
              <w:spacing w:after="0"/>
              <w:rPr>
                <w:sz w:val="1"/>
                <w:szCs w:val="1"/>
                <w:color w:val="auto"/>
              </w:rPr>
            </w:pPr>
          </w:p>
        </w:tc>
      </w:tr>
      <w:tr>
        <w:trPr>
          <w:trHeight w:val="250"/>
        </w:trPr>
        <w:tc>
          <w:tcPr>
            <w:tcW w:w="9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0" w:type="dxa"/>
            <w:vAlign w:val="bottom"/>
          </w:tcPr>
          <w:p>
            <w:pPr>
              <w:spacing w:after="0"/>
              <w:rPr>
                <w:sz w:val="1"/>
                <w:szCs w:val="1"/>
                <w:color w:val="auto"/>
              </w:rPr>
            </w:pPr>
          </w:p>
        </w:tc>
      </w:tr>
      <w:tr>
        <w:trPr>
          <w:trHeight w:val="263"/>
        </w:trPr>
        <w:tc>
          <w:tcPr>
            <w:tcW w:w="9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PSU performance adjustment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0" w:type="dxa"/>
            <w:vAlign w:val="bottom"/>
          </w:tcPr>
          <w:p>
            <w:pPr>
              <w:spacing w:after="0"/>
              <w:rPr>
                <w:sz w:val="1"/>
                <w:szCs w:val="1"/>
                <w:color w:val="auto"/>
              </w:rPr>
            </w:pP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2023</w:t>
            </w:r>
          </w:p>
        </w:tc>
        <w:tc>
          <w:tcPr>
            <w:tcW w:w="94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29.49</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relating to unvested RSUs as of December 31, 2023, was $5 million, which is expected to be recognized over a weighted average period of 1.35 years.</w:t>
      </w:r>
    </w:p>
    <w:p>
      <w:pPr>
        <w:sectPr>
          <w:pgSz w:w="11900" w:h="16838" w:orient="portrait"/>
          <w:cols w:equalWidth="0" w:num="1">
            <w:col w:w="11240"/>
          </w:cols>
          <w:pgMar w:left="320" w:top="121" w:right="339"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relating to unvested PSUs as of December 31, 2023, was $3 million, which is expected to be recognized over a weighted average period of 1.77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stock-based compensation awards, representing 0.8 million shares and 0.4 million shares outstanding at December 31, 2023 and 2022, respectively. Stock-based compensation expense was $14 million, $5 million and $4 million for the years ended December 31, 2023, 2022 and 2021,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Accrued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personnel costs</w:t>
            </w:r>
          </w:p>
        </w:tc>
        <w:tc>
          <w:tcPr>
            <w:tcW w:w="9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promotion allowances</w:t>
            </w: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6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Accrued and other current liabilities</w:t>
            </w: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240" w:type="dxa"/>
            <w:vAlign w:val="bottom"/>
          </w:tcPr>
          <w:p>
            <w:pPr>
              <w:spacing w:after="0"/>
              <w:rPr>
                <w:sz w:val="21"/>
                <w:szCs w:val="21"/>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0" w:type="dxa"/>
            <w:vAlign w:val="bottom"/>
          </w:tcPr>
          <w:p>
            <w:pPr>
              <w:spacing w:after="0"/>
              <w:rPr>
                <w:sz w:val="1"/>
                <w:szCs w:val="1"/>
                <w:color w:val="auto"/>
              </w:rPr>
            </w:pPr>
          </w:p>
        </w:tc>
      </w:tr>
      <w:tr>
        <w:trPr>
          <w:trHeight w:val="27"/>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Other Expense, Net</w:t>
            </w: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28"/>
        </w:trPr>
        <w:tc>
          <w:tcPr>
            <w:tcW w:w="67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 consisted of the following:</w:t>
            </w: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720" w:type="dxa"/>
            <w:vAlign w:val="bottom"/>
            <w:gridSpan w:val="6"/>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0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IPO and separation-related costs </w:t>
            </w:r>
            <w:r>
              <w:rPr>
                <w:rFonts w:ascii="Times New Roman" w:cs="Times New Roman" w:eastAsia="Times New Roman" w:hAnsi="Times New Roman"/>
                <w:sz w:val="28"/>
                <w:szCs w:val="28"/>
                <w:color w:val="auto"/>
                <w:vertAlign w:val="superscript"/>
              </w:rPr>
              <w:t>(1)</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980" w:hanging="648"/>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related to our separation to operate as a stand-alone public company and the IPO process.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from time to time party to litigation, legal proceedings and tax examinations arising from our operations. Most of these matters involve allegations of damages against us relating to employment matters, consumer complaints, advertising/labelling claims, personal injury and commercial or contractual disputes. We record estimates for claims and proceedings that constitute a present obligation when it is probable that an outflow of resources will be required to settle the obligation and a reliable estimate of such obligation can be made. While it is not possible to predict the outcome of any of these matters, based on our assessment of the facts and circumstances as of December 31, 2023, we do not believe any of these matters, individually or in the aggregate, will have a material adverse effect on our financial position, results of operations or cash flows. However, actual outcomes may differ from those expected and could have a material effect on our financial position, results of operations or cash flows in a future period.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our balances of each component of accumulated other comprehensive income.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040" w:type="dxa"/>
            <w:vAlign w:val="bottom"/>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560" w:type="dxa"/>
            <w:vAlign w:val="bottom"/>
            <w:gridSpan w:val="3"/>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5020" w:type="dxa"/>
            <w:vAlign w:val="bottom"/>
          </w:tcPr>
          <w:p>
            <w:pPr>
              <w:spacing w:after="0"/>
              <w:rPr>
                <w:sz w:val="12"/>
                <w:szCs w:val="12"/>
                <w:color w:val="auto"/>
              </w:rPr>
            </w:pPr>
          </w:p>
        </w:tc>
        <w:tc>
          <w:tcPr>
            <w:tcW w:w="1040" w:type="dxa"/>
            <w:vAlign w:val="bottom"/>
          </w:tcPr>
          <w:p>
            <w:pPr>
              <w:jc w:val="center"/>
              <w:ind w:left="177"/>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Employee Benefit Plans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020" w:type="dxa"/>
            <w:vAlign w:val="bottom"/>
          </w:tcPr>
          <w:p>
            <w:pPr>
              <w:spacing w:after="0"/>
              <w:rPr>
                <w:sz w:val="17"/>
                <w:szCs w:val="17"/>
                <w:color w:val="auto"/>
              </w:rPr>
            </w:pPr>
          </w:p>
        </w:tc>
        <w:tc>
          <w:tcPr>
            <w:tcW w:w="1040" w:type="dxa"/>
            <w:vAlign w:val="bottom"/>
            <w:tcBorders>
              <w:bottom w:val="single" w:sz="8" w:color="auto"/>
            </w:tcBorders>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8"/>
          </w:tcPr>
          <w:p>
            <w:pPr>
              <w:ind w:left="7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04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arising during the period</w:t>
            </w:r>
          </w:p>
        </w:tc>
        <w:tc>
          <w:tcPr>
            <w:tcW w:w="10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10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10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040" w:type="dxa"/>
            <w:vAlign w:val="bottom"/>
            <w:tcBorders>
              <w:top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arising during the period</w:t>
            </w:r>
          </w:p>
        </w:tc>
        <w:tc>
          <w:tcPr>
            <w:tcW w:w="104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10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10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040" w:type="dxa"/>
            <w:vAlign w:val="bottom"/>
            <w:tcBorders>
              <w:top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arising during the period</w:t>
            </w:r>
          </w:p>
        </w:tc>
        <w:tc>
          <w:tcPr>
            <w:tcW w:w="10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10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10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040" w:type="dxa"/>
            <w:vAlign w:val="bottom"/>
            <w:tcBorders>
              <w:top w:val="single" w:sz="8" w:color="auto"/>
              <w:bottom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0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income before income tax were as follows:</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0" w:type="dxa"/>
            <w:vAlign w:val="bottom"/>
            <w:gridSpan w:val="10"/>
          </w:tcPr>
          <w:p>
            <w:pPr>
              <w:jc w:val="center"/>
              <w:ind w:left="61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380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rPr>
              <w:t>393</w:t>
            </w:r>
          </w:p>
        </w:tc>
        <w:tc>
          <w:tcPr>
            <w:tcW w:w="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1040" w:type="dxa"/>
            <w:vAlign w:val="bottom"/>
            <w:vMerge w:val="restart"/>
          </w:tcPr>
          <w:p>
            <w:pPr>
              <w:jc w:val="right"/>
              <w:ind w:right="257"/>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50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income tax expense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0" w:type="dxa"/>
            <w:vAlign w:val="bottom"/>
            <w:gridSpan w:val="6"/>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6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income tax expense</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income tax (benefit) expense</w:t>
            </w:r>
          </w:p>
        </w:tc>
        <w:tc>
          <w:tcPr>
            <w:tcW w:w="9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income taxes computed at the U.S. Federal statutory income tax rate of 21% for 2023, 2022 and 2021, to our income tax expense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29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income tax expense at the statutory rate</w:t>
            </w:r>
          </w:p>
        </w:tc>
        <w:tc>
          <w:tcPr>
            <w:tcW w:w="2980" w:type="dxa"/>
            <w:vAlign w:val="bottom"/>
            <w:gridSpan w:val="2"/>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income tax expense</w:t>
            </w:r>
          </w:p>
        </w:tc>
        <w:tc>
          <w:tcPr>
            <w:tcW w:w="2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20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to provision adjustments</w:t>
            </w:r>
          </w:p>
        </w:tc>
        <w:tc>
          <w:tcPr>
            <w:tcW w:w="2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20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CCEEFF"/>
            </w:tcBorders>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67</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6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68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Tax Assets and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taxes result from temporary differences between the amount of assets and liabilities recognized for financial reporting and tax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net deferred income tax liability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8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7"/>
                <w:szCs w:val="17"/>
                <w:color w:val="auto"/>
              </w:rPr>
            </w:pPr>
          </w:p>
        </w:tc>
      </w:tr>
      <w:tr>
        <w:trPr>
          <w:trHeight w:val="23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benefits</w:t>
            </w:r>
          </w:p>
        </w:tc>
        <w:tc>
          <w:tcPr>
            <w:tcW w:w="86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obligations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Reserves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Tax losses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 after valuation allowance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30"/>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right-of-use assets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instruments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740 prescribes a recognition threshold of more-likely-than not to be sustained upon examination as it relates to the accounting for uncertainty in income taxes recognized in an enterprise’s financial statements. Our policy is to include interest and penalties related to gross unrecognized tax benefits in income tax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gross unrecognized tax benefits: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6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the year</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associated with tax positions taken during the current year</w:t>
            </w: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associated with tax positions taken in prior years</w:t>
            </w:r>
          </w:p>
        </w:tc>
        <w:tc>
          <w:tcPr>
            <w:tcW w:w="9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unrecognized tax benefits</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1"/>
        </w:trPr>
        <w:tc>
          <w:tcPr>
            <w:tcW w:w="6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year we file income tax returns in the various federal, state, local and foreign income taxing jurisdictions in which we operate. Canada is the only foreign jurisdiction in which we operate. Our income tax returns are subject to examination and possible challenge by the tax authorities. Although ultimate timing is uncertain, the net amount of tax liability for unrecognized tax benefits may change within the next twelve months due to changes in audit status, settlements of tax assessments and other events.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Segment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Executive Officer, who has been identified as our Chief Operating Decision Maker (“CODM”), has evaluated how he views and measures our performance. In applying the criteria set forth in the standards for reporting information about segments in financial statements, we have determined that we have four reportable segments - Reynolds Cooking &amp; Baking, Hefty Waste &amp; Storage, Hefty Tableware and Presto Products. The key factors used to identify these reportable segments are the organization and alignment of our internal operations and the nature of our products. This reflects how our CODM monitors performance, allocates capital and makes strategic and operational decisions. Our segments are described as follows: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Reynolds Cooking &amp; Baking segment produces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Hefty Waste &amp; Storage segment produces both branded and store brand trash and food storage bags. Our branded products are sold under the Hefty Ultra Strong and Hefty Strong brands for trash bags, and as the Hefty and Baggies brands for our food storage bags.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Hefty Tableware segment sells both branded and store brand disposable and compostable plates, bowls, platters, cups and cutlery. Our Hefty branded products include dishes and party cups.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Presto Products segment primarily sells store brand products in four main categories: food storage bags, trash bags, reusable storage containers and plastic wrap. Our Presto Products segment also includes our specialty business, which serves other consumer products companies by providing Fresh-Lock and Slide-Rite resealable closure systems.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by Segment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present segment adjusted EBITDA (“Adjusted EBITDA”) as this is the financial measure by which management and our CODM allocate resources and analyze the performance of our reportable segments.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Adjusted EBITDA represents each segment’s earnings before interest, tax, depreciation and amortization and is further adjusted to exclude IPO and separation-related costs, as well as other non-recurring costs.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by segment are those assets directly associated with the respective operating activities, comprising inventory, property, plant and equipment and operating lease right-of-use assets. Other assets, such as cash, accounts receivable and intangible assets, are monitored on an entity-wide basis and not included in segment information that is regularly reviewed by our CODM.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accounting policies applied by our segments are the same as those described in Note 2 - Summary of Significant Accounting Policies. Transactions between segments are at negotiated prices.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2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80" w:type="dxa"/>
            <w:vAlign w:val="bottom"/>
          </w:tcPr>
          <w:p>
            <w:pPr>
              <w:spacing w:after="0"/>
              <w:rPr>
                <w:sz w:val="13"/>
                <w:szCs w:val="13"/>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2"/>
                <w:szCs w:val="12"/>
                <w:color w:val="auto"/>
              </w:rPr>
            </w:pPr>
          </w:p>
        </w:tc>
        <w:tc>
          <w:tcPr>
            <w:tcW w:w="9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Waste &amp;</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2"/>
                <w:szCs w:val="12"/>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3,756</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3,775</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3,756</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0" w:type="dxa"/>
            <w:vAlign w:val="bottom"/>
          </w:tcPr>
          <w:p>
            <w:pPr>
              <w:spacing w:after="0"/>
              <w:rPr>
                <w:sz w:val="1"/>
                <w:szCs w:val="1"/>
                <w:color w:val="auto"/>
              </w:rPr>
            </w:pPr>
          </w:p>
        </w:tc>
      </w:tr>
      <w:tr>
        <w:trPr>
          <w:trHeight w:val="256"/>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1,278</w:t>
            </w: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4,780</w:t>
            </w:r>
          </w:p>
        </w:tc>
        <w:tc>
          <w:tcPr>
            <w:tcW w:w="0" w:type="dxa"/>
            <w:vAlign w:val="bottom"/>
          </w:tcPr>
          <w:p>
            <w:pPr>
              <w:spacing w:after="0"/>
              <w:rPr>
                <w:sz w:val="1"/>
                <w:szCs w:val="1"/>
                <w:color w:val="auto"/>
              </w:rPr>
            </w:pPr>
          </w:p>
        </w:tc>
      </w:tr>
      <w:tr>
        <w:trPr>
          <w:trHeight w:val="529"/>
        </w:trPr>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24"/>
                <w:szCs w:val="2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Waste &amp;</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8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3,817</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3,837</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3,817</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0" w:type="dxa"/>
            <w:vAlign w:val="bottom"/>
          </w:tcPr>
          <w:p>
            <w:pPr>
              <w:spacing w:after="0"/>
              <w:rPr>
                <w:sz w:val="1"/>
                <w:szCs w:val="1"/>
                <w:color w:val="auto"/>
              </w:rPr>
            </w:pPr>
          </w:p>
        </w:tc>
      </w:tr>
      <w:tr>
        <w:trPr>
          <w:trHeight w:val="257"/>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1,460</w:t>
            </w: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4,929</w:t>
            </w:r>
          </w:p>
        </w:tc>
        <w:tc>
          <w:tcPr>
            <w:tcW w:w="0" w:type="dxa"/>
            <w:vAlign w:val="bottom"/>
          </w:tcPr>
          <w:p>
            <w:pPr>
              <w:spacing w:after="0"/>
              <w:rPr>
                <w:sz w:val="1"/>
                <w:szCs w:val="1"/>
                <w:color w:val="auto"/>
              </w:rPr>
            </w:pPr>
          </w:p>
        </w:tc>
      </w:tr>
      <w:tr>
        <w:trPr>
          <w:trHeight w:val="461"/>
        </w:trPr>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24"/>
                <w:szCs w:val="2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20" w:type="dxa"/>
            <w:vAlign w:val="bottom"/>
          </w:tcPr>
          <w:p>
            <w:pPr>
              <w:spacing w:after="0"/>
              <w:rPr>
                <w:sz w:val="24"/>
                <w:szCs w:val="24"/>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24"/>
                <w:szCs w:val="24"/>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80" w:type="dxa"/>
            <w:vAlign w:val="bottom"/>
          </w:tcPr>
          <w:p>
            <w:pPr>
              <w:spacing w:after="0"/>
              <w:rPr>
                <w:sz w:val="24"/>
                <w:szCs w:val="24"/>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Waste &amp;</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9"/>
                <w:szCs w:val="9"/>
                <w:b w:val="1"/>
                <w:bCs w:val="1"/>
                <w:color w:val="auto"/>
              </w:rPr>
              <w:t>(1)</w:t>
            </w:r>
          </w:p>
        </w:tc>
        <w:tc>
          <w:tcPr>
            <w:tcW w:w="240" w:type="dxa"/>
            <w:vAlign w:val="bottom"/>
          </w:tcPr>
          <w:p>
            <w:pPr>
              <w:spacing w:after="0"/>
              <w:rPr>
                <w:sz w:val="12"/>
                <w:szCs w:val="12"/>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3,556</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3,577</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3,556</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0" w:type="dxa"/>
            <w:vAlign w:val="bottom"/>
          </w:tcPr>
          <w:p>
            <w:pPr>
              <w:spacing w:after="0"/>
              <w:rPr>
                <w:sz w:val="1"/>
                <w:szCs w:val="1"/>
                <w:color w:val="auto"/>
              </w:rPr>
            </w:pPr>
          </w:p>
        </w:tc>
      </w:tr>
      <w:tr>
        <w:trPr>
          <w:trHeight w:val="23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540" w:right="20" w:hanging="514"/>
        <w:spacing w:after="0" w:line="25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includes the elimination of intersegment revenues, other revenue adjustments and certain corporate costs, depreciation and amortization and assets not allocated to segments. Unallocated assets are comprised of cash, accounts receivable, other receivables, entity-wide property, plant and equipment, entity-wide operating lease ROU assets, goodwill, intangible assets, related party receivables and other assets.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segment Adjusted EBITDA to consolidated GAAP income before income taxes: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80" w:type="dxa"/>
            <w:vAlign w:val="bottom"/>
            <w:gridSpan w:val="6"/>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6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 unallocated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6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Adjustments to reconcile to GAAP income before income taxes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IPO and separation-related costs</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GAAP income before income taxes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Information in Relation to Products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8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revenues by product line are as follows: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80" w:type="dxa"/>
            <w:vAlign w:val="bottom"/>
            <w:gridSpan w:val="6"/>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6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8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Waste and storage products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Cooking products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Tableware products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3,817</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3,556</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40" w:hanging="632"/>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and storage products are comprised of our Hefty Waste &amp; Storage and Presto Products segments.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different product lines are generally sold to a common group of customers. For all product lines, there is a relatively short time period between the receipt of the order and the transfer of control over the goods to the customer.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Data</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Geographic data for net revenues (recognized based on location of our business operations) and long-lived assets (representing property, plant and equipment)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80" w:type="dxa"/>
            <w:vAlign w:val="bottom"/>
            <w:gridSpan w:val="6"/>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42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4200" w:type="dxa"/>
            <w:vAlign w:val="bottom"/>
            <w:gridSpan w:val="2"/>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2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3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360" w:type="dxa"/>
            <w:vAlign w:val="bottom"/>
          </w:tcPr>
          <w:p>
            <w:pPr>
              <w:spacing w:after="0"/>
              <w:rPr>
                <w:sz w:val="19"/>
                <w:szCs w:val="19"/>
                <w:color w:val="auto"/>
              </w:rPr>
            </w:pP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3,756</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3,817</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36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71</w:t>
            </w: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334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340" w:type="dxa"/>
            <w:vAlign w:val="bottom"/>
            <w:tcBorders>
              <w:bottom w:val="single" w:sz="8" w:color="9A9A9A"/>
            </w:tcBorders>
          </w:tcPr>
          <w:p>
            <w:pPr>
              <w:spacing w:after="0"/>
              <w:rPr>
                <w:sz w:val="8"/>
                <w:szCs w:val="8"/>
                <w:color w:val="auto"/>
              </w:rPr>
            </w:pPr>
          </w:p>
        </w:tc>
        <w:tc>
          <w:tcPr>
            <w:tcW w:w="33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8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7"/>
                <w:szCs w:val="17"/>
                <w:color w:val="auto"/>
              </w:rPr>
            </w:pPr>
          </w:p>
        </w:tc>
      </w:tr>
      <w:tr>
        <w:trPr>
          <w:trHeight w:val="23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30"/>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8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732</w:t>
            </w: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r>
      <w:tr>
        <w:trPr>
          <w:trHeight w:val="21"/>
        </w:trPr>
        <w:tc>
          <w:tcPr>
            <w:tcW w:w="8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Entity-wide Disclosures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revenues from our largest customer and its affiliates were 48%, 48% and 44% of total net revenues for the years ended December 31, 2023, 2022 and 2021, respectively. The net revenues from our largest customer were recognized across all of our segments. No other customers accounted for 10% or more of our total net revenues in any of the years presented.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Related Party Transactions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Packaging Finance Limited (“PFL”) owns the majority of our outstanding common stock and owns the majority of the outstanding common stock of Pactiv Evergreen Inc. and its subsidiaries (“PEI Group”). We sell and purchase various goods and services with PEI Group under contractual arrangements that expire over a variety of periods through December 31, 2027. During the year ended December 31, 2023, we amended these contractual arrangements with PEI Group, which, among other things, extended the expiration date for certain arrangements. Transactions between us and PEI Group are described below.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On-going Related Party Transactions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2023, 2022 and 2021, revenues from products sold to PEI Group were $83 million, $101 million and $111 million, respectively. For the years ended December 31, 2023, 2022 and 2021, products purchased from PEI Group were $381 million, $399 million and $343 million, respectively. For the years ended December 31, 2023, 2022 and 2021, PEI Group charged us freight and warehousing costs of $37 million, $54 million and $60 million, respectively, which were included in cost of sales. The resulting related party receivables and payables are settled regularly with PEI Group in the normal course of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$143 million of dividends were paid to PFL during the years ended December 31, 2023, 2022 and 2021, respectively.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Related to our Separation from PEI Group</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4, 2020, we entered into a transition services agreement with a subsidiary of PEI Group, whereby PEI Group continued to provide certain administrative services to us, including information technology services; accounting, treasury, financial reporting and transaction support; human resources; procurement; tax, legal and compliance related services; and other corporate services for up to 24 months. In addition, we entered into a transition services agreement with Rank Group Limited (an affiliate of PEI Group) whereby, upon our request, Rank Group Limited provided certain administrative services to us, including financial reporting, consulting and compliance services, insurance procurement and human resources support, legal and corporate secretarial support, and related services for up to 24 months. For the year ended December 31, 2021, we incurred $6 million related to transition services which was included in selling, general and administrative expenses in our consolidated statements of income. There was no expense for the years ended December 31, 2023 and 2022 related to transition services.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Cash Dividend</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25, 2024, our Board of Directors approved a cash dividend of $0.23 per common share to be paid on February 29, 2024 to shareholders of record on February 15,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described above, there have been no events subsequent to December 31, 2023 which would require accrual or disclosure in these consolidated financial statements.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 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disclosure controls and procedures (as defined in Exchange Act Rules 13a-15(e) and 15d-15(e)) are designed to ensure that information required to be disclosed by us in reports we file or submit under the Securities Exchange Act of 1934, as amended,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 We, under the supervision of and with the participation of our management, including our Chief Executive Officer and Chief Financial Officer, have evaluated the effectiveness of our disclosure controls and procedures. Based on that evaluation, our Chief Executive Officer and Chief Financial Officer concluded that our disclosure controls and procedures were effective as of December 31,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Management is responsible for establishing and maintaining adequate internal control over financial reporting, as defined in Rules 13a-15(f) and 15d-15(f) </w:t>
      </w:r>
      <w:r>
        <w:rPr>
          <w:rFonts w:ascii="Times New Roman" w:cs="Times New Roman" w:eastAsia="Times New Roman" w:hAnsi="Times New Roman"/>
          <w:sz w:val="18"/>
          <w:szCs w:val="18"/>
          <w:color w:val="000000"/>
        </w:rPr>
        <w:t>under the Exchange Act. Our internal control over financial reporting is a process designed under the supervision of the Chief Executive Officer and Chief Financial Officer to provide reasonable assurance regarding the reliability of financial reporting and the preparation of our financial statements for external purposes in accordance with accounting principles generally accepted in the United States of America.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under all potential conditions. Therefore, effective internal control over financial reporting provides only reasonable, and not absolute, assurance with respect to the preparation and presentation of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our internal control over financial reporting as of December 31, 2023 using the criteria set forth in the Internal Control Integrated Framework (2013) issued by the Committee of Sponsoring Organizations of the Treadway Commission (COSO). As a result of that evaluation, management concluded that our internal control over financial reporting was effective as of December 31,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PricewaterhouseCoopers LLP, has audited the effectiveness of our internal control over financial reporting as of December 31, 2023, as stated in its report which appears in Item 8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fiscal quarter ended December 31, 2023 that has materially affected, or is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2023, none of our directors or officers (as defined in Rule 16a-1(f) of the Exchange Act) adopted or terminated any contract, instruction or written plan for the purchase or sale of our securities that was intended to satisfy the affirmative defense conditions of Rule 10b5-1(c) of the Exchange Act or any non-Rule 10b5-1 trading arrangement (as identified in Item 408(c) of Regulation S-K).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10 will appear in the Company’s Proxy Statement for its 2024 Annual Meeting of Stockholders and is incorporated herein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will appear in the Company’s Proxy Statement for its 2024 Annual Meeting of Stockholders and is incorporated herein by reference.</w:t>
      </w:r>
    </w:p>
    <w:p>
      <w:pPr>
        <w:spacing w:after="0" w:line="15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will appear in the Company’s Proxy Statement for its 2024 Annual Meeting of Stockholders and is incorporated herein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will appear in the Company’s Proxy Statement for its 2024 Annual Meeting of Stockholders and is incorporated herein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will appear in the Company’s Proxy Statement for its 2024 Annual Meeting of Stockholders and is incorporated herein by reference.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340" w:right="2880" w:firstLine="2568"/>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15. EXHIBITS AND FINANCIAL STATEMENT SCHEDULES </w:t>
      </w:r>
      <w:r>
        <w:rPr>
          <w:rFonts w:ascii="Times New Roman" w:cs="Times New Roman" w:eastAsia="Times New Roman" w:hAnsi="Times New Roman"/>
          <w:sz w:val="18"/>
          <w:szCs w:val="18"/>
          <w:color w:val="auto"/>
        </w:rPr>
        <w:t>(a) The following documents are filed as part of this Annual Report on Form 10-K:</w:t>
      </w:r>
    </w:p>
    <w:p>
      <w:pPr>
        <w:spacing w:after="0" w:line="49"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statements are filed as part of this Annual Report on Form 10-K under Part II, Item 8:</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3880" w:type="dxa"/>
            <w:vAlign w:val="bottom"/>
            <w:gridSpan w:val="5"/>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6"/>
        </w:trPr>
        <w:tc>
          <w:tcPr>
            <w:tcW w:w="6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 for the Years Ended December 31, 2023, 2022 and 2021</w:t>
            </w:r>
          </w:p>
        </w:tc>
        <w:tc>
          <w:tcPr>
            <w:tcW w:w="2760" w:type="dxa"/>
            <w:vAlign w:val="bottom"/>
            <w:gridSpan w:val="4"/>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7"/>
        </w:trPr>
        <w:tc>
          <w:tcPr>
            <w:tcW w:w="78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Years Ended December 31, 2023, 2022 and 2021</w:t>
            </w:r>
          </w:p>
        </w:tc>
        <w:tc>
          <w:tcPr>
            <w:tcW w:w="15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6"/>
        </w:trPr>
        <w:tc>
          <w:tcPr>
            <w:tcW w:w="4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2023 and 2022</w:t>
            </w:r>
          </w:p>
        </w:tc>
        <w:tc>
          <w:tcPr>
            <w:tcW w:w="4760" w:type="dxa"/>
            <w:vAlign w:val="bottom"/>
            <w:gridSpan w:val="6"/>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7"/>
        </w:trPr>
        <w:tc>
          <w:tcPr>
            <w:tcW w:w="94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2023, 2022 and 2021</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7"/>
        </w:trPr>
        <w:tc>
          <w:tcPr>
            <w:tcW w:w="76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2022 and 2021</w:t>
            </w:r>
          </w:p>
        </w:tc>
        <w:tc>
          <w:tcPr>
            <w:tcW w:w="1780" w:type="dxa"/>
            <w:vAlign w:val="bottom"/>
            <w:gridSpan w:val="2"/>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7"/>
        </w:trPr>
        <w:tc>
          <w:tcPr>
            <w:tcW w:w="3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800" w:type="dxa"/>
            <w:vAlign w:val="bottom"/>
            <w:tcBorders>
              <w:top w:val="single" w:sz="8" w:color="0000FF"/>
            </w:tcBorders>
            <w:gridSpan w:val="4"/>
          </w:tcPr>
          <w:p>
            <w:pPr>
              <w:spacing w:after="0"/>
              <w:rPr>
                <w:sz w:val="20"/>
                <w:szCs w:val="20"/>
                <w:color w:val="auto"/>
              </w:rPr>
            </w:pPr>
          </w:p>
        </w:tc>
        <w:tc>
          <w:tcPr>
            <w:tcW w:w="2460" w:type="dxa"/>
            <w:vAlign w:val="bottom"/>
            <w:gridSpan w:val="3"/>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333"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See “Index to Exhibits” immediately preceding the signature page of this Annual Report on Form 10-K.</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34"/>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c>
          <w:tcPr>
            <w:tcW w:w="0" w:type="dxa"/>
            <w:vAlign w:val="bottom"/>
          </w:tcPr>
          <w:p>
            <w:pPr>
              <w:spacing w:after="0"/>
              <w:rPr>
                <w:sz w:val="1"/>
                <w:szCs w:val="1"/>
                <w:color w:val="auto"/>
              </w:rPr>
            </w:pPr>
          </w:p>
        </w:tc>
      </w:tr>
      <w:tr>
        <w:trPr>
          <w:trHeight w:val="436"/>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10000" w:type="dxa"/>
            <w:vAlign w:val="bottom"/>
            <w:gridSpan w:val="36"/>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36"/>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Amended and Restated Certificate of Incorporation (incorporated herein by reference to Exhibit 3.1 to the Company’s Current Report</w:t>
              </w:r>
            </w:hyperlink>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60" w:type="dxa"/>
            <w:vAlign w:val="bottom"/>
            <w:tcBorders>
              <w:top w:val="single" w:sz="8" w:color="0000EE"/>
              <w:bottom w:val="single" w:sz="8" w:color="0000EE"/>
            </w:tcBorders>
            <w:gridSpan w:val="7"/>
          </w:tcPr>
          <w:p>
            <w:pPr>
              <w:spacing w:after="0" w:line="182"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on Form 8-K (File No. 001-39205) filed with the SEC on February 4, 2020)</w:t>
              </w:r>
            </w:hyperlink>
          </w:p>
        </w:tc>
        <w:tc>
          <w:tcPr>
            <w:tcW w:w="4300" w:type="dxa"/>
            <w:vAlign w:val="bottom"/>
            <w:tcBorders>
              <w:top w:val="single" w:sz="8" w:color="0000EE"/>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0" w:type="dxa"/>
            <w:vAlign w:val="bottom"/>
            <w:gridSpan w:val="36"/>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Amended and Restated By-Laws (incorporated herein by reference to Exhibit 3.2 to the Company’s Current Report on Form 8-K (File</w:t>
              </w:r>
            </w:hyperlink>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tcBorders>
              <w:top w:val="single" w:sz="8" w:color="0000EE"/>
            </w:tcBorders>
            <w:gridSpan w:val="34"/>
          </w:tcPr>
          <w:p>
            <w:pPr>
              <w:spacing w:after="0" w:line="182"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No. 001-39205) filed with the SEC on February 4,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0" w:type="dxa"/>
            <w:vAlign w:val="bottom"/>
            <w:gridSpan w:val="36"/>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Description of Securities Registered under Section 12 of the Securities Exchange Act of 1934 (incorporated herein by reference to</w:t>
              </w:r>
            </w:hyperlink>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tcBorders>
              <w:top w:val="single" w:sz="8" w:color="0000EE"/>
            </w:tcBorders>
            <w:gridSpan w:val="26"/>
          </w:tcPr>
          <w:p>
            <w:pPr>
              <w:spacing w:after="0" w:line="182"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Exhibit 4.1 to the Company’s Annual Report on Form 10-K filed with the SEC on February 12,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Form of Indenture (incorporated herein by reference to Exhibit 4.1 to the Company’s Registration Statement on Form S-3 (File No.</w:t>
              </w:r>
            </w:hyperlink>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333-265136) filed with the SEC on May 23, 2022)</w:t>
              </w:r>
            </w:hyperlink>
          </w:p>
        </w:tc>
        <w:tc>
          <w:tcPr>
            <w:tcW w:w="5800" w:type="dxa"/>
            <w:vAlign w:val="bottom"/>
            <w:gridSpan w:val="16"/>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36"/>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Debt Security (included in Exhibit 4.2)</w:t>
              </w:r>
            </w:hyperlink>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1"/>
                <w:szCs w:val="21"/>
                <w:color w:val="auto"/>
              </w:rPr>
            </w:pPr>
          </w:p>
        </w:tc>
        <w:tc>
          <w:tcPr>
            <w:tcW w:w="10000" w:type="dxa"/>
            <w:vAlign w:val="bottom"/>
            <w:gridSpan w:val="36"/>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Form of Indemnification Agreement (incorporated herein by reference to Exhibit 10.1 to the Company’s Registration Statement on</w:t>
              </w:r>
            </w:hyperlink>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00" w:type="dxa"/>
            <w:vAlign w:val="bottom"/>
            <w:tcBorders>
              <w:top w:val="single" w:sz="8" w:color="0000EE"/>
              <w:bottom w:val="single" w:sz="8" w:color="0000EE"/>
            </w:tcBorders>
            <w:gridSpan w:val="8"/>
          </w:tcPr>
          <w:p>
            <w:pPr>
              <w:spacing w:after="0" w:line="182"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Form S-1 (File No. 333-234731) filed with the SEC on November 15, 2019)</w:t>
              </w:r>
            </w:hyperlink>
          </w:p>
        </w:tc>
        <w:tc>
          <w:tcPr>
            <w:tcW w:w="4380" w:type="dxa"/>
            <w:vAlign w:val="bottom"/>
            <w:tcBorders>
              <w:top w:val="single" w:sz="8" w:color="0000EE"/>
            </w:tcBorders>
            <w:gridSpan w:val="2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1"/>
                <w:szCs w:val="21"/>
                <w:color w:val="auto"/>
              </w:rPr>
            </w:pPr>
          </w:p>
        </w:tc>
        <w:tc>
          <w:tcPr>
            <w:tcW w:w="10000" w:type="dxa"/>
            <w:vAlign w:val="bottom"/>
            <w:gridSpan w:val="36"/>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Reynolds Consumer Products Inc. Equity Incentive Plan (incorporated herein by reference to Exhibit 99 to the Company’s Registration</w:t>
              </w:r>
            </w:hyperlink>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tcBorders>
              <w:top w:val="single" w:sz="8" w:color="0000EE"/>
            </w:tcBorders>
            <w:gridSpan w:val="23"/>
          </w:tcPr>
          <w:p>
            <w:pPr>
              <w:spacing w:after="0" w:line="182"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Statement on Form S-8 (File No. 333-236204) filed with the SEC on January 31, 2020)</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1"/>
                <w:szCs w:val="21"/>
                <w:color w:val="auto"/>
              </w:rPr>
            </w:pPr>
          </w:p>
        </w:tc>
        <w:tc>
          <w:tcPr>
            <w:tcW w:w="10000" w:type="dxa"/>
            <w:vAlign w:val="bottom"/>
            <w:gridSpan w:val="36"/>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Reynolds Consumer Products Inc. Equity Incentive Plan, as amended and restated effective January 27, 2022 (incorporate herein by</w:t>
              </w:r>
            </w:hyperlink>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tcBorders>
              <w:top w:val="single" w:sz="8" w:color="0000EE"/>
            </w:tcBorders>
            <w:gridSpan w:val="32"/>
          </w:tcPr>
          <w:p>
            <w:pPr>
              <w:spacing w:after="0" w:line="182"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reference to Exhibit 10.3 to the Company’s Annual Report on Form 10-K filed with the SEC on February 9, 2022)</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1"/>
                <w:szCs w:val="21"/>
                <w:color w:val="auto"/>
              </w:rPr>
            </w:pPr>
          </w:p>
        </w:tc>
        <w:tc>
          <w:tcPr>
            <w:tcW w:w="10000" w:type="dxa"/>
            <w:vAlign w:val="bottom"/>
            <w:gridSpan w:val="36"/>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Form of Restricted Stock Unit Award Letter (incorporated herein by reference to Exhibit 10.3 to the Company’s Registration Statement</w:t>
              </w:r>
            </w:hyperlink>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20" w:type="dxa"/>
            <w:vAlign w:val="bottom"/>
            <w:tcBorders>
              <w:top w:val="single" w:sz="8" w:color="0000EE"/>
              <w:bottom w:val="single" w:sz="8" w:color="0000EE"/>
            </w:tcBorders>
            <w:gridSpan w:val="9"/>
          </w:tcPr>
          <w:p>
            <w:pPr>
              <w:spacing w:after="0" w:line="182"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on Form S-1 (File No. 333-234731) filed with the SEC on November 15, 2019)</w:t>
              </w:r>
            </w:hyperlink>
          </w:p>
        </w:tc>
        <w:tc>
          <w:tcPr>
            <w:tcW w:w="4140" w:type="dxa"/>
            <w:vAlign w:val="bottom"/>
            <w:tcBorders>
              <w:top w:val="single" w:sz="8" w:color="0000EE"/>
            </w:tcBorders>
            <w:gridSpan w:val="20"/>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1"/>
                <w:szCs w:val="21"/>
                <w:color w:val="auto"/>
              </w:rPr>
            </w:pPr>
          </w:p>
        </w:tc>
        <w:tc>
          <w:tcPr>
            <w:tcW w:w="10000" w:type="dxa"/>
            <w:vAlign w:val="bottom"/>
            <w:gridSpan w:val="36"/>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Form of Restricted Stock Award Letter (incorporated herein by reference to Exhibit 10.4 to the Company’s Registration Statement on</w:t>
              </w:r>
            </w:hyperlink>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00" w:type="dxa"/>
            <w:vAlign w:val="bottom"/>
            <w:tcBorders>
              <w:top w:val="single" w:sz="8" w:color="0000EE"/>
              <w:bottom w:val="single" w:sz="8" w:color="0000EE"/>
            </w:tcBorders>
            <w:gridSpan w:val="8"/>
          </w:tcPr>
          <w:p>
            <w:pPr>
              <w:spacing w:after="0" w:line="182"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Form S-1 (File No. 333-234731) filed with the SEC on November 15, 2019)</w:t>
              </w:r>
            </w:hyperlink>
          </w:p>
        </w:tc>
        <w:tc>
          <w:tcPr>
            <w:tcW w:w="4280" w:type="dxa"/>
            <w:vAlign w:val="bottom"/>
            <w:tcBorders>
              <w:top w:val="single" w:sz="8" w:color="0000EE"/>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1"/>
                <w:szCs w:val="21"/>
                <w:color w:val="auto"/>
              </w:rPr>
            </w:pPr>
          </w:p>
        </w:tc>
        <w:tc>
          <w:tcPr>
            <w:tcW w:w="10000" w:type="dxa"/>
            <w:vAlign w:val="bottom"/>
            <w:gridSpan w:val="36"/>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Form of Restricted Stock Unit Award Agreement under the Equity Incentive Plan (incorporated herein by reference to Exhibit 10.6 to</w:t>
              </w:r>
            </w:hyperlink>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tcBorders>
              <w:top w:val="single" w:sz="8" w:color="0000EE"/>
            </w:tcBorders>
            <w:gridSpan w:val="27"/>
          </w:tcPr>
          <w:p>
            <w:pPr>
              <w:spacing w:after="0" w:line="182"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the Company’s Annual Report on Form 10-K filed with the SEC on February 9, 2022)</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1"/>
                <w:szCs w:val="21"/>
                <w:color w:val="auto"/>
              </w:rPr>
            </w:pPr>
          </w:p>
        </w:tc>
        <w:tc>
          <w:tcPr>
            <w:tcW w:w="10000" w:type="dxa"/>
            <w:vAlign w:val="bottom"/>
            <w:gridSpan w:val="36"/>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Form of Performance Share Unit Award Agreement under the Equity Incentive Plan (incorporated herein by reference to Exhibit 10.7</w:t>
              </w:r>
            </w:hyperlink>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0" w:type="dxa"/>
            <w:vAlign w:val="bottom"/>
            <w:tcBorders>
              <w:top w:val="single" w:sz="8" w:color="0000EE"/>
              <w:bottom w:val="single" w:sz="8" w:color="0000EE"/>
            </w:tcBorders>
            <w:gridSpan w:val="12"/>
          </w:tcPr>
          <w:p>
            <w:pPr>
              <w:spacing w:after="0" w:line="182"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to the Company’s Annual Report on Form 10-K filed with the SEC on February 9, 2022)</w:t>
              </w:r>
            </w:hyperlink>
          </w:p>
        </w:tc>
        <w:tc>
          <w:tcPr>
            <w:tcW w:w="3500" w:type="dxa"/>
            <w:vAlign w:val="bottom"/>
            <w:tcBorders>
              <w:top w:val="single" w:sz="8" w:color="0000EE"/>
            </w:tcBorders>
            <w:gridSpan w:val="19"/>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1"/>
                <w:szCs w:val="21"/>
                <w:color w:val="auto"/>
              </w:rPr>
            </w:pPr>
          </w:p>
        </w:tc>
        <w:tc>
          <w:tcPr>
            <w:tcW w:w="10000" w:type="dxa"/>
            <w:vAlign w:val="bottom"/>
            <w:gridSpan w:val="36"/>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Form of Performance Share Unit Award Letter (incorporated herein by reference to Exhibit 10.5 to the Company’s Registration</w:t>
              </w:r>
            </w:hyperlink>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500" w:type="dxa"/>
            <w:vAlign w:val="bottom"/>
            <w:tcBorders>
              <w:top w:val="single" w:sz="8" w:color="0000EE"/>
              <w:bottom w:val="single" w:sz="8" w:color="0000EE"/>
            </w:tcBorders>
            <w:gridSpan w:val="14"/>
          </w:tcPr>
          <w:p>
            <w:pPr>
              <w:spacing w:after="0" w:line="182"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Statement on Form S-1 (File No. 333-234731) filed with the SEC on November 15, 2019)</w:t>
              </w:r>
            </w:hyperlink>
          </w:p>
        </w:tc>
        <w:tc>
          <w:tcPr>
            <w:tcW w:w="3240" w:type="dxa"/>
            <w:vAlign w:val="bottom"/>
            <w:tcBorders>
              <w:top w:val="single" w:sz="8" w:color="0000EE"/>
            </w:tcBorders>
            <w:gridSpan w:val="9"/>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1"/>
                <w:szCs w:val="21"/>
                <w:color w:val="auto"/>
              </w:rPr>
            </w:pPr>
          </w:p>
        </w:tc>
        <w:tc>
          <w:tcPr>
            <w:tcW w:w="10000" w:type="dxa"/>
            <w:vAlign w:val="bottom"/>
            <w:gridSpan w:val="36"/>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Employment Agreement, dated July 8, 2019, between Reynolds Consumer Products LLC and Lance Mitchell (including the</w:t>
              </w:r>
            </w:hyperlink>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EE"/>
              <w:bottom w:val="single" w:sz="8" w:color="0000EE"/>
            </w:tcBorders>
            <w:gridSpan w:val="25"/>
          </w:tcPr>
          <w:p>
            <w:pPr>
              <w:spacing w:after="0" w:line="182"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Restrictive Covenant Agreement attached thereto) (incorporated herein by reference to Exhibit 10.6 to the Company’s Registration</w:t>
              </w:r>
            </w:hyperlink>
          </w:p>
        </w:tc>
        <w:tc>
          <w:tcPr>
            <w:tcW w:w="160" w:type="dxa"/>
            <w:vAlign w:val="bottom"/>
            <w:tcBorders>
              <w:top w:val="single" w:sz="8" w:color="0000EE"/>
            </w:tcBorders>
            <w:gridSpan w:val="8"/>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6"/>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Statement on Form S-1 (File No. 333-234731) filed with the SEC on November 15, 2019)</w:t>
              </w:r>
            </w:hyperlink>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2500" w:type="dxa"/>
            <w:vAlign w:val="bottom"/>
            <w:gridSpan w:val="8"/>
            <w:shd w:val="clear" w:color="auto" w:fill="0000EE"/>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20"/>
                <w:szCs w:val="20"/>
                <w:color w:val="auto"/>
              </w:rPr>
            </w:pPr>
          </w:p>
        </w:tc>
        <w:tc>
          <w:tcPr>
            <w:tcW w:w="10000" w:type="dxa"/>
            <w:vAlign w:val="bottom"/>
            <w:gridSpan w:val="36"/>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Employment Agreement, dated July 8, 2019, between Reynolds Consumer Products LLC and Michael Graham (including the</w:t>
              </w:r>
            </w:hyperlink>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EE"/>
              <w:bottom w:val="single" w:sz="8" w:color="0000EE"/>
            </w:tcBorders>
            <w:gridSpan w:val="25"/>
          </w:tcPr>
          <w:p>
            <w:pPr>
              <w:spacing w:after="0" w:line="182"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Restrictive Covenant Agreement attached thereto) (incorporated herein by reference to Exhibit 10.7 to the Company’s Registration</w:t>
              </w:r>
            </w:hyperlink>
          </w:p>
        </w:tc>
        <w:tc>
          <w:tcPr>
            <w:tcW w:w="140" w:type="dxa"/>
            <w:vAlign w:val="bottom"/>
            <w:tcBorders>
              <w:top w:val="single" w:sz="8" w:color="0000EE"/>
            </w:tcBorders>
            <w:gridSpan w:val="7"/>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Statement on Form S-1 (File No. 333-234731) filed with the SEC on November 15, 2019)</w:t>
              </w:r>
            </w:hyperlink>
          </w:p>
        </w:tc>
        <w:tc>
          <w:tcPr>
            <w:tcW w:w="35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Pr>
          <w:p>
            <w:pPr>
              <w:spacing w:after="0"/>
              <w:rPr>
                <w:sz w:val="19"/>
                <w:szCs w:val="19"/>
                <w:color w:val="auto"/>
              </w:rPr>
            </w:pPr>
          </w:p>
        </w:tc>
        <w:tc>
          <w:tcPr>
            <w:tcW w:w="92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Amendment to Employment Agreement, dated May 31, 2022, between Reynolds Consumer Products LLC and Michael Graham</w:t>
              </w:r>
            </w:hyperlink>
          </w:p>
        </w:tc>
        <w:tc>
          <w:tcPr>
            <w:tcW w:w="480" w:type="dxa"/>
            <w:vAlign w:val="bottom"/>
            <w:gridSpan w:val="3"/>
            <w:vMerge w:val="restart"/>
          </w:tcPr>
          <w:p>
            <w:pPr>
              <w:jc w:val="right"/>
              <w:ind w:right="160"/>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8,</w:t>
              </w:r>
            </w:hyperlink>
          </w:p>
        </w:tc>
        <w:tc>
          <w:tcPr>
            <w:tcW w:w="80" w:type="dxa"/>
            <w:vAlign w:val="bottom"/>
            <w:gridSpan w:val="4"/>
          </w:tcPr>
          <w:p>
            <w:pPr>
              <w:spacing w:after="0"/>
              <w:rPr>
                <w:sz w:val="19"/>
                <w:szCs w:val="19"/>
                <w:color w:val="auto"/>
              </w:rPr>
            </w:pPr>
          </w:p>
        </w:tc>
        <w:tc>
          <w:tcPr>
            <w:tcW w:w="40" w:type="dxa"/>
            <w:vAlign w:val="bottom"/>
            <w:gridSpan w:val="2"/>
          </w:tcPr>
          <w:p>
            <w:pPr>
              <w:spacing w:after="0"/>
              <w:rPr>
                <w:sz w:val="19"/>
                <w:szCs w:val="19"/>
                <w:color w:val="auto"/>
              </w:rPr>
            </w:pPr>
          </w:p>
        </w:tc>
        <w:tc>
          <w:tcPr>
            <w:tcW w:w="140" w:type="dxa"/>
            <w:vAlign w:val="bottom"/>
            <w:gridSpan w:val="7"/>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gridSpan w:val="19"/>
          </w:tcPr>
          <w:p>
            <w:pPr>
              <w:spacing w:after="0" w:line="156" w:lineRule="exact"/>
              <w:rPr>
                <w:rFonts w:ascii="Times New Roman" w:cs="Times New Roman" w:eastAsia="Times New Roman" w:hAnsi="Times New Roman"/>
                <w:sz w:val="18"/>
                <w:szCs w:val="18"/>
                <w:color w:val="0000FF"/>
                <w:w w:val="98"/>
              </w:rPr>
            </w:pPr>
            <w:hyperlink r:id="rId138">
              <w:r>
                <w:rPr>
                  <w:rFonts w:ascii="Times New Roman" w:cs="Times New Roman" w:eastAsia="Times New Roman" w:hAnsi="Times New Roman"/>
                  <w:sz w:val="18"/>
                  <w:szCs w:val="18"/>
                  <w:color w:val="0000FF"/>
                  <w:w w:val="98"/>
                </w:rPr>
                <w:t>(incorporated herein by reference to Exhibit 10.15 to the Company's Annual Report on Form 10-K filed with the SEC on February</w:t>
              </w:r>
            </w:hyperlink>
          </w:p>
        </w:tc>
        <w:tc>
          <w:tcPr>
            <w:tcW w:w="480" w:type="dxa"/>
            <w:vAlign w:val="bottom"/>
            <w:gridSpan w:val="3"/>
            <w:vMerge w:val="continue"/>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2023)</w:t>
              </w:r>
            </w:hyperlink>
          </w:p>
        </w:tc>
        <w:tc>
          <w:tcPr>
            <w:tcW w:w="29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3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tcPr>
          <w:p>
            <w:pPr>
              <w:spacing w:after="0"/>
              <w:rPr>
                <w:sz w:val="19"/>
                <w:szCs w:val="19"/>
                <w:color w:val="auto"/>
              </w:rPr>
            </w:pPr>
          </w:p>
        </w:tc>
        <w:tc>
          <w:tcPr>
            <w:tcW w:w="10000" w:type="dxa"/>
            <w:vAlign w:val="bottom"/>
            <w:gridSpan w:val="36"/>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Employment Agreement, dated July 29, 2019, between Reynolds Consumer Products LLC and Rachel Bishop (including the</w:t>
              </w:r>
            </w:hyperlink>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tcBorders>
              <w:top w:val="single" w:sz="8" w:color="0000EE"/>
            </w:tcBorders>
            <w:gridSpan w:val="28"/>
          </w:tcPr>
          <w:p>
            <w:pPr>
              <w:spacing w:after="0" w:line="182"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Restrictive Covenant Agreement attached thereto) (incorporated herein by reference to Exhibit 10.29 to the Company’s Registration</w:t>
              </w:r>
            </w:hyperlink>
          </w:p>
        </w:tc>
        <w:tc>
          <w:tcPr>
            <w:tcW w:w="14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Statement on Form S-1 (File No. 333-234731) filed with the SEC on January 28, 2020)</w:t>
              </w:r>
            </w:hyperlink>
          </w:p>
        </w:tc>
        <w:tc>
          <w:tcPr>
            <w:tcW w:w="2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19"/>
                <w:szCs w:val="19"/>
                <w:color w:val="auto"/>
              </w:rPr>
            </w:pPr>
          </w:p>
        </w:tc>
        <w:tc>
          <w:tcPr>
            <w:tcW w:w="91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Amendment to Employment Agreement, dated May 31, 2022, between Reynolds Consumer Products LLC and Rachel Bishop</w:t>
              </w:r>
            </w:hyperlink>
          </w:p>
        </w:tc>
        <w:tc>
          <w:tcPr>
            <w:tcW w:w="900" w:type="dxa"/>
            <w:vAlign w:val="bottom"/>
            <w:gridSpan w:val="18"/>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36"/>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(incorporated herein by reference to Exhibit 10.17 to the Company's Annual Report on Form 10-K filed with the SEC on February 8,</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2023)</w:t>
              </w:r>
            </w:hyperlink>
          </w:p>
        </w:tc>
        <w:tc>
          <w:tcPr>
            <w:tcW w:w="29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3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19"/>
                <w:szCs w:val="19"/>
                <w:color w:val="auto"/>
              </w:rPr>
            </w:pPr>
          </w:p>
        </w:tc>
        <w:tc>
          <w:tcPr>
            <w:tcW w:w="10000" w:type="dxa"/>
            <w:vAlign w:val="bottom"/>
            <w:gridSpan w:val="36"/>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Employment Agreement, dated July 8, 2019, between Reynolds Consumer Products LLC and Judith Buckner (including the</w:t>
              </w:r>
            </w:hyperlink>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tcBorders>
              <w:top w:val="single" w:sz="8" w:color="0000EE"/>
              <w:bottom w:val="single" w:sz="8" w:color="0000EE"/>
            </w:tcBorders>
            <w:gridSpan w:val="35"/>
          </w:tcPr>
          <w:p>
            <w:pPr>
              <w:spacing w:after="0" w:line="182"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Restrictive Covenant Agreement attached thereto) (incorporated herein by reference to Exhibit 10.14 to the Company's Annual Report</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on Form 10-K filed with the SEC on February 9, 2022)</w:t>
              </w:r>
            </w:hyperlink>
          </w:p>
        </w:tc>
        <w:tc>
          <w:tcPr>
            <w:tcW w:w="602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10.15†</w:t>
            </w:r>
          </w:p>
        </w:tc>
        <w:tc>
          <w:tcPr>
            <w:tcW w:w="20" w:type="dxa"/>
            <w:vAlign w:val="bottom"/>
          </w:tcPr>
          <w:p>
            <w:pPr>
              <w:spacing w:after="0"/>
              <w:rPr>
                <w:sz w:val="19"/>
                <w:szCs w:val="19"/>
                <w:color w:val="auto"/>
              </w:rPr>
            </w:pPr>
          </w:p>
        </w:tc>
        <w:tc>
          <w:tcPr>
            <w:tcW w:w="90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Amendment to Employment Agreement, dated May 31, 2022 between Reynolds Consumer Products LLC and Judith Buckner</w:t>
              </w:r>
            </w:hyperlink>
          </w:p>
        </w:tc>
        <w:tc>
          <w:tcPr>
            <w:tcW w:w="920" w:type="dxa"/>
            <w:vAlign w:val="bottom"/>
            <w:gridSpan w:val="19"/>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36"/>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(incorporated herein by reference to Exhibit 10.18 to the Company's Annual Report on Form 10-K filed with the SEC on February 8,</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5"/>
              </w:rPr>
            </w:pPr>
            <w:hyperlink r:id="rId142">
              <w:r>
                <w:rPr>
                  <w:rFonts w:ascii="Times New Roman" w:cs="Times New Roman" w:eastAsia="Times New Roman" w:hAnsi="Times New Roman"/>
                  <w:sz w:val="18"/>
                  <w:szCs w:val="18"/>
                  <w:color w:val="0000FF"/>
                  <w:w w:val="95"/>
                </w:rPr>
                <w:t>2023)</w:t>
              </w:r>
            </w:hyperlink>
          </w:p>
        </w:tc>
        <w:tc>
          <w:tcPr>
            <w:tcW w:w="20" w:type="dxa"/>
            <w:vAlign w:val="bottom"/>
            <w:tcBorders>
              <w:top w:val="single" w:sz="8" w:color="0000FF"/>
            </w:tcBorders>
          </w:tcPr>
          <w:p>
            <w:pPr>
              <w:spacing w:after="0"/>
              <w:rPr>
                <w:sz w:val="14"/>
                <w:szCs w:val="14"/>
                <w:color w:val="auto"/>
              </w:rPr>
            </w:pPr>
          </w:p>
        </w:tc>
        <w:tc>
          <w:tcPr>
            <w:tcW w:w="29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3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0"/>
        </w:trPr>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80" w:type="dxa"/>
            <w:vAlign w:val="bottom"/>
            <w:gridSpan w:val="8"/>
          </w:tcPr>
          <w:p>
            <w:pPr>
              <w:jc w:val="right"/>
              <w:ind w:right="1220"/>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4"/>
        </w:trPr>
        <w:tc>
          <w:tcPr>
            <w:tcW w:w="1280" w:type="dxa"/>
            <w:vAlign w:val="bottom"/>
            <w:tcBorders>
              <w:top w:val="single" w:sz="8" w:color="0000FF"/>
            </w:tcBorders>
          </w:tcPr>
          <w:p>
            <w:pPr>
              <w:ind w:left="40"/>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tcPr>
          <w:p>
            <w:pPr>
              <w:spacing w:after="0"/>
              <w:rPr>
                <w:sz w:val="24"/>
                <w:szCs w:val="24"/>
                <w:color w:val="auto"/>
              </w:rPr>
            </w:pPr>
          </w:p>
        </w:tc>
        <w:tc>
          <w:tcPr>
            <w:tcW w:w="90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Employment Agreement, dated February 28, 2022, between Reynolds Consumer Products LLC and Lisa Smith (including the</w:t>
              </w:r>
            </w:hyperlink>
          </w:p>
        </w:tc>
        <w:tc>
          <w:tcPr>
            <w:tcW w:w="20" w:type="dxa"/>
            <w:vAlign w:val="bottom"/>
          </w:tcPr>
          <w:p>
            <w:pPr>
              <w:spacing w:after="0"/>
              <w:rPr>
                <w:sz w:val="24"/>
                <w:szCs w:val="24"/>
                <w:color w:val="auto"/>
              </w:rPr>
            </w:pPr>
          </w:p>
        </w:tc>
        <w:tc>
          <w:tcPr>
            <w:tcW w:w="960" w:type="dxa"/>
            <w:vAlign w:val="bottom"/>
            <w:gridSpan w:val="18"/>
            <w:vMerge w:val="restart"/>
          </w:tcPr>
          <w:p>
            <w:pPr>
              <w:ind w:left="100"/>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Report</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60" w:type="dxa"/>
            <w:vAlign w:val="bottom"/>
            <w:gridSpan w:val="15"/>
          </w:tcPr>
          <w:p>
            <w:pPr>
              <w:spacing w:after="0" w:line="156" w:lineRule="exact"/>
              <w:rPr>
                <w:rFonts w:ascii="Times New Roman" w:cs="Times New Roman" w:eastAsia="Times New Roman" w:hAnsi="Times New Roman"/>
                <w:sz w:val="18"/>
                <w:szCs w:val="18"/>
                <w:color w:val="0000FF"/>
                <w:w w:val="98"/>
              </w:rPr>
            </w:pPr>
            <w:hyperlink r:id="rId145">
              <w:r>
                <w:rPr>
                  <w:rFonts w:ascii="Times New Roman" w:cs="Times New Roman" w:eastAsia="Times New Roman" w:hAnsi="Times New Roman"/>
                  <w:sz w:val="18"/>
                  <w:szCs w:val="18"/>
                  <w:color w:val="0000FF"/>
                  <w:w w:val="98"/>
                </w:rPr>
                <w:t>Restrictive Covenant Agreement attached thereto) (incorporated herein by reference to Exhibit 10.14 to the Company's Annual</w:t>
              </w:r>
            </w:hyperlink>
          </w:p>
        </w:tc>
        <w:tc>
          <w:tcPr>
            <w:tcW w:w="20" w:type="dxa"/>
            <w:vAlign w:val="bottom"/>
          </w:tcPr>
          <w:p>
            <w:pPr>
              <w:spacing w:after="0"/>
              <w:rPr>
                <w:sz w:val="13"/>
                <w:szCs w:val="13"/>
                <w:color w:val="auto"/>
              </w:rPr>
            </w:pPr>
          </w:p>
        </w:tc>
        <w:tc>
          <w:tcPr>
            <w:tcW w:w="960" w:type="dxa"/>
            <w:vAlign w:val="bottom"/>
            <w:gridSpan w:val="1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6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on Form 10-K filed with the SEC on February 8, 2023)</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10.17†</w:t>
            </w:r>
          </w:p>
        </w:tc>
        <w:tc>
          <w:tcPr>
            <w:tcW w:w="10040" w:type="dxa"/>
            <w:vAlign w:val="bottom"/>
            <w:gridSpan w:val="34"/>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Offer Letter, dated as of September 15, 2023, by and between Reynolds Consumer Products LLC and Scott E. Huckins (incorporated</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80" w:type="dxa"/>
            <w:vAlign w:val="bottom"/>
            <w:tcBorders>
              <w:top w:val="single" w:sz="8" w:color="0000FF"/>
              <w:bottom w:val="single" w:sz="8" w:color="0000FF"/>
            </w:tcBorders>
            <w:gridSpan w:val="14"/>
          </w:tcPr>
          <w:p>
            <w:pPr>
              <w:spacing w:after="0" w:line="182"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herein by reference to Exhibit 10.1 to the Company's Current Report on Form 8-K filed with the SEC on October 12, 2023)</w:t>
              </w:r>
            </w:hyperlink>
          </w:p>
        </w:tc>
        <w:tc>
          <w:tcPr>
            <w:tcW w:w="100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10.18†</w:t>
            </w:r>
          </w:p>
        </w:tc>
        <w:tc>
          <w:tcPr>
            <w:tcW w:w="10040" w:type="dxa"/>
            <w:vAlign w:val="bottom"/>
            <w:gridSpan w:val="34"/>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Employment Agreement, effective October 23, 2023, by and between Reynolds Consumer Products LLC and Scott E. Huckins</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80" w:type="dxa"/>
            <w:vAlign w:val="bottom"/>
            <w:tcBorders>
              <w:top w:val="single" w:sz="8" w:color="0000FF"/>
              <w:bottom w:val="single" w:sz="8" w:color="0000FF"/>
            </w:tcBorders>
            <w:gridSpan w:val="21"/>
          </w:tcPr>
          <w:p>
            <w:pPr>
              <w:spacing w:after="0" w:line="182"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(including the Restrictive Covenant Agreement attached thereto) (incorporated herein by reference to Exhibit 10.2 to the Company's</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40" w:type="dxa"/>
            <w:vAlign w:val="bottom"/>
            <w:gridSpan w:val="34"/>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Current Report on Form 8-K filed with the SEC on October 12, 2023)</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200" w:type="dxa"/>
            <w:vAlign w:val="bottom"/>
          </w:tcPr>
          <w:p>
            <w:pPr>
              <w:spacing w:after="0"/>
              <w:rPr>
                <w:sz w:val="20"/>
                <w:szCs w:val="20"/>
                <w:color w:val="auto"/>
              </w:rPr>
            </w:pPr>
          </w:p>
        </w:tc>
        <w:tc>
          <w:tcPr>
            <w:tcW w:w="10040" w:type="dxa"/>
            <w:vAlign w:val="bottom"/>
            <w:gridSpan w:val="34"/>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Master Supply Agreement, dated November 1, 2019, between Reynolds Consumer Products LLC, as Seller, and Pactiv LLC, as Buyer</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0" w:type="dxa"/>
            <w:vAlign w:val="bottom"/>
            <w:tcBorders>
              <w:top w:val="single" w:sz="8" w:color="0000EE"/>
              <w:bottom w:val="single" w:sz="8" w:color="0000EE"/>
            </w:tcBorders>
            <w:gridSpan w:val="22"/>
          </w:tcPr>
          <w:p>
            <w:pPr>
              <w:spacing w:after="0" w:line="182"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(incorporated herein by reference to Exhibit 10.18 to the Company’s Registration Statement on Form S-1 (File No. 333-234731) filed</w:t>
              </w:r>
            </w:hyperlink>
          </w:p>
        </w:tc>
        <w:tc>
          <w:tcPr>
            <w:tcW w:w="180" w:type="dxa"/>
            <w:vAlign w:val="bottom"/>
            <w:tcBorders>
              <w:top w:val="single" w:sz="8" w:color="0000EE"/>
            </w:tcBorders>
            <w:gridSpan w:val="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40" w:type="dxa"/>
            <w:vAlign w:val="bottom"/>
            <w:gridSpan w:val="34"/>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with the SEC on November 15, 2019)</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200" w:type="dxa"/>
            <w:vAlign w:val="bottom"/>
          </w:tcPr>
          <w:p>
            <w:pPr>
              <w:spacing w:after="0"/>
              <w:rPr>
                <w:sz w:val="20"/>
                <w:szCs w:val="20"/>
                <w:color w:val="auto"/>
              </w:rPr>
            </w:pPr>
          </w:p>
        </w:tc>
        <w:tc>
          <w:tcPr>
            <w:tcW w:w="10040" w:type="dxa"/>
            <w:vAlign w:val="bottom"/>
            <w:gridSpan w:val="34"/>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Amendment No. 1, dated January 15 2022 and Amendment No. 2, dated March 31, 2023, to the Master Supply Agreement between</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60" w:type="dxa"/>
            <w:vAlign w:val="bottom"/>
            <w:tcBorders>
              <w:top w:val="single" w:sz="8" w:color="0000FF"/>
              <w:bottom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Reynolds Consumer Products LLC, as seller, and Pactiv LLC, as buyer (incorporated herein by reference to Exhibit 10.2 to the</w:t>
              </w:r>
            </w:hyperlink>
          </w:p>
        </w:tc>
        <w:tc>
          <w:tcPr>
            <w:tcW w:w="4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Company's Quarterly Report on Form 10-Q filed with the SEC on May 10, 2023)</w:t>
              </w:r>
            </w:hyperlink>
          </w:p>
        </w:tc>
        <w:tc>
          <w:tcPr>
            <w:tcW w:w="41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200" w:type="dxa"/>
            <w:vAlign w:val="bottom"/>
          </w:tcPr>
          <w:p>
            <w:pPr>
              <w:spacing w:after="0"/>
              <w:rPr>
                <w:sz w:val="20"/>
                <w:szCs w:val="20"/>
                <w:color w:val="auto"/>
              </w:rPr>
            </w:pPr>
          </w:p>
        </w:tc>
        <w:tc>
          <w:tcPr>
            <w:tcW w:w="10040" w:type="dxa"/>
            <w:vAlign w:val="bottom"/>
            <w:gridSpan w:val="34"/>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Master Supply Agreement, dated November 1, 2019, between Pactiv LLC, as Seller, and Reynolds Consumer Products LLC, as Buyer</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0" w:type="dxa"/>
            <w:vAlign w:val="bottom"/>
            <w:tcBorders>
              <w:top w:val="single" w:sz="8" w:color="0000EE"/>
              <w:bottom w:val="single" w:sz="8" w:color="0000EE"/>
            </w:tcBorders>
            <w:gridSpan w:val="22"/>
          </w:tcPr>
          <w:p>
            <w:pPr>
              <w:spacing w:after="0" w:line="182"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(incorporated herein by reference to Exhibit 10.19 to the Company’s Registration Statement on Form S-1 (File No. 333-234731) filed</w:t>
              </w:r>
            </w:hyperlink>
          </w:p>
        </w:tc>
        <w:tc>
          <w:tcPr>
            <w:tcW w:w="180" w:type="dxa"/>
            <w:vAlign w:val="bottom"/>
            <w:tcBorders>
              <w:top w:val="single" w:sz="8" w:color="0000EE"/>
            </w:tcBorders>
            <w:gridSpan w:val="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40" w:type="dxa"/>
            <w:vAlign w:val="bottom"/>
            <w:gridSpan w:val="34"/>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with the SEC on November 15, 2019)</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200" w:type="dxa"/>
            <w:vAlign w:val="bottom"/>
          </w:tcPr>
          <w:p>
            <w:pPr>
              <w:spacing w:after="0"/>
              <w:rPr>
                <w:sz w:val="20"/>
                <w:szCs w:val="20"/>
                <w:color w:val="auto"/>
              </w:rPr>
            </w:pPr>
          </w:p>
        </w:tc>
        <w:tc>
          <w:tcPr>
            <w:tcW w:w="10040" w:type="dxa"/>
            <w:vAlign w:val="bottom"/>
            <w:gridSpan w:val="34"/>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Amendment No. 1, dated January 15, 2022 and Amendment No. 2, dated March 31, 2023, to the Master Supply Agreement between</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60" w:type="dxa"/>
            <w:vAlign w:val="bottom"/>
            <w:tcBorders>
              <w:top w:val="single" w:sz="8" w:color="0000FF"/>
              <w:bottom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Pactiv LLC, as seller, and Reynolds Consumer Products LLC, as buyer (incorporated herein by reference to Exhibit 10.3 to the</w:t>
              </w:r>
            </w:hyperlink>
          </w:p>
        </w:tc>
        <w:tc>
          <w:tcPr>
            <w:tcW w:w="14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Company's Quarterly Report on Form 10-Q filed with the SEC on May 10, 2023)</w:t>
              </w:r>
            </w:hyperlink>
          </w:p>
        </w:tc>
        <w:tc>
          <w:tcPr>
            <w:tcW w:w="41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200" w:type="dxa"/>
            <w:vAlign w:val="bottom"/>
          </w:tcPr>
          <w:p>
            <w:pPr>
              <w:spacing w:after="0"/>
              <w:rPr>
                <w:sz w:val="20"/>
                <w:szCs w:val="20"/>
                <w:color w:val="auto"/>
              </w:rPr>
            </w:pPr>
          </w:p>
        </w:tc>
        <w:tc>
          <w:tcPr>
            <w:tcW w:w="10040" w:type="dxa"/>
            <w:vAlign w:val="bottom"/>
            <w:gridSpan w:val="34"/>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Warehousing and Freight Services Agreement, dated November 1, 2019, between Pactiv LLC and Reynolds Consumer Products LLC</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20" w:type="dxa"/>
            <w:vAlign w:val="bottom"/>
            <w:tcBorders>
              <w:top w:val="single" w:sz="8" w:color="0000EE"/>
              <w:bottom w:val="single" w:sz="8" w:color="0000EE"/>
            </w:tcBorders>
            <w:gridSpan w:val="18"/>
          </w:tcPr>
          <w:p>
            <w:pPr>
              <w:spacing w:after="0" w:line="182"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(incorporated herein by reference to Exhibit 10.20 to the Company’s Registration Statement on Form S-1 (File No. 333-234731) filed</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40" w:type="dxa"/>
            <w:vAlign w:val="bottom"/>
            <w:gridSpan w:val="34"/>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with the SEC on November 15, 2019)</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200" w:type="dxa"/>
            <w:vAlign w:val="bottom"/>
          </w:tcPr>
          <w:p>
            <w:pPr>
              <w:spacing w:after="0"/>
              <w:rPr>
                <w:sz w:val="20"/>
                <w:szCs w:val="20"/>
                <w:color w:val="auto"/>
              </w:rPr>
            </w:pPr>
          </w:p>
        </w:tc>
        <w:tc>
          <w:tcPr>
            <w:tcW w:w="10040" w:type="dxa"/>
            <w:vAlign w:val="bottom"/>
            <w:gridSpan w:val="34"/>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Amended and Restated Lease Agreement, dated January 1, 2020, between Pactiv LLC and Reynolds Consumer Products LLC</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20" w:type="dxa"/>
            <w:vAlign w:val="bottom"/>
            <w:tcBorders>
              <w:top w:val="single" w:sz="8" w:color="0000EE"/>
              <w:bottom w:val="single" w:sz="8" w:color="0000EE"/>
            </w:tcBorders>
            <w:gridSpan w:val="23"/>
          </w:tcPr>
          <w:p>
            <w:pPr>
              <w:spacing w:after="0" w:line="182"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(incorporated herein by reference to Exhibit 10.23 to the Company’s Registration Statement on Form S-1 filed with the SEC on</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gridSpan w:val="3"/>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53">
              <w:r>
                <w:rPr>
                  <w:rFonts w:ascii="Times New Roman" w:cs="Times New Roman" w:eastAsia="Times New Roman" w:hAnsi="Times New Roman"/>
                  <w:sz w:val="18"/>
                  <w:szCs w:val="18"/>
                  <w:color w:val="0000EE"/>
                  <w:w w:val="98"/>
                </w:rPr>
                <w:t>January 21, 2020)</w:t>
              </w:r>
            </w:hyperlink>
          </w:p>
        </w:tc>
        <w:tc>
          <w:tcPr>
            <w:tcW w:w="874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200" w:type="dxa"/>
            <w:vAlign w:val="bottom"/>
          </w:tcPr>
          <w:p>
            <w:pPr>
              <w:spacing w:after="0"/>
              <w:rPr>
                <w:sz w:val="20"/>
                <w:szCs w:val="20"/>
                <w:color w:val="auto"/>
              </w:rPr>
            </w:pPr>
          </w:p>
        </w:tc>
        <w:tc>
          <w:tcPr>
            <w:tcW w:w="10040" w:type="dxa"/>
            <w:vAlign w:val="bottom"/>
            <w:gridSpan w:val="34"/>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Tax Matters Agreement, dated February 4, 2020 (incorporated herein by reference to Exhibit 10.3 to the Company’s Current Report on</w:t>
              </w:r>
            </w:hyperlink>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60" w:type="dxa"/>
            <w:vAlign w:val="bottom"/>
            <w:tcBorders>
              <w:top w:val="single" w:sz="8" w:color="0000EE"/>
              <w:bottom w:val="single" w:sz="8" w:color="0000EE"/>
            </w:tcBorders>
            <w:gridSpan w:val="8"/>
          </w:tcPr>
          <w:p>
            <w:pPr>
              <w:spacing w:after="0" w:line="182"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Form 8-K filed with the SEC on February 4, 2020)</w:t>
              </w:r>
            </w:hyperlink>
          </w:p>
        </w:tc>
        <w:tc>
          <w:tcPr>
            <w:tcW w:w="6280" w:type="dxa"/>
            <w:vAlign w:val="bottom"/>
            <w:tcBorders>
              <w:top w:val="single" w:sz="8" w:color="0000EE"/>
            </w:tcBorders>
            <w:gridSpan w:val="21"/>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200" w:type="dxa"/>
            <w:vAlign w:val="bottom"/>
          </w:tcPr>
          <w:p>
            <w:pPr>
              <w:spacing w:after="0"/>
              <w:rPr>
                <w:sz w:val="21"/>
                <w:szCs w:val="21"/>
                <w:color w:val="auto"/>
              </w:rPr>
            </w:pPr>
          </w:p>
        </w:tc>
        <w:tc>
          <w:tcPr>
            <w:tcW w:w="10040" w:type="dxa"/>
            <w:vAlign w:val="bottom"/>
            <w:gridSpan w:val="34"/>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Registration Rights Agreement, dated February 4, 2020, between Packaging Finance Limited and Reynolds Consumer Products Inc.</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80" w:type="dxa"/>
            <w:vAlign w:val="bottom"/>
            <w:tcBorders>
              <w:top w:val="single" w:sz="8" w:color="0000EE"/>
              <w:bottom w:val="single" w:sz="8" w:color="0000EE"/>
            </w:tcBorders>
            <w:gridSpan w:val="21"/>
          </w:tcPr>
          <w:p>
            <w:pPr>
              <w:spacing w:after="0" w:line="182"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(incorporated herein by reference to Exhibit 10.1 to the Company’s Current Report on Form 8-K filed with the SEC on February 4,</w:t>
              </w:r>
            </w:hyperlink>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55">
              <w:r>
                <w:rPr>
                  <w:rFonts w:ascii="Times New Roman" w:cs="Times New Roman" w:eastAsia="Times New Roman" w:hAnsi="Times New Roman"/>
                  <w:sz w:val="18"/>
                  <w:szCs w:val="18"/>
                  <w:color w:val="0000EE"/>
                  <w:w w:val="95"/>
                </w:rPr>
                <w:t>2020)</w:t>
              </w:r>
            </w:hyperlink>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200" w:type="dxa"/>
            <w:vAlign w:val="bottom"/>
          </w:tcPr>
          <w:p>
            <w:pPr>
              <w:spacing w:after="0"/>
              <w:rPr>
                <w:sz w:val="20"/>
                <w:szCs w:val="20"/>
                <w:color w:val="auto"/>
              </w:rPr>
            </w:pPr>
          </w:p>
        </w:tc>
        <w:tc>
          <w:tcPr>
            <w:tcW w:w="10040" w:type="dxa"/>
            <w:vAlign w:val="bottom"/>
            <w:gridSpan w:val="34"/>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Stockholders Agreement dated February 4, 2020, between Packaging Finance Limited and Reynolds Consumer Products Inc.</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60" w:type="dxa"/>
            <w:vAlign w:val="bottom"/>
            <w:tcBorders>
              <w:top w:val="single" w:sz="8" w:color="0000EE"/>
            </w:tcBorders>
            <w:gridSpan w:val="20"/>
          </w:tcPr>
          <w:p>
            <w:pPr>
              <w:spacing w:after="0" w:line="182"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(incorporated herein by reference to Exhibit 10.2 to the Company’s Current Report on Form 8-K filed with the SEC on February 4,</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56">
              <w:r>
                <w:rPr>
                  <w:rFonts w:ascii="Times New Roman" w:cs="Times New Roman" w:eastAsia="Times New Roman" w:hAnsi="Times New Roman"/>
                  <w:sz w:val="18"/>
                  <w:szCs w:val="18"/>
                  <w:color w:val="0000EE"/>
                  <w:w w:val="95"/>
                </w:rPr>
                <w:t>2020)</w:t>
              </w:r>
            </w:hyperlink>
          </w:p>
        </w:tc>
        <w:tc>
          <w:tcPr>
            <w:tcW w:w="8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0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200" w:type="dxa"/>
            <w:vAlign w:val="bottom"/>
          </w:tcPr>
          <w:p>
            <w:pPr>
              <w:spacing w:after="0"/>
              <w:rPr>
                <w:sz w:val="20"/>
                <w:szCs w:val="20"/>
                <w:color w:val="auto"/>
              </w:rPr>
            </w:pPr>
          </w:p>
        </w:tc>
        <w:tc>
          <w:tcPr>
            <w:tcW w:w="10040" w:type="dxa"/>
            <w:vAlign w:val="bottom"/>
            <w:gridSpan w:val="34"/>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Credit Agreement between Reynolds Consumer Products LLC, as borrower, Reynolds Consumer Products Inc., as parent, and certain</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40" w:type="dxa"/>
            <w:vAlign w:val="bottom"/>
            <w:tcBorders>
              <w:top w:val="single" w:sz="8" w:color="0000EE"/>
              <w:bottom w:val="single" w:sz="8" w:color="0000EE"/>
            </w:tcBorders>
            <w:gridSpan w:val="19"/>
          </w:tcPr>
          <w:p>
            <w:pPr>
              <w:spacing w:after="0" w:line="182"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lenders party thereto (incorporated herein by reference to Exhibit 10.4 to the Company’s Current Report on Form 8-K filed with the</w:t>
              </w:r>
            </w:hyperlink>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SEC on February 4, 2020)</w:t>
              </w:r>
            </w:hyperlink>
          </w:p>
        </w:tc>
        <w:tc>
          <w:tcPr>
            <w:tcW w:w="814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200" w:type="dxa"/>
            <w:vAlign w:val="bottom"/>
          </w:tcPr>
          <w:p>
            <w:pPr>
              <w:spacing w:after="0"/>
              <w:rPr>
                <w:sz w:val="20"/>
                <w:szCs w:val="20"/>
                <w:color w:val="auto"/>
              </w:rPr>
            </w:pPr>
          </w:p>
        </w:tc>
        <w:tc>
          <w:tcPr>
            <w:tcW w:w="10040" w:type="dxa"/>
            <w:vAlign w:val="bottom"/>
            <w:gridSpan w:val="34"/>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Amendment No. 1, dated February 28, 2023, to the Credit Agreement between Reynolds Consumer Products LLC, as borrower,</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40" w:type="dxa"/>
            <w:vAlign w:val="bottom"/>
            <w:tcBorders>
              <w:top w:val="single" w:sz="8" w:color="0000FF"/>
              <w:bottom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Reynolds Consumer Products Inc., as parent, and certain lenders party thereto (incorporated herein by reference to Exhibit 10.1 to the</w:t>
              </w:r>
            </w:hyperlink>
          </w:p>
        </w:tc>
        <w:tc>
          <w:tcPr>
            <w:tcW w:w="80" w:type="dxa"/>
            <w:vAlign w:val="bottom"/>
            <w:tcBorders>
              <w:bottom w:val="single" w:sz="8" w:color="0000FF"/>
            </w:tcBorders>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Company's Quarterly Report on Form 10-Q filed with the SEC on May 10, 2023)</w:t>
              </w:r>
            </w:hyperlink>
          </w:p>
        </w:tc>
        <w:tc>
          <w:tcPr>
            <w:tcW w:w="41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200" w:type="dxa"/>
            <w:vAlign w:val="bottom"/>
          </w:tcPr>
          <w:p>
            <w:pPr>
              <w:spacing w:after="0"/>
              <w:rPr>
                <w:sz w:val="20"/>
                <w:szCs w:val="20"/>
                <w:color w:val="auto"/>
              </w:rPr>
            </w:pPr>
          </w:p>
        </w:tc>
        <w:tc>
          <w:tcPr>
            <w:tcW w:w="10040" w:type="dxa"/>
            <w:vAlign w:val="bottom"/>
            <w:gridSpan w:val="34"/>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Amendment No. 2, dated as of November 21, 2023 to the Credit Agreement, dated as of February 4, 2020, between Reynolds</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0" w:type="dxa"/>
            <w:vAlign w:val="bottom"/>
            <w:tcBorders>
              <w:top w:val="single" w:sz="8" w:color="0000FF"/>
              <w:bottom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Consumer Products LLC, as borrower, Reynolds Consumer Products Inc., as parent and certain lenders party thereto (incorporated</w:t>
              </w:r>
            </w:hyperlink>
          </w:p>
        </w:tc>
        <w:tc>
          <w:tcPr>
            <w:tcW w:w="120" w:type="dxa"/>
            <w:vAlign w:val="bottom"/>
            <w:tcBorders>
              <w:bottom w:val="single" w:sz="8" w:color="0000FF"/>
            </w:tcBorders>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herein by reference to Exhibit 10.1 to the Company's Current Report on Form 8-K filed with the SEC on November 21, 2023)</w:t>
              </w:r>
            </w:hyperlink>
          </w:p>
        </w:tc>
        <w:tc>
          <w:tcPr>
            <w:tcW w:w="9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20"/>
                <w:szCs w:val="20"/>
                <w:color w:val="auto"/>
              </w:rPr>
            </w:pPr>
          </w:p>
        </w:tc>
        <w:tc>
          <w:tcPr>
            <w:tcW w:w="1004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List of subsidiaries</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20" w:type="dxa"/>
            <w:vAlign w:val="bottom"/>
            <w:gridSpan w:val="1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20"/>
                <w:szCs w:val="20"/>
                <w:color w:val="auto"/>
              </w:rPr>
            </w:pPr>
          </w:p>
        </w:tc>
        <w:tc>
          <w:tcPr>
            <w:tcW w:w="1004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Consent of PricewaterhouseCoopers LLP</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20" w:type="dxa"/>
            <w:vAlign w:val="bottom"/>
            <w:gridSpan w:val="1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Pr>
          <w:p>
            <w:pPr>
              <w:spacing w:after="0"/>
              <w:rPr>
                <w:sz w:val="20"/>
                <w:szCs w:val="20"/>
                <w:color w:val="auto"/>
              </w:rPr>
            </w:pPr>
          </w:p>
        </w:tc>
        <w:tc>
          <w:tcPr>
            <w:tcW w:w="55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Power of Attorney (see signature page to this Annual Report on Form 10-K)</w:t>
            </w:r>
          </w:p>
        </w:tc>
        <w:tc>
          <w:tcPr>
            <w:tcW w:w="4540" w:type="dxa"/>
            <w:vAlign w:val="bottom"/>
            <w:gridSpan w:val="22"/>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0"/>
                <w:szCs w:val="20"/>
                <w:color w:val="auto"/>
              </w:rPr>
            </w:pPr>
          </w:p>
        </w:tc>
        <w:tc>
          <w:tcPr>
            <w:tcW w:w="1004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of the Company Pursuant to Rule 13a-14 of the Securities Exchange Act of 1934, As</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940" w:type="dxa"/>
            <w:vAlign w:val="bottom"/>
            <w:tcBorders>
              <w:top w:val="single" w:sz="8" w:color="0000EE"/>
              <w:bottom w:val="single" w:sz="8" w:color="0000EE"/>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4920" w:type="dxa"/>
            <w:vAlign w:val="bottom"/>
            <w:tcBorders>
              <w:top w:val="single" w:sz="8" w:color="0000EE"/>
            </w:tcBorders>
            <w:gridSpan w:val="15"/>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1"/>
                <w:szCs w:val="21"/>
                <w:color w:val="auto"/>
              </w:rPr>
            </w:pPr>
          </w:p>
        </w:tc>
        <w:tc>
          <w:tcPr>
            <w:tcW w:w="1004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of the Company Pursuant to Rule 13a-14 of the Securities Exchange Act of 1934, As</w:t>
            </w:r>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940" w:type="dxa"/>
            <w:vAlign w:val="bottom"/>
            <w:tcBorders>
              <w:top w:val="single" w:sz="8" w:color="0000EE"/>
              <w:bottom w:val="single" w:sz="8" w:color="0000EE"/>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5020" w:type="dxa"/>
            <w:vAlign w:val="bottom"/>
            <w:tcBorders>
              <w:top w:val="single" w:sz="8" w:color="0000EE"/>
            </w:tcBorders>
            <w:gridSpan w:val="20"/>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1"/>
                <w:szCs w:val="21"/>
                <w:color w:val="auto"/>
              </w:rPr>
            </w:pPr>
          </w:p>
        </w:tc>
        <w:tc>
          <w:tcPr>
            <w:tcW w:w="1004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of the Company Pursuant to 18 U.S.C. Section 1350, As Adopted Pursuant to Section 906</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tcBorders>
              <w:top w:val="single" w:sz="8" w:color="0000EE"/>
              <w:bottom w:val="single" w:sz="8" w:color="0000EE"/>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EE"/>
                <w:w w:val="99"/>
              </w:rPr>
              <w:t>of the Sarbanes-Oxley Act of 2002</w:t>
            </w:r>
          </w:p>
        </w:tc>
        <w:tc>
          <w:tcPr>
            <w:tcW w:w="7400" w:type="dxa"/>
            <w:vAlign w:val="bottom"/>
            <w:tcBorders>
              <w:top w:val="single" w:sz="8" w:color="0000EE"/>
            </w:tcBorders>
            <w:gridSpan w:val="23"/>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1"/>
                <w:szCs w:val="21"/>
                <w:color w:val="auto"/>
              </w:rPr>
            </w:pPr>
          </w:p>
        </w:tc>
        <w:tc>
          <w:tcPr>
            <w:tcW w:w="1004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of the Company Pursuant to 18 U.S.C. Section 1350, As Adopted Pursuant to Section 906</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tcBorders>
              <w:top w:val="single" w:sz="8" w:color="0000EE"/>
              <w:bottom w:val="single" w:sz="8" w:color="0000EE"/>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EE"/>
                <w:w w:val="99"/>
              </w:rPr>
              <w:t>of the Sarbanes-Oxley Act of 2002</w:t>
            </w:r>
          </w:p>
        </w:tc>
        <w:tc>
          <w:tcPr>
            <w:tcW w:w="7500" w:type="dxa"/>
            <w:vAlign w:val="bottom"/>
            <w:tcBorders>
              <w:top w:val="single" w:sz="8" w:color="0000EE"/>
            </w:tcBorders>
            <w:gridSpan w:val="28"/>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08" w:right="359" w:bottom="1440" w:gutter="0" w:footer="0" w:header="0"/>
        </w:sectPr>
      </w:pP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898"/>
        </w:trPr>
        <w:tc>
          <w:tcPr>
            <w:tcW w:w="1280" w:type="dxa"/>
            <w:vAlign w:val="bottom"/>
            <w:tcBorders>
              <w:top w:val="single" w:sz="8" w:color="0000FF"/>
            </w:tcBorders>
          </w:tcPr>
          <w:p>
            <w:pPr>
              <w:ind w:left="4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Reynolds Consumer Products Inc. Amended and Restated Compensation Recoupment Policy</w:t>
            </w:r>
          </w:p>
        </w:tc>
        <w:tc>
          <w:tcPr>
            <w:tcW w:w="3000" w:type="dxa"/>
            <w:vAlign w:val="bottom"/>
          </w:tcPr>
          <w:p>
            <w:pPr>
              <w:spacing w:after="0"/>
              <w:rPr>
                <w:sz w:val="24"/>
                <w:szCs w:val="24"/>
                <w:color w:val="auto"/>
              </w:rPr>
            </w:pPr>
          </w:p>
        </w:tc>
      </w:tr>
      <w:tr>
        <w:trPr>
          <w:trHeight w:val="245"/>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57"/>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7"/>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6"/>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7"/>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57"/>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2" w:lineRule="exact"/>
        <w:rPr>
          <w:sz w:val="20"/>
          <w:szCs w:val="20"/>
          <w:color w:val="auto"/>
        </w:rPr>
      </w:pPr>
    </w:p>
    <w:p>
      <w:pPr>
        <w:ind w:left="1480" w:hanging="1454"/>
        <w:spacing w:after="0"/>
        <w:tabs>
          <w:tab w:leader="none" w:pos="14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REYNOLDS CONSUMER PRODUCTS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17145</wp:posOffset>
            </wp:positionV>
            <wp:extent cx="24428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Lance Mitchell</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February 7, 2024</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does hereby make, constitute and appoint Lance Mitchell and Scott Huckins, and each of them acting individually, his or her true and lawful attorneys-in-fact and agents, with full power of substitution, for them and in their name, place and stead, in any and all capacities, to sign the Annual Report on Form 10-K, and any amendments thereto, and to file the same with all exhibits thereto, and other documents in connection therewith, with the U.S.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may lawfully do or cause to be done by virtue hereof.</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80" w:type="dxa"/>
            <w:vAlign w:val="bottom"/>
          </w:tcPr>
          <w:p>
            <w:pPr>
              <w:spacing w:after="0"/>
              <w:rPr>
                <w:sz w:val="16"/>
                <w:szCs w:val="16"/>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Lance Mitchell</w:t>
            </w:r>
          </w:p>
        </w:tc>
        <w:tc>
          <w:tcPr>
            <w:tcW w:w="8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7, 2024</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Lance Mitchell</w:t>
            </w:r>
          </w:p>
        </w:tc>
        <w:tc>
          <w:tcPr>
            <w:tcW w:w="80" w:type="dxa"/>
            <w:vAlign w:val="bottom"/>
          </w:tcPr>
          <w:p>
            <w:pPr>
              <w:spacing w:after="0"/>
              <w:rPr>
                <w:sz w:val="7"/>
                <w:szCs w:val="7"/>
                <w:color w:val="auto"/>
              </w:rPr>
            </w:pPr>
          </w:p>
        </w:tc>
        <w:tc>
          <w:tcPr>
            <w:tcW w:w="3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gridSpan w:val="2"/>
            <w:vMerge w:val="continue"/>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Scott Huckins</w:t>
            </w:r>
          </w:p>
        </w:tc>
        <w:tc>
          <w:tcPr>
            <w:tcW w:w="8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7, 2024</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Scott Huckins</w:t>
            </w:r>
          </w:p>
        </w:tc>
        <w:tc>
          <w:tcPr>
            <w:tcW w:w="80" w:type="dxa"/>
            <w:vAlign w:val="bottom"/>
          </w:tcPr>
          <w:p>
            <w:pPr>
              <w:spacing w:after="0"/>
              <w:rPr>
                <w:sz w:val="7"/>
                <w:szCs w:val="7"/>
                <w:color w:val="auto"/>
              </w:rPr>
            </w:pPr>
          </w:p>
        </w:tc>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gridSpan w:val="2"/>
            <w:vMerge w:val="continue"/>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 Mayrhofer</w:t>
            </w:r>
          </w:p>
        </w:tc>
        <w:tc>
          <w:tcPr>
            <w:tcW w:w="8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Senior Vice President and Controller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7, 2024</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Chris Mayrhofer</w:t>
            </w:r>
          </w:p>
        </w:tc>
        <w:tc>
          <w:tcPr>
            <w:tcW w:w="80" w:type="dxa"/>
            <w:vAlign w:val="bottom"/>
          </w:tcPr>
          <w:p>
            <w:pPr>
              <w:spacing w:after="0"/>
              <w:rPr>
                <w:sz w:val="7"/>
                <w:szCs w:val="7"/>
                <w:color w:val="auto"/>
              </w:rPr>
            </w:pPr>
          </w:p>
        </w:tc>
        <w:tc>
          <w:tcPr>
            <w:tcW w:w="3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gridSpan w:val="2"/>
            <w:vMerge w:val="continue"/>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Richard Noll</w:t>
            </w:r>
          </w:p>
        </w:tc>
        <w:tc>
          <w:tcPr>
            <w:tcW w:w="80" w:type="dxa"/>
            <w:vAlign w:val="bottom"/>
          </w:tcPr>
          <w:p>
            <w:pPr>
              <w:spacing w:after="0"/>
              <w:rPr>
                <w:sz w:val="24"/>
                <w:szCs w:val="24"/>
                <w:color w:val="auto"/>
              </w:rPr>
            </w:pPr>
          </w:p>
        </w:tc>
        <w:tc>
          <w:tcPr>
            <w:tcW w:w="37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Director and Chairman of</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7, 2024</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Richard Noll</w:t>
            </w:r>
          </w:p>
        </w:tc>
        <w:tc>
          <w:tcPr>
            <w:tcW w:w="80" w:type="dxa"/>
            <w:vAlign w:val="bottom"/>
          </w:tcPr>
          <w:p>
            <w:pPr>
              <w:spacing w:after="0"/>
              <w:rPr>
                <w:sz w:val="7"/>
                <w:szCs w:val="7"/>
                <w:color w:val="auto"/>
              </w:rPr>
            </w:pPr>
          </w:p>
        </w:tc>
        <w:tc>
          <w:tcPr>
            <w:tcW w:w="3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rPr>
              <w:t>the Board of Directors</w:t>
            </w: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gridSpan w:val="2"/>
            <w:vMerge w:val="continue"/>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Gregory Cole</w:t>
            </w:r>
          </w:p>
        </w:tc>
        <w:tc>
          <w:tcPr>
            <w:tcW w:w="80" w:type="dxa"/>
            <w:vAlign w:val="bottom"/>
          </w:tcPr>
          <w:p>
            <w:pPr>
              <w:spacing w:after="0"/>
              <w:rPr>
                <w:sz w:val="24"/>
                <w:szCs w:val="24"/>
                <w:color w:val="auto"/>
              </w:rPr>
            </w:pPr>
          </w:p>
        </w:tc>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7, 2024</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Gregory Cole</w:t>
            </w: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Helen Golding</w:t>
            </w:r>
          </w:p>
        </w:tc>
        <w:tc>
          <w:tcPr>
            <w:tcW w:w="80" w:type="dxa"/>
            <w:vAlign w:val="bottom"/>
          </w:tcPr>
          <w:p>
            <w:pPr>
              <w:spacing w:after="0"/>
              <w:rPr>
                <w:sz w:val="24"/>
                <w:szCs w:val="24"/>
                <w:color w:val="auto"/>
              </w:rPr>
            </w:pPr>
          </w:p>
        </w:tc>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7, 2024</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Helen Golding</w:t>
            </w: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Marla Gottschalk</w:t>
            </w:r>
          </w:p>
        </w:tc>
        <w:tc>
          <w:tcPr>
            <w:tcW w:w="80" w:type="dxa"/>
            <w:vAlign w:val="bottom"/>
          </w:tcPr>
          <w:p>
            <w:pPr>
              <w:spacing w:after="0"/>
              <w:rPr>
                <w:sz w:val="24"/>
                <w:szCs w:val="24"/>
                <w:color w:val="auto"/>
              </w:rPr>
            </w:pPr>
          </w:p>
        </w:tc>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7, 2024</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Marla Gottschalk</w:t>
            </w: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Allen Hugli</w:t>
            </w:r>
          </w:p>
        </w:tc>
        <w:tc>
          <w:tcPr>
            <w:tcW w:w="80" w:type="dxa"/>
            <w:vAlign w:val="bottom"/>
          </w:tcPr>
          <w:p>
            <w:pPr>
              <w:spacing w:after="0"/>
              <w:rPr>
                <w:sz w:val="24"/>
                <w:szCs w:val="24"/>
                <w:color w:val="auto"/>
              </w:rPr>
            </w:pPr>
          </w:p>
        </w:tc>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7, 2024</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Allen Hugli</w:t>
            </w: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Christine Montenegro McGrath</w:t>
            </w:r>
          </w:p>
        </w:tc>
        <w:tc>
          <w:tcPr>
            <w:tcW w:w="80" w:type="dxa"/>
            <w:vAlign w:val="bottom"/>
          </w:tcPr>
          <w:p>
            <w:pPr>
              <w:spacing w:after="0"/>
              <w:rPr>
                <w:sz w:val="24"/>
                <w:szCs w:val="24"/>
                <w:color w:val="auto"/>
              </w:rPr>
            </w:pPr>
          </w:p>
        </w:tc>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7, 2024</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Christine Montenegro McGrath</w:t>
            </w: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Ann Ziegler</w:t>
            </w:r>
          </w:p>
        </w:tc>
        <w:tc>
          <w:tcPr>
            <w:tcW w:w="80" w:type="dxa"/>
            <w:vAlign w:val="bottom"/>
          </w:tcPr>
          <w:p>
            <w:pPr>
              <w:spacing w:after="0"/>
              <w:rPr>
                <w:sz w:val="24"/>
                <w:szCs w:val="24"/>
                <w:color w:val="auto"/>
              </w:rPr>
            </w:pPr>
          </w:p>
        </w:tc>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7, 2024</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Ann Ziegler</w:t>
            </w: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21" w:right="339" w:bottom="1440" w:gutter="0" w:footer="0" w:header="0"/>
          <w:type w:val="continuous"/>
        </w:sectPr>
      </w:pPr>
    </w:p>
    <w:bookmarkStart w:id="79" w:name="page80"/>
    <w:bookmarkEnd w:id="79"/>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440" w:type="dxa"/>
            <w:vAlign w:val="bottom"/>
          </w:tcPr>
          <w:p>
            <w:pPr>
              <w:spacing w:after="0"/>
              <w:rPr>
                <w:sz w:val="22"/>
                <w:szCs w:val="22"/>
                <w:color w:val="auto"/>
              </w:rPr>
            </w:pPr>
          </w:p>
        </w:tc>
        <w:tc>
          <w:tcPr>
            <w:tcW w:w="780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Subsidiaries of Reynolds Consumer Products Inc.</w:t>
            </w:r>
          </w:p>
        </w:tc>
      </w:tr>
      <w:tr>
        <w:trPr>
          <w:trHeight w:val="457"/>
        </w:trPr>
        <w:tc>
          <w:tcPr>
            <w:tcW w:w="34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3"/>
        </w:trPr>
        <w:tc>
          <w:tcPr>
            <w:tcW w:w="344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0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Legal name of subsidiary</w:t>
            </w:r>
          </w:p>
        </w:tc>
        <w:tc>
          <w:tcPr>
            <w:tcW w:w="50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30"/>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Atacama Manufacturing Inc.</w:t>
            </w:r>
          </w:p>
        </w:tc>
        <w:tc>
          <w:tcPr>
            <w:tcW w:w="500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Reynolds Consumer Products Canada Inc.</w:t>
            </w:r>
          </w:p>
        </w:tc>
        <w:tc>
          <w:tcPr>
            <w:tcW w:w="5000" w:type="dxa"/>
            <w:vAlign w:val="bottom"/>
            <w:shd w:val="clear" w:color="auto" w:fill="CCEEFF"/>
          </w:tcPr>
          <w:p>
            <w:pPr>
              <w:spacing w:after="0"/>
              <w:rPr>
                <w:sz w:val="19"/>
                <w:szCs w:val="19"/>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Ontario, Canada</w:t>
            </w:r>
          </w:p>
        </w:tc>
      </w:tr>
      <w:tr>
        <w:trPr>
          <w:trHeight w:val="230"/>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Reynolds Consumer Products Holdings LLC</w:t>
            </w:r>
          </w:p>
        </w:tc>
        <w:tc>
          <w:tcPr>
            <w:tcW w:w="500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Reynolds Consumer Products LLC</w:t>
            </w:r>
          </w:p>
        </w:tc>
        <w:tc>
          <w:tcPr>
            <w:tcW w:w="5000" w:type="dxa"/>
            <w:vAlign w:val="bottom"/>
            <w:shd w:val="clear" w:color="auto" w:fill="CCEEFF"/>
          </w:tcPr>
          <w:p>
            <w:pPr>
              <w:spacing w:after="0"/>
              <w:rPr>
                <w:sz w:val="19"/>
                <w:szCs w:val="19"/>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Reynolds International Services LLC</w:t>
            </w:r>
          </w:p>
        </w:tc>
        <w:tc>
          <w:tcPr>
            <w:tcW w:w="500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Reynolds Manufacturing, Inc.</w:t>
            </w:r>
          </w:p>
        </w:tc>
        <w:tc>
          <w:tcPr>
            <w:tcW w:w="5000" w:type="dxa"/>
            <w:vAlign w:val="bottom"/>
            <w:shd w:val="clear" w:color="auto" w:fill="CCEEFF"/>
          </w:tcPr>
          <w:p>
            <w:pPr>
              <w:spacing w:after="0"/>
              <w:rPr>
                <w:sz w:val="19"/>
                <w:szCs w:val="19"/>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Reynolds Presto Products Inc.</w:t>
            </w:r>
          </w:p>
        </w:tc>
        <w:tc>
          <w:tcPr>
            <w:tcW w:w="500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 Western Polymers, Inc.</w:t>
            </w:r>
          </w:p>
        </w:tc>
        <w:tc>
          <w:tcPr>
            <w:tcW w:w="5000" w:type="dxa"/>
            <w:vAlign w:val="bottom"/>
            <w:shd w:val="clear" w:color="auto" w:fill="CCEEFF"/>
          </w:tcPr>
          <w:p>
            <w:pPr>
              <w:spacing w:after="0"/>
              <w:rPr>
                <w:sz w:val="19"/>
                <w:szCs w:val="19"/>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r>
    </w:tbl>
    <w:p>
      <w:pPr>
        <w:sectPr>
          <w:pgSz w:w="11900" w:h="16838" w:orient="portrait"/>
          <w:cols w:equalWidth="0" w:num="1">
            <w:col w:w="11240"/>
          </w:cols>
          <w:pgMar w:left="320" w:top="114"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4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333-236204) and in the Registration Statement on Form S-3 (No. 333-265136) of Reynolds Consumer Products Inc. of our report dated February 7, 2024 relating to the financial statements and the effectiveness of internal control over financial reporting, which appears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2024</w:t>
      </w:r>
    </w:p>
    <w:p>
      <w:pPr>
        <w:sectPr>
          <w:pgSz w:w="11900" w:h="16838" w:orient="portrait"/>
          <w:cols w:equalWidth="0" w:num="1">
            <w:col w:w="11240"/>
          </w:cols>
          <w:pgMar w:left="320" w:top="1413"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Lance Mitchell, certify that:</w:t>
      </w:r>
    </w:p>
    <w:p>
      <w:pPr>
        <w:spacing w:after="0" w:line="225"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Reynolds Consumer Products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60" w:val="left"/>
          <w:tab w:leader="none" w:pos="8000" w:val="left"/>
        </w:tabs>
        <w:rPr>
          <w:sz w:val="20"/>
          <w:szCs w:val="20"/>
          <w:color w:val="auto"/>
        </w:rPr>
      </w:pPr>
      <w:r>
        <w:rPr>
          <w:rFonts w:ascii="Times New Roman" w:cs="Times New Roman" w:eastAsia="Times New Roman" w:hAnsi="Times New Roman"/>
          <w:sz w:val="18"/>
          <w:szCs w:val="18"/>
          <w:color w:val="auto"/>
        </w:rPr>
        <w:t>Date: February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34290</wp:posOffset>
            </wp:positionV>
            <wp:extent cx="32486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Lance Mitchell</w:t>
      </w:r>
    </w:p>
    <w:p>
      <w:pPr>
        <w:spacing w:after="0" w:line="6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1143"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Huckins, certify that:</w:t>
      </w:r>
    </w:p>
    <w:p>
      <w:pPr>
        <w:spacing w:after="0" w:line="225"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Reynolds Consumer Products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60" w:val="left"/>
          <w:tab w:leader="none" w:pos="8040" w:val="left"/>
        </w:tabs>
        <w:rPr>
          <w:sz w:val="20"/>
          <w:szCs w:val="20"/>
          <w:color w:val="auto"/>
        </w:rPr>
      </w:pPr>
      <w:r>
        <w:rPr>
          <w:rFonts w:ascii="Times New Roman" w:cs="Times New Roman" w:eastAsia="Times New Roman" w:hAnsi="Times New Roman"/>
          <w:sz w:val="18"/>
          <w:szCs w:val="18"/>
          <w:color w:val="auto"/>
        </w:rPr>
        <w:t>Date: February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Huckins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34290</wp:posOffset>
            </wp:positionV>
            <wp:extent cx="32486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Scott Huckins</w:t>
      </w:r>
    </w:p>
    <w:p>
      <w:pPr>
        <w:spacing w:after="0" w:line="6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43"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Reynolds Consumer Products Inc. (the “Company”) on Form 10-K for the period ended December 31, 2023 as filed with the Securities and Exchange Commission on the date hereof (the “Report”), I, Lance Mitchell, President and Chief Executive Officer,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660" w:val="left"/>
          <w:tab w:leader="none" w:pos="8000" w:val="left"/>
        </w:tabs>
        <w:rPr>
          <w:sz w:val="20"/>
          <w:szCs w:val="20"/>
          <w:color w:val="auto"/>
        </w:rPr>
      </w:pPr>
      <w:r>
        <w:rPr>
          <w:rFonts w:ascii="Times New Roman" w:cs="Times New Roman" w:eastAsia="Times New Roman" w:hAnsi="Times New Roman"/>
          <w:sz w:val="18"/>
          <w:szCs w:val="18"/>
          <w:color w:val="auto"/>
        </w:rPr>
        <w:t>Date: February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34290</wp:posOffset>
            </wp:positionV>
            <wp:extent cx="32486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5">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Lance Mitchell</w:t>
      </w:r>
    </w:p>
    <w:p>
      <w:pPr>
        <w:spacing w:after="0" w:line="6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1143"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Reynolds Consumer Products Inc. (the “Company”) on Form 10-K for the period ended December 31, 2023 as filed with the Securities and Exchange Commission on the date hereof (the “Report”), I, Scott Huckins, Chief Financial Officer,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660" w:val="left"/>
          <w:tab w:leader="none" w:pos="8040" w:val="left"/>
        </w:tabs>
        <w:rPr>
          <w:sz w:val="20"/>
          <w:szCs w:val="20"/>
          <w:color w:val="auto"/>
        </w:rPr>
      </w:pPr>
      <w:r>
        <w:rPr>
          <w:rFonts w:ascii="Times New Roman" w:cs="Times New Roman" w:eastAsia="Times New Roman" w:hAnsi="Times New Roman"/>
          <w:sz w:val="18"/>
          <w:szCs w:val="18"/>
          <w:color w:val="auto"/>
        </w:rPr>
        <w:t>Date: February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Huckins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34290</wp:posOffset>
            </wp:positionV>
            <wp:extent cx="32486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6">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Scott Huckins</w:t>
      </w:r>
    </w:p>
    <w:p>
      <w:pPr>
        <w:spacing w:after="0" w:line="6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43"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0"/>
          <w:szCs w:val="20"/>
          <w:b w:val="1"/>
          <w:bCs w:val="1"/>
          <w:color w:val="auto"/>
        </w:rPr>
        <w:t>Exhibit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856615</wp:posOffset>
            </wp:positionV>
            <wp:extent cx="2202815" cy="6083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7">
                      <a:extLst>
                        <a:ext uri="{28A0092B-C50C-407E-A947-70E740481C1C}"/>
                      </a:extLst>
                    </a:blip>
                    <a:srcRect/>
                    <a:stretch>
                      <a:fillRect/>
                    </a:stretch>
                  </pic:blipFill>
                  <pic:spPr bwMode="auto">
                    <a:xfrm>
                      <a:off x="0" y="0"/>
                      <a:ext cx="220281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29"/>
          <w:szCs w:val="29"/>
          <w:b w:val="1"/>
          <w:bCs w:val="1"/>
          <w:color w:val="auto"/>
        </w:rPr>
        <w:t>REYNOLDS CONSUMER PRODUCTS INC. Amended and Restated Compensation Recoupment Policy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Effective October 2, 2023</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Policy</w:t>
      </w:r>
    </w:p>
    <w:p>
      <w:pPr>
        <w:spacing w:after="0" w:line="1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Board of Directors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of Reynolds Consumer Products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adopted this Amended and Restated Compensation Recoupment Policy (this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pursuant to Rule 10D-1 of the Securities and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the Securities and Exchange Commission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regulations promulgated thereunder, and applicable Nasdaq Stock Market (“</w:t>
      </w:r>
      <w:r>
        <w:rPr>
          <w:rFonts w:ascii="Times New Roman" w:cs="Times New Roman" w:eastAsia="Times New Roman" w:hAnsi="Times New Roman"/>
          <w:sz w:val="20"/>
          <w:szCs w:val="20"/>
          <w:u w:val="single" w:color="auto"/>
          <w:color w:val="auto"/>
        </w:rPr>
        <w:t>Nasdaq</w:t>
      </w:r>
      <w:r>
        <w:rPr>
          <w:rFonts w:ascii="Times New Roman" w:cs="Times New Roman" w:eastAsia="Times New Roman" w:hAnsi="Times New Roman"/>
          <w:sz w:val="20"/>
          <w:szCs w:val="20"/>
          <w:color w:val="auto"/>
        </w:rPr>
        <w:t>”) listing standards. Subject to and in accordance with the terms of this Policy, upon a Recoupment Event, each Covered Executive shall be obligated to return to the Company, reasonably promptly, the amount of Erroneously Awarded Compensation that was received by such Covered Executive during the Lookback Period.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Administration</w:t>
      </w:r>
    </w:p>
    <w:p>
      <w:pPr>
        <w:spacing w:after="0" w:line="15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This Policy will be administered by the Compensation, Nominating and Corporate Governance Committee (the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of the Board. Any determinations made by the Board or the Committee will be final and binding on all affected individuals.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Definitions</w:t>
      </w:r>
    </w:p>
    <w:p>
      <w:pPr>
        <w:spacing w:after="0" w:line="15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Accounting Restatement</w:t>
      </w:r>
      <w:r>
        <w:rPr>
          <w:rFonts w:ascii="Times New Roman" w:cs="Times New Roman" w:eastAsia="Times New Roman" w:hAnsi="Times New Roman"/>
          <w:sz w:val="20"/>
          <w:szCs w:val="20"/>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(commonly referred to as a “Big R” restatement), or that would result in a material misstatement if the error were corrected in the current period or left uncorrected in the current period (commonly referred to as a “little r” restatement).</w:t>
      </w:r>
    </w:p>
    <w:p>
      <w:pPr>
        <w:spacing w:after="0" w:line="10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Executive</w:t>
      </w:r>
      <w:r>
        <w:rPr>
          <w:rFonts w:ascii="Times New Roman" w:cs="Times New Roman" w:eastAsia="Times New Roman" w:hAnsi="Times New Roman"/>
          <w:sz w:val="20"/>
          <w:szCs w:val="20"/>
          <w:color w:val="auto"/>
        </w:rPr>
        <w:t>” means each of the Company’s current and former executive officers who is or was an “officer” of the Company within the meaning of Rule 16a-1(f) of the Exchange Act.</w:t>
      </w:r>
    </w:p>
    <w:p>
      <w:pPr>
        <w:spacing w:after="0" w:line="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Erroneously Awarded Compensation</w:t>
      </w:r>
      <w:r>
        <w:rPr>
          <w:rFonts w:ascii="Times New Roman" w:cs="Times New Roman" w:eastAsia="Times New Roman" w:hAnsi="Times New Roman"/>
          <w:sz w:val="20"/>
          <w:szCs w:val="20"/>
          <w:color w:val="auto"/>
        </w:rPr>
        <w:t>” means, with respect to each Covered Executive in connection with an Accounting Restatement, the excess of the amount of Incentive-Based Compensation received by the Covered Executive during the Lookback Period over the amount of Incentive-Based Compensation that otherwise would have been received had it been determined based on the restated amounts,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 (a) the amount must be based on a reasonable estimate of the effect of the Accounting Restatement on the stock price or total shareholder return upon which the Incentive-Based Compensation was received; and (b)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0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0"/>
          <w:szCs w:val="20"/>
          <w:color w:val="auto"/>
        </w:rPr>
        <w:t>Company must maintain documentation of the determination of that reasonable estimate and provide such documentation to Nasdaq.</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October 2, 2023.</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Reporting Measures</w:t>
      </w:r>
      <w:r>
        <w:rPr>
          <w:rFonts w:ascii="Times New Roman" w:cs="Times New Roman" w:eastAsia="Times New Roman" w:hAnsi="Times New Roman"/>
          <w:sz w:val="20"/>
          <w:szCs w:val="20"/>
          <w:color w:val="auto"/>
        </w:rPr>
        <w:t>” are any measures that are determined and presented in accordance with the accounting principles used in preparing the Company’s financial statements, and any measures derived wholly or in part from such measures. Stock price and total shareholder return are also Financial Reporting Measures. A Financial Reporting Measure need not be presented within the financial statements or included in a filing with the SEC.</w:t>
      </w:r>
    </w:p>
    <w:p>
      <w:pPr>
        <w:spacing w:after="0" w:line="1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Incentive-Based Compensation</w:t>
      </w:r>
      <w:r>
        <w:rPr>
          <w:rFonts w:ascii="Times New Roman" w:cs="Times New Roman" w:eastAsia="Times New Roman" w:hAnsi="Times New Roman"/>
          <w:sz w:val="20"/>
          <w:szCs w:val="20"/>
          <w:color w:val="auto"/>
        </w:rPr>
        <w:t>” is any compensation that is granted, earned, or vested based wholly or in part upon the attainment of a Financial Reporting Measure.</w:t>
      </w:r>
    </w:p>
    <w:p>
      <w:pPr>
        <w:spacing w:after="0" w:line="9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Lookback Period</w:t>
      </w:r>
      <w:r>
        <w:rPr>
          <w:rFonts w:ascii="Times New Roman" w:cs="Times New Roman" w:eastAsia="Times New Roman" w:hAnsi="Times New Roman"/>
          <w:sz w:val="20"/>
          <w:szCs w:val="20"/>
          <w:color w:val="auto"/>
        </w:rPr>
        <w:t>” means the three completed fiscal years immediately preceding the Required Restatement Date and any transition period (that results from a change in the Company’s fiscal year) of less than nine months within or immediately following those three completed fiscal years.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u w:val="single" w:color="auto"/>
          <w:color w:val="auto"/>
        </w:rPr>
        <w:t>Recoupment Event</w:t>
      </w:r>
      <w:r>
        <w:rPr>
          <w:rFonts w:ascii="Times New Roman" w:cs="Times New Roman" w:eastAsia="Times New Roman" w:hAnsi="Times New Roman"/>
          <w:sz w:val="20"/>
          <w:szCs w:val="20"/>
          <w:color w:val="auto"/>
        </w:rPr>
        <w:t>” occurs when the Company is required to prepare an Accounting Restatement.</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Restatement Date</w:t>
      </w:r>
      <w:r>
        <w:rPr>
          <w:rFonts w:ascii="Times New Roman" w:cs="Times New Roman" w:eastAsia="Times New Roman" w:hAnsi="Times New Roman"/>
          <w:sz w:val="20"/>
          <w:szCs w:val="20"/>
          <w:color w:val="auto"/>
        </w:rPr>
        <w:t>” means the earlier to occur of: (a) the date the Company’s Board, a committee of the Board, or the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w:t>
      </w:r>
    </w:p>
    <w:p>
      <w:pPr>
        <w:spacing w:after="0" w:line="105" w:lineRule="exact"/>
        <w:rPr>
          <w:sz w:val="20"/>
          <w:szCs w:val="20"/>
          <w:color w:val="auto"/>
        </w:rPr>
      </w:pPr>
    </w:p>
    <w:p>
      <w:pPr>
        <w:ind w:right="620" w:firstLine="648"/>
        <w:spacing w:after="0" w:line="40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xml:space="preserve">” means Section 409A of the Internal Revenue Code and the regulations and guidance promulgated thereunder. </w:t>
      </w:r>
      <w:r>
        <w:rPr>
          <w:rFonts w:ascii="Times New Roman" w:cs="Times New Roman" w:eastAsia="Times New Roman" w:hAnsi="Times New Roman"/>
          <w:sz w:val="20"/>
          <w:szCs w:val="20"/>
          <w:b w:val="1"/>
          <w:bCs w:val="1"/>
          <w:u w:val="single" w:color="auto"/>
          <w:color w:val="auto"/>
        </w:rPr>
        <w:t>Amount Subject to Recovery</w:t>
      </w:r>
    </w:p>
    <w:p>
      <w:pPr>
        <w:spacing w:after="0" w:line="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Incentive-Based Compensation that is subject to recovery under this Policy includes such compensation that is received by a Covered Executive (i) on or after the Effective Date (even if such Incentive-Based Compensation was approved, awarded or granted prior to the Effective Date), (ii) after beginning service as a Covered Executive, (iii) if the individual served as a Covered Executive at any time during the performance period for such Incentive-Based Compensation and (iv) while the Company has a class of securities listed on a national securities exchange or national securities association. However, to the extent recovery of compensation would have been covered by this Policy prior to its amendment and restatement on the Effective Date, but is not covered by this Policy as amended and restated due to such compensation being received prior to the Effective Date, such compensation shall be recoverable as determined by the Committee under the terms of this Policy prior to its amendment and restatement.</w:t>
      </w:r>
    </w:p>
    <w:p>
      <w:pPr>
        <w:spacing w:after="0" w:line="11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amount of Incentive-Based Compensation subject to recovery from a Covered Executive upon a Recoupment Event is the Erroneously Awarded Compensation.</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purposes of this Policy,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u w:val="single" w:color="auto"/>
          <w:color w:val="auto"/>
        </w:rPr>
        <w:t>Recovery of Erroneously Awarded Compensation</w:t>
      </w:r>
    </w:p>
    <w:p>
      <w:pPr>
        <w:spacing w:after="0" w:line="1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Promptly following a Recoupment Event, the amount of Erroneously Awarded Compensation for each Covered Executive shall be determined, and the Company will provide each such Covered Executive with a written notice of such amount and a demand for repayment or return. Upon receipt of such notice, each affected Covered Executive shall promptly repay or return such Erroneously Awarded Compensation to the Company.</w:t>
      </w:r>
    </w:p>
    <w:p>
      <w:pPr>
        <w:spacing w:after="0" w:line="10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If such repayment or return is not made within a reasonable time, the Company shall recover Erroneously Awarded Compensation in a reasonable and prompt manner using any lawful method, which may include, without limitation: (i) seeking reimbursement of cash or equity-based awards previously paid, as well as forfeiture of such compensation that is deferred and not yet payable, including any interest or earnings accrued; (ii) offsetting such amount from any compensation the Company otherwise owes to the Covered Executive; (iii) cancelling outstanding vested or unvested equity awards; (iv) causing the forfeiture of any unpaid, vested or unvested, compensation; and (v) taking any other remedial and recovery action permitted by law; provided that recovery of any Erroneously Awarded Compensation must be made in compliance with Section 409A. The applicable Covered Executive shall also be required to reimburse the Company for any and all expenses (including legal fees) reasonably incurred by the Company in recovering such Erroneously Awarded Compensation in accordance with the immediately preceding sentence.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Limited Exceptions</w:t>
      </w:r>
    </w:p>
    <w:p>
      <w:pPr>
        <w:spacing w:after="0" w:line="16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Erroneously Awarded Compensation will be recovered in accordance with this Policy unless a majority of the independent directors of the Board determines that recovery would be impracticable and one of the following conditions is met:</w:t>
      </w:r>
    </w:p>
    <w:p>
      <w:pPr>
        <w:spacing w:after="0" w:line="92" w:lineRule="exact"/>
        <w:rPr>
          <w:sz w:val="20"/>
          <w:szCs w:val="20"/>
          <w:color w:val="auto"/>
        </w:rPr>
      </w:pPr>
    </w:p>
    <w:p>
      <w:pPr>
        <w:ind w:left="980" w:hanging="324"/>
        <w:spacing w:after="0" w:line="283" w:lineRule="auto"/>
        <w:tabs>
          <w:tab w:leader="none" w:pos="96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to be recovered, provided the Company has first made a reasonable and documented effort to recover the Erroneously Awarded Compensation; or</w:t>
      </w:r>
    </w:p>
    <w:p>
      <w:pPr>
        <w:spacing w:after="0" w:line="51" w:lineRule="exact"/>
        <w:rPr>
          <w:rFonts w:ascii="Times New Roman" w:cs="Times New Roman" w:eastAsia="Times New Roman" w:hAnsi="Times New Roman"/>
          <w:sz w:val="20"/>
          <w:szCs w:val="20"/>
          <w:color w:val="auto"/>
        </w:rPr>
      </w:pPr>
    </w:p>
    <w:p>
      <w:pPr>
        <w:ind w:left="980" w:hanging="324"/>
        <w:spacing w:after="0" w:line="269" w:lineRule="auto"/>
        <w:tabs>
          <w:tab w:leader="none" w:pos="96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recovery would likely cause a U.S. tax-qualified retirement plan to fail to meet the requirements of Internal Revenue Code Sections 401(a)(13) and 411(a) and the regulations thereunder.</w:t>
      </w:r>
    </w:p>
    <w:p>
      <w:pPr>
        <w:spacing w:after="0" w:line="6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the event of reliance on either of the above exemptions, the Company will further comply with applicable listing standards, including without limitation, documenting the reason for the impracticability and providing required documentation to Nasdaq.</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 Insurance or Indemnification</w:t>
      </w:r>
    </w:p>
    <w:p>
      <w:pPr>
        <w:spacing w:after="0" w:line="1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will not, and each Covered Executive shall be required to acknowledge that the Company will not, indemnify any Covered Executive against the loss of any Erroneously Awarded Compensation (or related expenses incurred by the Covered Executive) pursuant to a recovery of Erroneously Awarded Compensation under this Policy, nor will the Company pay or reimburse a Covered Executive for any insurance premiums on any insurance policy obtained by the Covered Executive to protect against the forfeiture or recovery of any compensation pursuant to this Policy.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Interpretation</w:t>
      </w:r>
    </w:p>
    <w:p>
      <w:pPr>
        <w:spacing w:after="0" w:line="16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Except as otherwise provided herein, the Committee is authorized to interpret and construe this Policy and to make all determinations necessary, appropriate, or advisable for the administration of this Policy. This Policy shall be applied and interpreted in a manner that is consistent with the requirements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09" w:right="339" w:bottom="1440" w:gutter="0" w:footer="0" w:header="0"/>
        </w:sectPr>
      </w:pPr>
    </w:p>
    <w:bookmarkStart w:id="88" w:name="page89"/>
    <w:bookmarkEnd w:id="88"/>
    <w:p>
      <w:pPr>
        <w:jc w:val="both"/>
        <w:spacing w:after="0" w:line="258" w:lineRule="auto"/>
        <w:rPr>
          <w:sz w:val="20"/>
          <w:szCs w:val="20"/>
          <w:color w:val="auto"/>
        </w:rPr>
      </w:pPr>
      <w:r>
        <w:rPr>
          <w:rFonts w:ascii="Times New Roman" w:cs="Times New Roman" w:eastAsia="Times New Roman" w:hAnsi="Times New Roman"/>
          <w:sz w:val="20"/>
          <w:szCs w:val="20"/>
          <w:color w:val="auto"/>
        </w:rPr>
        <w:t>Rule 10D-1 and any applicable regulations, rules or standards adopted by SEC or the rules of any national securities exchange or national securities association on which the Company’s securities are listed. In the event that this Policy does not meet the requirements of Rule 10D-1, the SEC regulations promulgated thereunder, or the rules of any national securities exchange or national securities association on which the Company’s securities are listed, this Policy shall be deemed to be amended to meet such requirements.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Reporting</w:t>
      </w:r>
    </w:p>
    <w:p>
      <w:pPr>
        <w:spacing w:after="0" w:line="15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Company will file all disclosures with respect to this Policy in accordance with the requirements of the federal securities laws, including the disclosure required by the applicable SEC rules and forms.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Indemnification of Administrators</w:t>
      </w:r>
    </w:p>
    <w:p>
      <w:pPr>
        <w:spacing w:after="0" w:line="15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Any members of the Board or the Committee who participate in the administration of this Policy shall not be personally liable for any action, determination or interpretation made with respect to this Policy and shall be fully indemnified by the Company to the fullest extent permitted under applicable law and Company governing documents and policies with respect to any such action, determination or interpretation. The foregoing shall not limit any other rights to indemnification of the members of the Board under applicable law or Company governing documents and policies.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Amendment; Termination</w:t>
      </w:r>
    </w:p>
    <w:p>
      <w:pPr>
        <w:spacing w:after="0" w:line="1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Board may amend this Policy in its discretion and shall amend this Policy as it deems necessary to comply with the regulations adopted by the SEC under Rule 10D-1 and the rules of any national securities exchange or national securities association on which the Company’s securities are listed. The Board may terminate this Policy at any time. Notwithstanding anything herein to the contrary, no amendment or termination of this Policy shall be effective if that amendment or termination would cause the Company to violate any federal securities laws, SEC rules or the rules of any national securities exchange or national securities association on which the Company’s securities are listed.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Other Recoupment Rights</w:t>
      </w:r>
    </w:p>
    <w:p>
      <w:pPr>
        <w:spacing w:after="0" w:line="16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 Board intends that this Policy will be applied to the fullest extent of the law. Any Incentive-Based Compensation provided for in an employment agreement, incentive compensation plan, policy, program or agreement, equity award, or similar plan, program or agreement shall, as a condition to the grant of any benefit thereunder, be subject to the terms of this Policy. Any right of recoupment under this Policy is in addition to, and not in lieu of, any other remedies or rights of recoupment that may be available to the Company pursuant to the terms of any similar provision in any employment agreement, incentive compensation plan, policy, program or agreement, equity award, or similar plan, program or agreement and any other legal remedies available to the Company. This Policy is in addition to any other clawback or compensation recovery, recoupment or forfeiture policy in effect or that may be adopted by the Company from time to time or any laws, rules or listing standards applicable to the Company, including without limitation, the Company’s right to recoup any bonus or other compensation subject to Section 304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Successors</w:t>
      </w:r>
    </w:p>
    <w:p>
      <w:pPr>
        <w:spacing w:after="0" w:line="15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Executives and their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R"/>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lowerRoman"/>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2"/>
    </w:lvl>
  </w:abstractNum>
  <w:abstractNum w:abstractNumId="35">
    <w:nsid w:val="5E884ADC"/>
    <w:multiLevelType w:val="hybridMultilevel"/>
    <w:lvl w:ilvl="0">
      <w:lvlJc w:val="left"/>
      <w:lvlText w:val="*"/>
      <w:numFmt w:val="bullet"/>
      <w:start w:val="1"/>
    </w:lvl>
    <w:lvl w:ilvl="1">
      <w:lvlJc w:val="left"/>
      <w:lvlText w:val="%2"/>
      <w:numFmt w:val="decimal"/>
      <w:start w:val="104"/>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1."/>
      <w:numFmt w:val="decimal"/>
      <w:start w:val="1"/>
    </w:lvl>
    <w:lvl w:ilvl="1">
      <w:lvlJc w:val="left"/>
      <w:lvlText w:val="(%2)"/>
      <w:numFmt w:val="lowerLetter"/>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60" Type="http://schemas.openxmlformats.org/officeDocument/2006/relationships/image" Target="media/image119.png"/><Relationship Id="rId161" Type="http://schemas.openxmlformats.org/officeDocument/2006/relationships/image" Target="media/image120.png"/><Relationship Id="rId162" Type="http://schemas.openxmlformats.org/officeDocument/2006/relationships/image" Target="media/image121.png"/><Relationship Id="rId163" Type="http://schemas.openxmlformats.org/officeDocument/2006/relationships/image" Target="media/image122.png"/><Relationship Id="rId164" Type="http://schemas.openxmlformats.org/officeDocument/2006/relationships/image" Target="media/image123.png"/><Relationship Id="rId165" Type="http://schemas.openxmlformats.org/officeDocument/2006/relationships/image" Target="media/image124.png"/><Relationship Id="rId166" Type="http://schemas.openxmlformats.org/officeDocument/2006/relationships/image" Target="media/image125.png"/><Relationship Id="rId167" Type="http://schemas.openxmlformats.org/officeDocument/2006/relationships/image" Target="media/image126.jpeg"/><Relationship Id="rId124" Type="http://schemas.openxmlformats.org/officeDocument/2006/relationships/hyperlink" Target="http://www.sec.gov/Archives/edgar/data/0001786431/000119312520024304/d874780dex31.htm" TargetMode="External"/><Relationship Id="rId125" Type="http://schemas.openxmlformats.org/officeDocument/2006/relationships/hyperlink" Target="http://www.sec.gov/Archives/edgar/data/0001786431/000119312520024304/d874780dex32.htm" TargetMode="External"/><Relationship Id="rId126" Type="http://schemas.openxmlformats.org/officeDocument/2006/relationships/hyperlink" Target="http://www.sec.gov/Archives/edgar/data/1786431/000156459021005649/reyn-ex41_1158.htm" TargetMode="External"/><Relationship Id="rId127" Type="http://schemas.openxmlformats.org/officeDocument/2006/relationships/hyperlink" Target="https://www.sec.gov/Archives/edgar/data/1786431/000095010322008962/dp171212_ex0401.htm" TargetMode="External"/><Relationship Id="rId128" Type="http://schemas.openxmlformats.org/officeDocument/2006/relationships/hyperlink" Target="http://www.sec.gov/Archives/edgar/data/0001786431/000119312519293392/d769843dex101.htm" TargetMode="External"/><Relationship Id="rId129" Type="http://schemas.openxmlformats.org/officeDocument/2006/relationships/hyperlink" Target="http://www.sec.gov/Archives/edgar/data/0001786431/000095010320001611/dp119867_ex99.htm" TargetMode="External"/><Relationship Id="rId130" Type="http://schemas.openxmlformats.org/officeDocument/2006/relationships/hyperlink" Target="https://www.sec.gov/Archives/edgar/data/1786431/000156459022004307/reyn-ex103_553.htm" TargetMode="External"/><Relationship Id="rId131" Type="http://schemas.openxmlformats.org/officeDocument/2006/relationships/hyperlink" Target="http://www.sec.gov/Archives/edgar/data/0001786431/000119312519293392/d769843dex103.htm" TargetMode="External"/><Relationship Id="rId132" Type="http://schemas.openxmlformats.org/officeDocument/2006/relationships/hyperlink" Target="http://www.sec.gov/Archives/edgar/data/0001786431/000119312519293392/d769843dex104.htm" TargetMode="External"/><Relationship Id="rId133" Type="http://schemas.openxmlformats.org/officeDocument/2006/relationships/hyperlink" Target="https://www.sec.gov/Archives/edgar/data/1786431/000156459022004307/reyn-ex106_62.htm" TargetMode="External"/><Relationship Id="rId134" Type="http://schemas.openxmlformats.org/officeDocument/2006/relationships/hyperlink" Target="https://www.sec.gov/Archives/edgar/data/1786431/000156459022004307/reyn-ex107_61.htm" TargetMode="External"/><Relationship Id="rId135" Type="http://schemas.openxmlformats.org/officeDocument/2006/relationships/hyperlink" Target="http://www.sec.gov/Archives/edgar/data/0001786431/000119312519293392/d769843dex105.htm" TargetMode="External"/><Relationship Id="rId136" Type="http://schemas.openxmlformats.org/officeDocument/2006/relationships/hyperlink" Target="http://www.sec.gov/Archives/edgar/data/0001786431/000119312519293392/d769843dex106.htm" TargetMode="External"/><Relationship Id="rId137" Type="http://schemas.openxmlformats.org/officeDocument/2006/relationships/hyperlink" Target="http://www.sec.gov/Archives/edgar/data/0001786431/000119312519293392/d769843dex107.htm" TargetMode="External"/><Relationship Id="rId138" Type="http://schemas.openxmlformats.org/officeDocument/2006/relationships/hyperlink" Target="https://www.sec.gov/Archives/edgar/data/1786431/000162828023002692/reyn-20221231xex1015.htm" TargetMode="External"/><Relationship Id="rId139" Type="http://schemas.openxmlformats.org/officeDocument/2006/relationships/hyperlink" Target="http://www.sec.gov/Archives/edgar/data/0001786431/000119312520016457/d769843dex1029.htm" TargetMode="External"/><Relationship Id="rId140" Type="http://schemas.openxmlformats.org/officeDocument/2006/relationships/hyperlink" Target="https://www.sec.gov/Archives/edgar/data/1786431/000162828023002692/reyn-20221231xex1017.htm" TargetMode="External"/><Relationship Id="rId141" Type="http://schemas.openxmlformats.org/officeDocument/2006/relationships/hyperlink" Target="https://www.sec.gov/Archives/edgar/data/1786431/000156459022004307/reyn-ex1014_352.htm" TargetMode="External"/><Relationship Id="rId142" Type="http://schemas.openxmlformats.org/officeDocument/2006/relationships/hyperlink" Target="https://www.sec.gov/Archives/edgar/data/1786431/000162828023002692/reyn-20221231xex1018.htm" TargetMode="External"/><Relationship Id="rId145" Type="http://schemas.openxmlformats.org/officeDocument/2006/relationships/hyperlink" Target="https://www.sec.gov/Archives/edgar/data/1786431/000162828023002692/reyn-20221231xex1014.htm" TargetMode="External"/><Relationship Id="rId146" Type="http://schemas.openxmlformats.org/officeDocument/2006/relationships/hyperlink" Target="https://www.sec.gov/Archives/edgar/data/1786431/000119312523254985/d529276dex101.htm" TargetMode="External"/><Relationship Id="rId147" Type="http://schemas.openxmlformats.org/officeDocument/2006/relationships/hyperlink" Target="https://www.sec.gov/Archives/edgar/data/1786431/000119312523254985/d529276dex102.htm" TargetMode="External"/><Relationship Id="rId148" Type="http://schemas.openxmlformats.org/officeDocument/2006/relationships/hyperlink" Target="http://www.sec.gov/Archives/edgar/data/0001786431/000119312519293392/d769843dex1018.htm" TargetMode="External"/><Relationship Id="rId149" Type="http://schemas.openxmlformats.org/officeDocument/2006/relationships/hyperlink" Target="https://www.sec.gov/Archives/edgar/data/1786431/000162828023017042/reyn-2023331x10qxexx102.htm" TargetMode="External"/><Relationship Id="rId150" Type="http://schemas.openxmlformats.org/officeDocument/2006/relationships/hyperlink" Target="http://www.sec.gov/Archives/edgar/data/0001786431/000119312519293392/d769843dex1019.htm" TargetMode="External"/><Relationship Id="rId151" Type="http://schemas.openxmlformats.org/officeDocument/2006/relationships/hyperlink" Target="https://www.sec.gov/Archives/edgar/data/1786431/000162828023017042/reyn-2023331x10qxexx103.htm" TargetMode="External"/><Relationship Id="rId152" Type="http://schemas.openxmlformats.org/officeDocument/2006/relationships/hyperlink" Target="http://www.sec.gov/Archives/edgar/data/0001786431/000119312519293392/d769843dex1020.htm" TargetMode="External"/><Relationship Id="rId153" Type="http://schemas.openxmlformats.org/officeDocument/2006/relationships/hyperlink" Target="http://www.sec.gov/Archives/edgar/data/0001786431/000119312520010446/d769843dex1023.htm" TargetMode="External"/><Relationship Id="rId154" Type="http://schemas.openxmlformats.org/officeDocument/2006/relationships/hyperlink" Target="http://www.sec.gov/Archives/edgar/data/0001786431/000119312520024304/d874780dex103.htm" TargetMode="External"/><Relationship Id="rId155" Type="http://schemas.openxmlformats.org/officeDocument/2006/relationships/hyperlink" Target="http://www.sec.gov/Archives/edgar/data/0001786431/000119312520024304/d874780dex101.htm" TargetMode="External"/><Relationship Id="rId156" Type="http://schemas.openxmlformats.org/officeDocument/2006/relationships/hyperlink" Target="http://www.sec.gov/Archives/edgar/data/0001786431/000119312520024304/d874780dex102.htm" TargetMode="External"/><Relationship Id="rId157" Type="http://schemas.openxmlformats.org/officeDocument/2006/relationships/hyperlink" Target="http://www.sec.gov/Archives/edgar/data/0001786431/000119312520024304/d874780dex104.htm" TargetMode="External"/><Relationship Id="rId158" Type="http://schemas.openxmlformats.org/officeDocument/2006/relationships/hyperlink" Target="https://www.sec.gov/Archives/edgar/data/1786431/000162828023017042/reyn-2023331x10qxexx101.htm" TargetMode="External"/><Relationship Id="rId159" Type="http://schemas.openxmlformats.org/officeDocument/2006/relationships/hyperlink" Target="https://www.sec.gov/Archives/edgar/data/1786431/000119312523281588/d56571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2024-02-07T08:28:04Z</dcterms:created>
  <dcterms:modified xsi:type="dcterms:W3CDTF">2024-02-07T08:28:04Z</dcterms:modified>
</cp:coreProperties>
</file>