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302.xml.htm"/>
      <w:bookmarkStart w:id="1" w:name="kswkform4_17776663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GOTTSCHALK MARLA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REYNOLDS CONSUMER PRODUCTS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W. FIELD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LAKE FOREST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Reynolds Consumer Products Inc.</w:t>
              </w:r>
            </w:hyperlink>
            <w:r>
              <w:rPr/>
              <w:t xml:space="preserve"> [ </w:t>
            </w:r>
            <w:r>
              <w:rPr>
                <w:rFonts w:ascii="Times;serif" w:hAnsi="Times;serif"/>
                <w:color w:val="0000FF"/>
                <w:sz w:val="24"/>
                <w:shd w:fill="FFFFFF" w:val="clear"/>
              </w:rPr>
              <w:t>REYN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Reynolds Consumer Products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on the earlier of the first anniversary of the grant date or immediately prior to the next year's annual meeting of stockholders and will be settled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 Barnett,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1912" TargetMode="External"/><Relationship Id="rId5" Type="http://schemas.openxmlformats.org/officeDocument/2006/relationships/hyperlink" Target="http://www.sec.gov/cgi-bin/browse-edgar?action=getcompany&amp;CIK=000178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3413</Characters>
  <CharactersWithSpaces>3983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