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60" w:right="1620" w:hanging="3852"/>
        <w:spacing w:after="0" w:line="391" w:lineRule="auto"/>
        <w:tabs>
          <w:tab w:leader="none" w:pos="4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80" w:lineRule="exact"/>
        <w:rPr>
          <w:sz w:val="24"/>
          <w:szCs w:val="24"/>
          <w:color w:val="auto"/>
        </w:rPr>
      </w:pPr>
    </w:p>
    <w:p>
      <w:pPr>
        <w:ind w:left="3420" w:right="1620" w:hanging="3412"/>
        <w:spacing w:after="0" w:line="375" w:lineRule="auto"/>
        <w:tabs>
          <w:tab w:leader="none" w:pos="46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3"/>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8"/>
                <w:szCs w:val="18"/>
                <w:b w:val="1"/>
                <w:bCs w:val="1"/>
                <w:color w:val="auto"/>
                <w:w w:val="98"/>
              </w:rPr>
              <w:t>45-3464426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6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jc w:val="center"/>
              <w:ind w:right="20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4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1900 W. Field Court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Lake Forest, Illinois 60045</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Telephone: (800) 879-5067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2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REYN</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2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2022, the registrant had 209,862,658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9740" w:type="dxa"/>
            <w:vAlign w:val="bottom"/>
            <w:gridSpan w:val="21"/>
            <w:vMerge w:val="continue"/>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32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7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and six months ended June 30, 2022 and 2021</w:t>
            </w:r>
          </w:p>
        </w:tc>
        <w:tc>
          <w:tcPr>
            <w:tcW w:w="20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six months ended June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86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June 30, 2022 and 2021</w:t>
            </w:r>
          </w:p>
        </w:tc>
        <w:tc>
          <w:tcPr>
            <w:tcW w:w="10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500" w:type="dxa"/>
            <w:vAlign w:val="bottom"/>
            <w:tcBorders>
              <w:top w:val="single" w:sz="8" w:color="0000EE"/>
            </w:tcBorders>
            <w:gridSpan w:val="3"/>
          </w:tcPr>
          <w:p>
            <w:pPr>
              <w:spacing w:after="0"/>
              <w:rPr>
                <w:sz w:val="18"/>
                <w:szCs w:val="18"/>
                <w:color w:val="auto"/>
              </w:rPr>
            </w:pPr>
          </w:p>
        </w:tc>
        <w:tc>
          <w:tcPr>
            <w:tcW w:w="24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330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96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86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8"/>
                <w:szCs w:val="18"/>
                <w:color w:val="auto"/>
              </w:rPr>
            </w:pPr>
          </w:p>
        </w:tc>
        <w:tc>
          <w:tcPr>
            <w:tcW w:w="842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0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2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9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8"/>
                <w:szCs w:val="18"/>
                <w:color w:val="auto"/>
              </w:rPr>
            </w:pPr>
          </w:p>
        </w:tc>
        <w:tc>
          <w:tcPr>
            <w:tcW w:w="8440" w:type="dxa"/>
            <w:vAlign w:val="bottom"/>
            <w:gridSpan w:val="1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2021 and as updated in our Quarterly Reports on Form 10-Q. You should specifically consider the numerous risks outlined in those “Risk Factors” sections. These risks and uncertainties include factors related to:</w:t>
      </w:r>
    </w:p>
    <w:p>
      <w:pPr>
        <w:spacing w:after="0" w:line="86"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or a phase-out or replacement of the LIBO rate as an interest rate benchmark.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2021 which was filed on February 9, 2022, under Part I, Item 1A. “Risk Factors” and as updated in our Quarterly Reports on Form 10-Q.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66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8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9"/>
                <w:szCs w:val="19"/>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2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4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jc w:val="right"/>
              <w:ind w:right="661"/>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820" w:type="dxa"/>
            <w:vAlign w:val="bottom"/>
          </w:tcPr>
          <w:p>
            <w:pPr>
              <w:jc w:val="right"/>
              <w:ind w:right="66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20" w:type="dxa"/>
            <w:vAlign w:val="bottom"/>
            <w:tcBorders>
              <w:top w:val="single" w:sz="8" w:color="auto"/>
              <w:bottom w:val="single" w:sz="8" w:color="auto"/>
            </w:tcBorders>
            <w:shd w:val="clear" w:color="auto" w:fill="CFF0FC"/>
          </w:tcPr>
          <w:p>
            <w:pPr>
              <w:jc w:val="right"/>
              <w:ind w:right="6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8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$791 and $752)</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2,000 shares authorized; 210 shares issued and</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8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6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6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w:t>
            </w:r>
          </w:p>
        </w:tc>
        <w:tc>
          <w:tcPr>
            <w:tcW w:w="1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2021,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we entered into an accounts receivable factoring agreement with JP Morgan Chase Bank, N.A. to sell certain accounts receivables up to $190 million. Factored receivables as of June 30, 2022 were $106 million. Transactions under this agreement are accounted for as sales of accounts receivable, and the receivables sold are removed from the condensed consolidated balance sheet at the time of the sales transaction. We classify proceeds received from the sales of accounts receivable as an operating cash flow in the condensed consolidated statement of cash flows. We record the discount as other expense, net in the condensed consolidated statement of income.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Facilitation of the Effects of Reference Rate Reform on Financial Reporting</w:t>
      </w:r>
      <w:r>
        <w:rPr>
          <w:rFonts w:ascii="Times New Roman" w:cs="Times New Roman" w:eastAsia="Times New Roman" w:hAnsi="Times New Roman"/>
          <w:sz w:val="18"/>
          <w:szCs w:val="18"/>
          <w:color w:val="auto"/>
        </w:rPr>
        <w:t>, which provides optional expedients and exceptions to applying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on contract modifications, hedge accounting, and other transactions, to simplify the accounting for transitioning from the London Interbank Offered Rate, and other interbank offered rates expected to be discontinued, to alternative reference rates. This ASU was effective upon its issuance and can be applied prospectively through December 31, 2022. We are currently assessing the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4"/>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Spare parts</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Debt</w:t>
            </w: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4"/>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6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issue discounts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 During September 2020, we entered into a series of interest rate swaps to hedge a portion of the interest rate exposure resulting from these borrowings. In May 2022, we entered into another series of interest rate swaps to hedge a portion of the interest rate exposure that remains from these borrowings. Refer to Note 5 – Financial Instruments for further details.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Facility matures in February 2025 and includes a sub-facility for letters of credit. As of June 30, 2022, we had no outstanding borrowings under the Revolving Facility, and we had $8 million of letters of credit outstanding, which reduces the borrowing capacity under the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June 30, 2022, which is a Level 2 fair value measurement, approximates the carrying value due to the variable market interest rate and the stability of our credit profile.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we entered into a series of interest rate swaps which fixed the LIBO rate to an annual rate of 0.18% to 0.47% (for an annual effective interest rate of 1.93% to 2.22%, including margin) for an aggregate notional amount of $1,650 million, of which $800 million notional value was still in effect as of June 30, 2022. In May 2022, we entered into additional interest rate swaps which fixed the LIBO rate to an annual rate of 2.70% to 2.74% (for an annual effective interest rate of 4.45% to 4.49%, including margin) for an aggregate notional amount of $600 million. As of June 30, 2022, we had interest rate swaps of an aggregate notional amount of $1,400 million.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June 30, 2022 hedge a portion of the interest rate exposure resulting from our Term Loan Facility for periods ranging from less than one year to four years. We classified these instruments as cash flow hedges. The effective portion of the gain or loss on the open hedging instrument is recorded in accumulated other comprehensive income and will be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notional amounts, the annual rates, the annual effective rates, and the fair value of our interest rate derivatives: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Annual Effective Rate</w:t>
            </w:r>
          </w:p>
        </w:tc>
        <w:tc>
          <w:tcPr>
            <w:tcW w:w="26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Asset</w:t>
            </w: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June 30, 2022</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0.20% to 2.74%</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1.96% to 4.47%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20"/>
                <w:szCs w:val="20"/>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0.20% to 0.47%</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1.96% to 2.22%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before tax effect of our interest rate derivatives on accumulated other comprehensive income and the condensed consolidated statements of income: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 of Gain (Loss) Recognized in 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Into</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7"/>
                <w:szCs w:val="7"/>
                <w:color w:val="auto"/>
              </w:rPr>
            </w:pPr>
          </w:p>
        </w:tc>
        <w:tc>
          <w:tcPr>
            <w:tcW w:w="3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2"/>
            <w:vMerge w:val="restart"/>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64"/>
        </w:trPr>
        <w:tc>
          <w:tcPr>
            <w:tcW w:w="4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three months ended June 30,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 the three months ended June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six months ended June 30,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 the six months ended June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(the “IPO Condition”), which was satisfied when we completed our IPO on February 4, 2020, and a service-based vesting condition, which will be satisfied with respect to one-third of an employee’s RSUs on each anniversary from the date of our IPO for three consecutive years, subject to the employee’s continued employment through the applicable vesting date.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established an equity incentive plan for purposes of granting stock-based compensation awards to certain members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six months ended June 30, 2022, zero and 0.2 million RSUs and zero and 0.2 million PSUs were granted, respectively.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there were stock-based compensation awards representing 0.6 million shares outstanding compared to 0.4 million shares outstanding as of December 31, 2021. Stock-based compensation expense was $2 million and $4 million for the three and six months ended June 30, 2022, respectively, and $2 million and $3 million in the comparable prior year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were no legal proceedings pending other than those for which we have determined that the possibility of a material outflow is remote.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 net of income taxes.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13"/>
                <w:szCs w:val="13"/>
                <w:color w:val="auto"/>
              </w:rPr>
            </w:pP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2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Employee Benefit Plans</w:t>
            </w: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40" w:type="dxa"/>
            <w:vAlign w:val="bottom"/>
            <w:tcBorders>
              <w:bottom w:val="single" w:sz="8" w:color="CFF0FC"/>
            </w:tcBorders>
            <w:vMerge w:val="continue"/>
          </w:tcPr>
          <w:p>
            <w:pPr>
              <w:spacing w:after="0"/>
              <w:rPr>
                <w:sz w:val="5"/>
                <w:szCs w:val="5"/>
                <w:color w:val="auto"/>
              </w:rPr>
            </w:pPr>
          </w:p>
        </w:tc>
        <w:tc>
          <w:tcPr>
            <w:tcW w:w="1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FF0FC"/>
            </w:tcBorders>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1,763</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June 30, 2022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58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4"/>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15"/>
                <w:szCs w:val="15"/>
                <w:color w:val="auto"/>
              </w:rPr>
              <w:t>(1)</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Cooking products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Tableware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7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Transactions between us and PEI Group are described below.</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2022, revenues from products sold to PEI Group were $21 million and $48 million, respectively, compared to $26 million and $50 million in the comparable prior year periods. For the three and six months ended June 30, 2022, products purchased from PEI Group were $100 million and $194 million, respectively, compared to $88 million and $162 million in the comparable prior year periods. For the three and six months ended June 30, 2022, PEI Group charged us freight and warehousing costs of $15 million and $29 million, respectively, compared to $15 million and $29 million in the comparable prior year periods, which were included in cost of sales. The resulting related party receivables and payables are settled regularly in the normal course of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June 30, 2022 and June 30, 2021, and $71 million of the dividends paid during each of the six months ended June 30, 2022 and June 30, 2021, were paid to PFL.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28, 2022, our Board of Directors approved a cash dividend of $0.23 per common share to be paid on August 31, 2022 to shareholders of record on August 17,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June 30, 2022 which would require accrual or disclosure in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760" w:hanging="253"/>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produce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w:t>
      </w:r>
    </w:p>
    <w:p>
      <w:pPr>
        <w:spacing w:after="0" w:line="80" w:lineRule="exact"/>
        <w:rPr>
          <w:rFonts w:ascii="Times New Roman" w:cs="Times New Roman" w:eastAsia="Times New Roman" w:hAnsi="Times New Roman"/>
          <w:sz w:val="18"/>
          <w:szCs w:val="18"/>
          <w:color w:val="auto"/>
        </w:rPr>
      </w:pPr>
    </w:p>
    <w:p>
      <w:pPr>
        <w:jc w:val="both"/>
        <w:ind w:left="760" w:hanging="253"/>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79"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5"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increased 5% and 8% in the three and six months ended June 30, 2022, respectively, compared to the same periods in 2021. The revenue increase in both periods was primarily due to pricing actions taken in response to increased material, manufacturing and logistics costs, partially offset by lower volume.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experienced significant increases in material costs as well as increases in manufacturing, logistics and advertising costs in the three and six months ended June 30, 2022, compared to the same prior year periods. We continue to aggressively implement price increases in an effort to recover these costs and maintain our profitability. Our earnings decline in each of the three and six months ended June 30, 2022 compared to the same prior year periods was primarily attributable to lower volume and higher material, manufacturing, logistics and advertising costs, partially offset by price increases.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9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55"/>
        </w:trPr>
        <w:tc>
          <w:tcPr>
            <w:tcW w:w="5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shd w:val="clear" w:color="auto" w:fill="CFF0FC"/>
          </w:tcPr>
          <w:p>
            <w:pPr>
              <w:spacing w:after="0"/>
              <w:rPr>
                <w:sz w:val="19"/>
                <w:szCs w:val="19"/>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our net income and diluted EPS, the most directly comparable GAAP financial measures, to Adjusted Net Income and Adjusted Diluted EPS: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34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22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2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1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26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ind w:left="560" w:hanging="552"/>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25.2% and 24.0% for the three months ended June 30, 2022 and 2021, respectively, which is our effective tax rate for the periods presented.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34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20" w:type="dxa"/>
            <w:vAlign w:val="bottom"/>
          </w:tcPr>
          <w:p>
            <w:pPr>
              <w:spacing w:after="0"/>
              <w:rPr>
                <w:sz w:val="11"/>
                <w:szCs w:val="11"/>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1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34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52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24.8% and 24.5% for the six months ended June 30, 2022 and 2021, respectively, which is our effective tax rate for the periods presented.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 for the three months ended June 30:</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for the three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38"/>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8" w:name="page19"/>
    <w:bookmarkEnd w:id="18"/>
    <w:p>
      <w:pPr>
        <w:ind w:left="2120"/>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with the Three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1"/>
                <w:szCs w:val="11"/>
                <w:color w:val="auto"/>
              </w:rPr>
            </w:pPr>
          </w:p>
        </w:tc>
        <w:tc>
          <w:tcPr>
            <w:tcW w:w="1220" w:type="dxa"/>
            <w:vAlign w:val="bottom"/>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1"/>
                <w:szCs w:val="11"/>
                <w:color w:val="auto"/>
              </w:rPr>
            </w:pP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6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6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Pr>
          <w:p>
            <w:pPr>
              <w:spacing w:after="0"/>
              <w:rPr>
                <w:sz w:val="19"/>
                <w:szCs w:val="19"/>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80" w:type="dxa"/>
            <w:vAlign w:val="bottom"/>
          </w:tcPr>
          <w:p>
            <w:pPr>
              <w:spacing w:after="0"/>
              <w:rPr>
                <w:sz w:val="19"/>
                <w:szCs w:val="19"/>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line="20" w:lineRule="exact"/>
              <w:rPr>
                <w:sz w:val="1"/>
                <w:szCs w:val="1"/>
                <w:color w:val="auto"/>
              </w:rPr>
            </w:pPr>
          </w:p>
        </w:tc>
      </w:tr>
      <w:tr>
        <w:trPr>
          <w:trHeight w:val="243"/>
        </w:trPr>
        <w:tc>
          <w:tcPr>
            <w:tcW w:w="4660" w:type="dxa"/>
            <w:vAlign w:val="bottom"/>
            <w:vMerge w:val="continue"/>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80" w:type="dxa"/>
            <w:vAlign w:val="bottom"/>
          </w:tcPr>
          <w:p>
            <w:pPr>
              <w:spacing w:after="0"/>
              <w:rPr>
                <w:sz w:val="21"/>
                <w:szCs w:val="21"/>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5"/>
                <w:szCs w:val="15"/>
                <w:b w:val="1"/>
                <w:bCs w:val="1"/>
                <w:color w:val="auto"/>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vMerge w:val="restart"/>
            <w:shd w:val="clear" w:color="auto" w:fill="CFF0FC"/>
          </w:tcPr>
          <w:p>
            <w:pPr>
              <w:spacing w:after="0" w:line="20" w:lineRule="exact"/>
              <w:rPr>
                <w:sz w:val="1"/>
                <w:szCs w:val="1"/>
                <w:color w:val="auto"/>
              </w:rPr>
            </w:pPr>
          </w:p>
        </w:tc>
        <w:tc>
          <w:tcPr>
            <w:tcW w:w="1100" w:type="dxa"/>
            <w:vAlign w:val="bottom"/>
            <w:tcBorders>
              <w:top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880" w:right="20" w:hanging="508"/>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 EBITDA.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June 30, 2022 vs. the Three Months Ended June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3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tcPr>
          <w:p>
            <w:pPr>
              <w:spacing w:after="0"/>
              <w:rPr>
                <w:sz w:val="15"/>
                <w:szCs w:val="15"/>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$44 million, or 5%, to $917 million. The increase was primarily driven by higher pricing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actions taken in response to increased material,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$68 million, or 10%, to $733 million. The increase was driven by an increase of $87 million in material costs,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increased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 million, or 2%, to $91 million,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advertising expense, partially offset by lower personnel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$5 million to $7 million primarily due to changes in our deferred compensation plan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$4 million, or 33%, to $16 million.</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$18 million on income before income taxes of $70 million (an effective tax rate of 25.2%)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2022 compared to income tax expense of $25 million on income before income taxes of $105 million (an effective tax rate of 24.0%) for the three months ended June 30, 2021.</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$30 million, or 20%, to $118 million. The decrease in Adjusted EBITDA was primarily due to declines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foil consumption, as well as higher material, manufacturing, logistics and advertising costs, which was significantly offset by price increases.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$9 million, or 3%, to $294 million.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lower foil consumption, lower reroll sales and the timing of retailer inventory replenishment, partially offset by higher pricing as a result of pricing actions taken in response to increased material, manufacturing and logistics costs.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$23 million, or 39%, to $36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and higher material, manufacturing and logistics costs, which were significantly offset by price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$18 million, or 8%, to $238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manufacturing and logistics costs, partially offset by lower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 million, or 2%, to $46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price increases, offset by higher material, manufacturing and logistics costs as well as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$23 million, or 11%, to $240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as a result of pricing actions taken in response to increased material, manufacturing and logistics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$20 million, or 44%, to $25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pricing actions lagging material, manufacturing and logistics costs, as well as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$8 million, or 6%, to $150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pricing actions taken in response to increased material, manufacturing and logistics costs, partially offset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$4 million, or 19%, to $25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price increases to recover higher material, manufacturing and logistics costs, partially offset by lower volume.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 for the six months ended June 30:</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for the six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ind w:right="4432"/>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3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with the Six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vMerge w:val="continue"/>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vMerge w:val="continue"/>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20" w:type="dxa"/>
            <w:vAlign w:val="bottom"/>
            <w:vMerge w:val="continue"/>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5"/>
                <w:szCs w:val="15"/>
                <w:b w:val="1"/>
                <w:bCs w:val="1"/>
                <w:color w:val="auto"/>
              </w:rPr>
              <w:t>(1)</w:t>
            </w:r>
          </w:p>
        </w:tc>
        <w:tc>
          <w:tcPr>
            <w:tcW w:w="58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vMerge w:val="restart"/>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20" w:type="dxa"/>
            <w:vAlign w:val="bottom"/>
            <w:vMerge w:val="continue"/>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Six Months Ended June 30, 2022 vs.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3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tcPr>
          <w:p>
            <w:pPr>
              <w:spacing w:after="0"/>
              <w:rPr>
                <w:sz w:val="15"/>
                <w:szCs w:val="15"/>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13%</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bl>
    <w:p>
      <w:pPr>
        <w:spacing w:after="0" w:line="2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$133 million, or 8%, to $1,762 million. The increase was primarily driven by higher pricing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pricing actions taken in response to increased material,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$181 million, or 15%, to $1,410 million. The increase was driven by an increase of $192 million in material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increased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$7 million, or 4%, to $174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advertising expense, partially offset by lower personnel costs.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$7 million, or 140%, to $12 million primarily due to changes in our deferred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$4 million, or 17%, to $28 million.</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$34 million on income before income taxes of $138 million (an effective tax rate of 24.8%)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compared to income tax expense of $50 million on income before income taxes of $204 million (an effective tax rate of 24.5%) for the six months ended June 30, 2021.</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$58 million, or 20%, to $230 million. The decrease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pricing actions lagging higher material, manufacturing and logistics costs, as well as higher advertising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73"/>
              </w:rPr>
              <w:t>(12)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$12 million, or 2%, to $562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driven by lower foil consumption and reroll sales as well as timing of retailer inventory replenishment, partially offset by higher pricing as a result of pricing actions taken in response to increased material, manufacturing and logistics costs.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$47 million, or 42%, to $64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as well as pricing actions lagging material, manufacturing and logistics cost increases.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$52 million, or 13%, to $466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manufacturing and logistics costs, as well as higher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 million, or 1%, to $91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volume and price increases, offset by higher material, manufacturing and logistics costs as well as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$64 million, or 17%, to $450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pricing as a result of pricing actions taken in response to increased material, manufacturing and logistics costs, as well as higher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$31 million, or 39%, to $48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pricing actions lagging material, manufacturing and logistics costs, partially offset by higher volume.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$24 million, or 9%, to $292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pricing actions taken in response to increased material, manufacturing and logistics costs, partially offset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$6 million, or 16%, to $44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price increases to recover higher material, manufacturing and logistics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vMerge w:val="continue"/>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cash from operating activities increased by $83 million, to $101 million in the six months ended June 30, 2022. </w:t>
      </w:r>
      <w:r>
        <w:rPr>
          <w:rFonts w:ascii="Times New Roman" w:cs="Times New Roman" w:eastAsia="Times New Roman" w:hAnsi="Times New Roman"/>
          <w:sz w:val="18"/>
          <w:szCs w:val="18"/>
          <w:color w:val="212529"/>
        </w:rPr>
        <w:t>The increase was primarily 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$106 million of accounts receivable factored in the current year period as well as lower net cash outlays in the current year period, mainly related to employee costs and inventory investment, compared to the prior year period, partially offset by lower net income.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$17 million to $56 million. The decrease was driven primarily by a purchase of a previously leased manufacturing facility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$100 million, to $108 million. The decrease was attributable to a voluntary payment of debt made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outstanding balance under the Term Loan Facility was $2,119 million. As of June 30, 2022, we had no outstanding borrowings under the Revolving Facility, and we had $8 million of letters of credit outstanding, which reduces the borrowing capacity under the Revolving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$800 million notional value was still in effect as of June 30, 2022. In May 2022, we entered into additional interest rate swaps which fixed the LIBO rate to an annual rate of 2.70% to 2.74% (for an annual effective interest rate of 4.45% to 4.49%, including margin) for an aggregate notional amount of $600 million. As of June 30, 2022, we had interest rate swaps of an aggregate notional amount of $1,400 million. The interest rate swaps outstanding as of June 30, 2022 hedge a portion of the interest rate exposure resulting from our Term Loan Facility for periods ranging from less than one year to four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LIBO rate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May 2022, we entered into an accounts receivable factoring agreement with JP Morgan Chase Bank, N.A. to sell certain accounts receivable up to $190 million. Factored receivables as of June 30, 2022 were $106 million.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cash dividends of $0.23 and $0.46 per share, respectively, were declared and paid. On July 28, 2022, a quarterly cash dividend of $0.23 per share was declared and is to be paid on August 31, 2022.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2021. During the six months ended June 30, 2022,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2022. Based on that evaluation, our Chief Executive Officer and Chief Financial Officer have concluded that, as of June 30, 2022, our disclosure controls and procedures were effective.</w:t>
      </w:r>
    </w:p>
    <w:p>
      <w:pPr>
        <w:spacing w:after="0" w:line="72"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53"/>
        </w:trPr>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Amended and Restated Certificate of Incorporation (incorporated herein by reference to Exhibit 3.1 to the Company’s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8-K filed with the SEC on February 4, 2020)</w:t>
              </w:r>
            </w:hyperlink>
          </w:p>
        </w:tc>
        <w:tc>
          <w:tcPr>
            <w:tcW w:w="6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By-Laws (incorporated herein by reference to Exhibit 3.2 to the Company’s Current Report on Form 8-K filed with</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the SEC on February 4, 2020)</w:t>
              </w:r>
            </w:hyperlink>
          </w:p>
        </w:tc>
        <w:tc>
          <w:tcPr>
            <w:tcW w:w="80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0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40" w:hanging="103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August 9, 2022</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4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Graham,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2022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2022 as filed with the Securities and Exchange Commission on the date hereof (the “Report”), I, Michael Graham, Chief Financial Officer, certify, pursuant to 18 U.S.C.</w:t>
      </w: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0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0001786431/000119312520024304/d874780dex31.htm" TargetMode="External"/><Relationship Id="rId50"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2022-08-09T08:20:16Z</dcterms:created>
  <dcterms:modified xsi:type="dcterms:W3CDTF">2022-08-09T08:20:16Z</dcterms:modified>
</cp:coreProperties>
</file>