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3920" w:right="1940" w:hanging="3912"/>
        <w:spacing w:after="0" w:line="327" w:lineRule="auto"/>
        <w:tabs>
          <w:tab w:leader="none" w:pos="50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001-39205</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REYNOLDS CONSUMER PRODUCTS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392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82"/>
              <w:spacing w:after="0"/>
              <w:rPr>
                <w:sz w:val="20"/>
                <w:szCs w:val="20"/>
                <w:color w:val="auto"/>
              </w:rPr>
            </w:pPr>
            <w:r>
              <w:rPr>
                <w:rFonts w:ascii="Arial" w:cs="Arial" w:eastAsia="Arial" w:hAnsi="Arial"/>
                <w:sz w:val="18"/>
                <w:szCs w:val="18"/>
                <w:b w:val="1"/>
                <w:bCs w:val="1"/>
                <w:color w:val="auto"/>
                <w:w w:val="89"/>
              </w:rPr>
              <w:t>45-3464426</w:t>
            </w:r>
          </w:p>
        </w:tc>
      </w:tr>
      <w:tr>
        <w:trPr>
          <w:trHeight w:val="247"/>
        </w:trPr>
        <w:tc>
          <w:tcPr>
            <w:tcW w:w="3920" w:type="dxa"/>
            <w:vAlign w:val="bottom"/>
          </w:tcPr>
          <w:p>
            <w:pPr>
              <w:jc w:val="center"/>
              <w:ind w:right="190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9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0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18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W. Field Court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Lake Forest, Illinois 60045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879-5067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(847) 482-7742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Trading Symbol</w:t>
            </w: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REYN</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9" w:lineRule="exact"/>
        <w:rPr>
          <w:sz w:val="24"/>
          <w:szCs w:val="24"/>
          <w:color w:val="auto"/>
        </w:rPr>
      </w:pPr>
    </w:p>
    <w:p>
      <w:pPr>
        <w:ind w:left="520" w:right="2040"/>
        <w:spacing w:after="0" w:line="26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-314960</wp:posOffset>
            </wp:positionV>
            <wp:extent cx="5674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7" w:lineRule="exact"/>
        <w:rPr>
          <w:sz w:val="24"/>
          <w:szCs w:val="24"/>
          <w:color w:val="auto"/>
        </w:rPr>
      </w:pPr>
    </w:p>
    <w:p>
      <w:pPr>
        <w:jc w:val="both"/>
        <w:ind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firstLine="51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0" w:lineRule="exact"/>
        <w:rPr>
          <w:sz w:val="24"/>
          <w:szCs w:val="24"/>
          <w:color w:val="auto"/>
        </w:rPr>
      </w:pPr>
    </w:p>
    <w:p>
      <w:pPr>
        <w:spacing w:after="0" w:line="173" w:lineRule="exact"/>
        <w:tabs>
          <w:tab w:leader="none" w:pos="2240" w:val="left"/>
          <w:tab w:leader="none" w:pos="4500" w:val="left"/>
          <w:tab w:leader="none" w:pos="6740" w:val="left"/>
          <w:tab w:leader="none" w:pos="89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17" w:lineRule="exact"/>
        <w:rPr>
          <w:sz w:val="24"/>
          <w:szCs w:val="24"/>
          <w:color w:val="auto"/>
        </w:rPr>
      </w:pPr>
    </w:p>
    <w:p>
      <w:pPr>
        <w:jc w:val="both"/>
        <w:ind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right="312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209,700,500 shares of common stock, $0.001 par value, outstanding as of February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6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9"/>
              </w:rPr>
              <w:t>REYNOLDS CONSUMER PRODUCTS INC.</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20" w:type="dxa"/>
            <w:vAlign w:val="bottom"/>
            <w:gridSpan w:val="8"/>
          </w:tcPr>
          <w:p>
            <w:pPr>
              <w:jc w:val="center"/>
              <w:ind w:right="3260"/>
              <w:spacing w:after="0"/>
              <w:rPr>
                <w:sz w:val="20"/>
                <w:szCs w:val="20"/>
                <w:color w:val="auto"/>
              </w:rPr>
            </w:pPr>
            <w:r>
              <w:rPr>
                <w:rFonts w:ascii="Arial" w:cs="Arial" w:eastAsia="Arial" w:hAnsi="Arial"/>
                <w:sz w:val="18"/>
                <w:szCs w:val="18"/>
                <w:color w:val="auto"/>
                <w:w w:val="95"/>
              </w:rPr>
              <w:t>TABLE OF CONTENTS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0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Page</w:t>
            </w:r>
          </w:p>
        </w:tc>
      </w:tr>
      <w:tr>
        <w:trPr>
          <w:trHeight w:val="290"/>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0020" w:type="dxa"/>
            <w:vAlign w:val="bottom"/>
            <w:gridSpan w:val="26"/>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8"/>
        </w:trPr>
        <w:tc>
          <w:tcPr>
            <w:tcW w:w="1062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62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18"/>
        </w:trPr>
        <w:tc>
          <w:tcPr>
            <w:tcW w:w="1600" w:type="dxa"/>
            <w:vAlign w:val="bottom"/>
            <w:gridSpan w:val="8"/>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Item 1A. Risk Factors</w:t>
              </w:r>
            </w:hyperlink>
          </w:p>
        </w:tc>
        <w:tc>
          <w:tcPr>
            <w:tcW w:w="9020" w:type="dxa"/>
            <w:vAlign w:val="bottom"/>
            <w:gridSpan w:val="19"/>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18"/>
        </w:trPr>
        <w:tc>
          <w:tcPr>
            <w:tcW w:w="10620" w:type="dxa"/>
            <w:vAlign w:val="bottom"/>
            <w:gridSpan w:val="2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1B. Unresolved Staff Comments</w:t>
              </w:r>
            </w:hyperlink>
          </w:p>
        </w:tc>
        <w:tc>
          <w:tcPr>
            <w:tcW w:w="62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318"/>
        </w:trPr>
        <w:tc>
          <w:tcPr>
            <w:tcW w:w="1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9"/>
          </w:tcPr>
          <w:p>
            <w:pPr>
              <w:spacing w:after="0"/>
              <w:rPr>
                <w:sz w:val="24"/>
                <w:szCs w:val="24"/>
                <w:color w:val="auto"/>
              </w:rPr>
            </w:pPr>
          </w:p>
        </w:tc>
        <w:tc>
          <w:tcPr>
            <w:tcW w:w="79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18"/>
        </w:trPr>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3. Legal Proceedings</w:t>
              </w:r>
            </w:hyperlink>
          </w:p>
        </w:tc>
        <w:tc>
          <w:tcPr>
            <w:tcW w:w="8720" w:type="dxa"/>
            <w:vAlign w:val="bottom"/>
            <w:gridSpan w:val="18"/>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18"/>
        </w:trPr>
        <w:tc>
          <w:tcPr>
            <w:tcW w:w="23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4. Mine Safety Disclosures</w:t>
              </w:r>
            </w:hyperlink>
          </w:p>
        </w:tc>
        <w:tc>
          <w:tcPr>
            <w:tcW w:w="8280" w:type="dxa"/>
            <w:vAlign w:val="bottom"/>
            <w:gridSpan w:val="14"/>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12"/>
        </w:trPr>
        <w:tc>
          <w:tcPr>
            <w:tcW w:w="10620" w:type="dxa"/>
            <w:vAlign w:val="bottom"/>
            <w:gridSpan w:val="27"/>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317"/>
        </w:trPr>
        <w:tc>
          <w:tcPr>
            <w:tcW w:w="864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5. Market for Registrant’s Common Equity, Related Stockholder Matters and Issuer Purchases of Equity Securities</w:t>
              </w:r>
            </w:hyperlink>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318"/>
        </w:trPr>
        <w:tc>
          <w:tcPr>
            <w:tcW w:w="22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 Selected Financial Data</w:t>
              </w:r>
            </w:hyperlink>
          </w:p>
        </w:tc>
        <w:tc>
          <w:tcPr>
            <w:tcW w:w="8340" w:type="dxa"/>
            <w:vAlign w:val="bottom"/>
            <w:gridSpan w:val="15"/>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317"/>
        </w:trPr>
        <w:tc>
          <w:tcPr>
            <w:tcW w:w="702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7. Management’s Discussion and Analysis of Financial Condition and Results of Operations</w:t>
              </w:r>
            </w:hyperlink>
          </w:p>
        </w:tc>
        <w:tc>
          <w:tcPr>
            <w:tcW w:w="360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318"/>
        </w:trPr>
        <w:tc>
          <w:tcPr>
            <w:tcW w:w="500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7A. Quantitative and Qualitative Disclosures about Market Risk</w:t>
              </w:r>
            </w:hyperlink>
          </w:p>
        </w:tc>
        <w:tc>
          <w:tcPr>
            <w:tcW w:w="562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318"/>
        </w:trPr>
        <w:tc>
          <w:tcPr>
            <w:tcW w:w="3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8. Financial Statements and Supplementary Data</w:t>
              </w:r>
            </w:hyperlink>
          </w:p>
        </w:tc>
        <w:tc>
          <w:tcPr>
            <w:tcW w:w="672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318"/>
        </w:trPr>
        <w:tc>
          <w:tcPr>
            <w:tcW w:w="70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Item 9. 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73</w:t>
              </w:r>
            </w:hyperlink>
          </w:p>
        </w:tc>
      </w:tr>
      <w:tr>
        <w:trPr>
          <w:trHeight w:val="318"/>
        </w:trPr>
        <w:tc>
          <w:tcPr>
            <w:tcW w:w="10620" w:type="dxa"/>
            <w:vAlign w:val="bottom"/>
            <w:gridSpan w:val="2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9A. Controls and Procedures</w:t>
              </w:r>
            </w:hyperlink>
          </w:p>
        </w:tc>
        <w:tc>
          <w:tcPr>
            <w:tcW w:w="62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318"/>
        </w:trPr>
        <w:tc>
          <w:tcPr>
            <w:tcW w:w="2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Item 9B. Other Information</w:t>
              </w:r>
            </w:hyperlink>
          </w:p>
        </w:tc>
        <w:tc>
          <w:tcPr>
            <w:tcW w:w="460" w:type="dxa"/>
            <w:vAlign w:val="bottom"/>
            <w:tcBorders>
              <w:top w:val="single" w:sz="8" w:color="0000EE"/>
            </w:tcBorders>
            <w:gridSpan w:val="5"/>
          </w:tcPr>
          <w:p>
            <w:pPr>
              <w:spacing w:after="0"/>
              <w:rPr>
                <w:sz w:val="24"/>
                <w:szCs w:val="24"/>
                <w:color w:val="auto"/>
              </w:rPr>
            </w:pPr>
          </w:p>
        </w:tc>
        <w:tc>
          <w:tcPr>
            <w:tcW w:w="816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73</w:t>
              </w:r>
            </w:hyperlink>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III</w:t>
              </w:r>
            </w:hyperlink>
          </w:p>
        </w:tc>
        <w:tc>
          <w:tcPr>
            <w:tcW w:w="9860" w:type="dxa"/>
            <w:vAlign w:val="bottom"/>
            <w:gridSpan w:val="23"/>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7"/>
        </w:trPr>
        <w:tc>
          <w:tcPr>
            <w:tcW w:w="10620" w:type="dxa"/>
            <w:vAlign w:val="bottom"/>
            <w:gridSpan w:val="2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10. Directors, Executive Officers and Corporate Governance</w:t>
              </w:r>
            </w:hyperlink>
          </w:p>
        </w:tc>
        <w:tc>
          <w:tcPr>
            <w:tcW w:w="62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318"/>
        </w:trPr>
        <w:tc>
          <w:tcPr>
            <w:tcW w:w="4740" w:type="dxa"/>
            <w:vAlign w:val="bottom"/>
            <w:tcBorders>
              <w:top w:val="single" w:sz="8" w:color="0000EE"/>
            </w:tcBorders>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11. Executive Compensation</w:t>
              </w:r>
            </w:hyperlink>
          </w:p>
        </w:tc>
        <w:tc>
          <w:tcPr>
            <w:tcW w:w="58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18"/>
        </w:trPr>
        <w:tc>
          <w:tcPr>
            <w:tcW w:w="10620" w:type="dxa"/>
            <w:vAlign w:val="bottom"/>
            <w:gridSpan w:val="2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12. Security Ownership of Certain Beneficial Owners and Management and Related Stockholder Matters</w:t>
              </w:r>
            </w:hyperlink>
          </w:p>
        </w:tc>
        <w:tc>
          <w:tcPr>
            <w:tcW w:w="62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r>
      <w:tr>
        <w:trPr>
          <w:trHeight w:val="318"/>
        </w:trPr>
        <w:tc>
          <w:tcPr>
            <w:tcW w:w="7940" w:type="dxa"/>
            <w:vAlign w:val="bottom"/>
            <w:tcBorders>
              <w:top w:val="single" w:sz="8" w:color="0000EE"/>
            </w:tcBorders>
            <w:gridSpan w:val="2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13. Certain Relationships and Related Transactions, and Director Independence</w:t>
              </w:r>
            </w:hyperlink>
          </w:p>
        </w:tc>
        <w:tc>
          <w:tcPr>
            <w:tcW w:w="26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91</w:t>
              </w:r>
            </w:hyperlink>
          </w:p>
        </w:tc>
      </w:tr>
      <w:tr>
        <w:trPr>
          <w:trHeight w:val="318"/>
        </w:trPr>
        <w:tc>
          <w:tcPr>
            <w:tcW w:w="6100" w:type="dxa"/>
            <w:vAlign w:val="bottom"/>
            <w:tcBorders>
              <w:top w:val="single" w:sz="8" w:color="0000EE"/>
            </w:tcBorders>
            <w:gridSpan w:val="2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14. Principal Accounting Fees and Services</w:t>
              </w:r>
            </w:hyperlink>
          </w:p>
        </w:tc>
        <w:tc>
          <w:tcPr>
            <w:tcW w:w="452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93</w:t>
              </w:r>
            </w:hyperlink>
          </w:p>
        </w:tc>
      </w:tr>
      <w:tr>
        <w:trPr>
          <w:trHeight w:val="412"/>
        </w:trPr>
        <w:tc>
          <w:tcPr>
            <w:tcW w:w="352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IV</w:t>
              </w:r>
            </w:hyperlink>
          </w:p>
        </w:tc>
        <w:tc>
          <w:tcPr>
            <w:tcW w:w="710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318"/>
        </w:trPr>
        <w:tc>
          <w:tcPr>
            <w:tcW w:w="35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Item 15. Exhibits, Financial Statement Schedules</w:t>
              </w:r>
            </w:hyperlink>
          </w:p>
        </w:tc>
        <w:tc>
          <w:tcPr>
            <w:tcW w:w="706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94</w:t>
              </w:r>
            </w:hyperlink>
          </w:p>
        </w:tc>
      </w:tr>
      <w:tr>
        <w:trPr>
          <w:trHeight w:val="318"/>
        </w:trPr>
        <w:tc>
          <w:tcPr>
            <w:tcW w:w="10620" w:type="dxa"/>
            <w:vAlign w:val="bottom"/>
            <w:gridSpan w:val="2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Item 16. Form 10-K Summary</w:t>
              </w:r>
            </w:hyperlink>
          </w:p>
        </w:tc>
        <w:tc>
          <w:tcPr>
            <w:tcW w:w="620" w:type="dxa"/>
            <w:vAlign w:val="bottom"/>
            <w:gridSpan w:val="3"/>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r>
      <w:tr>
        <w:trPr>
          <w:trHeight w:val="318"/>
        </w:trPr>
        <w:tc>
          <w:tcPr>
            <w:tcW w:w="2200" w:type="dxa"/>
            <w:vAlign w:val="bottom"/>
            <w:tcBorders>
              <w:top w:val="single" w:sz="8" w:color="0000EE"/>
            </w:tcBorders>
            <w:gridSpan w:val="1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Index to Exhibits</w:t>
              </w:r>
            </w:hyperlink>
          </w:p>
        </w:tc>
        <w:tc>
          <w:tcPr>
            <w:tcW w:w="8420" w:type="dxa"/>
            <w:vAlign w:val="bottom"/>
            <w:gridSpan w:val="16"/>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95</w:t>
              </w:r>
            </w:hyperlink>
          </w:p>
        </w:tc>
      </w:tr>
      <w:tr>
        <w:trPr>
          <w:trHeight w:val="318"/>
        </w:trPr>
        <w:tc>
          <w:tcPr>
            <w:tcW w:w="1240" w:type="dxa"/>
            <w:vAlign w:val="bottom"/>
            <w:tcBorders>
              <w:top w:val="single" w:sz="8" w:color="0000EE"/>
            </w:tcBorders>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Signatures</w:t>
              </w:r>
            </w:hyperlink>
          </w:p>
        </w:tc>
        <w:tc>
          <w:tcPr>
            <w:tcW w:w="9380" w:type="dxa"/>
            <w:vAlign w:val="bottom"/>
            <w:gridSpan w:val="21"/>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This Annual Report on Form 10-K contains statements reflecting our views about our future performance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You should specifically consider the numerous risks outlined in Item 1A. “Risk Factors.” These risks and uncertainties include factors related to:</w:t>
      </w:r>
    </w:p>
    <w:p>
      <w:pPr>
        <w:spacing w:after="0" w:line="181" w:lineRule="exact"/>
        <w:rPr>
          <w:sz w:val="20"/>
          <w:szCs w:val="20"/>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23"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any of our key manufacturing facilities;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9" w:lineRule="exact"/>
        <w:rPr>
          <w:rFonts w:ascii="Arial" w:cs="Arial" w:eastAsia="Arial" w:hAnsi="Arial"/>
          <w:sz w:val="18"/>
          <w:szCs w:val="18"/>
          <w:color w:val="auto"/>
        </w:rPr>
      </w:pPr>
    </w:p>
    <w:p>
      <w:pPr>
        <w:ind w:left="1260" w:hanging="375"/>
        <w:spacing w:after="0" w:line="250"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in our target markets; and</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Annual Report on Form 10-K to conform our prior statements to actual results or revised expectations.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Additional information about these factors and about the material factors or assumptions underlying such forward-looking statements may be found elsewhere in this Annual Report on Form 10-K, under Item 1A. “Risk Factors.”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this Annual Report on Form 10-K, “Reynolds Consumer Products,” “RCP,” the “Company,” “we,” “us” and “our” refer to (i) prior to the Corporate Reorganization, as defined in our registration statement on Form S-1 (File No. 333-234731), as amended and as filed with the U.S. Securities and Exchange Commission (the “SEC”), the Reynolds Consumer Group business consisting of the combination of Reynolds Consumer Products Inc. and the operations, assets and liabilities comprising Reynolds Group Holdings Limited’s Reynolds Consumer Products segment as reflected in the combined financial statements included elsewhere in this Annual Report on Form 10-K; and (ii) after the Corporate Reorganization, Reynolds Consumer Products Inc. and its consolidated subsidiaries. Reynolds Consumer Products Inc., formerly known as RenPac Holdings Inc., was incorporated in the state of Delaware on September 26, 2011.</w:t>
      </w:r>
    </w:p>
    <w:p>
      <w:pPr>
        <w:spacing w:after="0" w:line="19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filed a registration statement on Form S-1, as amended, with the SEC which was declared effective on January 30, 2020. On January 31, 2020, our common stock began “regular-way” trading on the Nasdaq Global Select Market under the “REYN” symbol. On February 4, 2020, we completed our Corporate Reorganization and initial public offering (“IPO”).</w:t>
      </w:r>
    </w:p>
    <w:p>
      <w:pPr>
        <w:spacing w:after="0" w:line="22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or ™ symbols, but we will assert, to the fullest extent under applicable law, our rights to our trademarks, service marks and trade names.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6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w:t>
      </w:r>
    </w:p>
    <w:p>
      <w:pPr>
        <w:spacing w:after="0" w:line="18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7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Our brands have #1 positions across nearly all our categories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Borders>
              <w:top w:val="single" w:sz="8" w:color="auto"/>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92"/>
              </w:rPr>
              <w:t>Category</w:t>
            </w:r>
          </w:p>
        </w:tc>
        <w:tc>
          <w:tcPr>
            <w:tcW w:w="25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b w:val="1"/>
                <w:bCs w:val="1"/>
                <w:color w:val="auto"/>
              </w:rPr>
              <w:t>Brand</w:t>
            </w:r>
          </w:p>
        </w:tc>
        <w:tc>
          <w:tcPr>
            <w:tcW w:w="252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Position</w:t>
            </w:r>
          </w:p>
        </w:tc>
        <w:tc>
          <w:tcPr>
            <w:tcW w:w="28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Brand share of total category</w:t>
            </w:r>
          </w:p>
        </w:tc>
      </w:tr>
      <w:tr>
        <w:trPr>
          <w:trHeight w:val="385"/>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97"/>
              </w:rPr>
              <w:t>Aluminum foil (U.S.)</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64%</w:t>
            </w:r>
          </w:p>
        </w:tc>
      </w:tr>
      <w:tr>
        <w:trPr>
          <w:trHeight w:val="553"/>
        </w:trPr>
        <w:tc>
          <w:tcPr>
            <w:tcW w:w="3280" w:type="dxa"/>
            <w:vAlign w:val="bottom"/>
          </w:tcPr>
          <w:p>
            <w:pPr>
              <w:jc w:val="center"/>
              <w:ind w:right="292"/>
              <w:spacing w:after="0"/>
              <w:rPr>
                <w:sz w:val="20"/>
                <w:szCs w:val="20"/>
                <w:color w:val="auto"/>
              </w:rPr>
            </w:pPr>
            <w:r>
              <w:rPr>
                <w:rFonts w:ascii="Arial" w:cs="Arial" w:eastAsia="Arial" w:hAnsi="Arial"/>
                <w:sz w:val="18"/>
                <w:szCs w:val="18"/>
                <w:color w:val="auto"/>
                <w:w w:val="94"/>
              </w:rPr>
              <w:t>Aluminum foil (Canada)</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73%</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6"/>
              </w:rPr>
              <w:t>Parchment paper</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51%</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7"/>
              </w:rPr>
              <w:t>Wax paper</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59%</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93"/>
              </w:rPr>
              <w:t>Slow cooker liners</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77%</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7"/>
              </w:rPr>
              <w:t>Oven bags</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93%</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8"/>
              </w:rPr>
              <w:t>Freezer paper</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90%</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8"/>
              </w:rPr>
              <w:t>Slider bags</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35%</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9"/>
              </w:rPr>
              <w:t>Party cups</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22%</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9"/>
              </w:rPr>
              <w:t>Foam dishes</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43%</w:t>
            </w:r>
          </w:p>
        </w:tc>
      </w:tr>
      <w:tr>
        <w:trPr>
          <w:trHeight w:val="513"/>
        </w:trPr>
        <w:tc>
          <w:tcPr>
            <w:tcW w:w="3280" w:type="dxa"/>
            <w:vAlign w:val="bottom"/>
          </w:tcPr>
          <w:p>
            <w:pPr>
              <w:jc w:val="center"/>
              <w:ind w:right="272"/>
              <w:spacing w:after="0"/>
              <w:rPr>
                <w:sz w:val="20"/>
                <w:szCs w:val="20"/>
                <w:color w:val="auto"/>
              </w:rPr>
            </w:pPr>
            <w:r>
              <w:rPr>
                <w:rFonts w:ascii="Arial" w:cs="Arial" w:eastAsia="Arial" w:hAnsi="Arial"/>
                <w:sz w:val="18"/>
                <w:szCs w:val="18"/>
                <w:color w:val="auto"/>
                <w:w w:val="84"/>
              </w:rPr>
              <w:t>Trash bags</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74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-3394075</wp:posOffset>
            </wp:positionV>
            <wp:extent cx="591185"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185" cy="1797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-3488055</wp:posOffset>
            </wp:positionV>
            <wp:extent cx="2263140" cy="3531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140" cy="353187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-3488055</wp:posOffset>
            </wp:positionV>
            <wp:extent cx="2263140" cy="3531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3140" cy="3531870"/>
                    </a:xfrm>
                    <a:prstGeom prst="rect">
                      <a:avLst/>
                    </a:prstGeom>
                    <a:noFill/>
                  </pic:spPr>
                </pic:pic>
              </a:graphicData>
            </a:graphic>
          </wp:anchor>
        </w:drawing>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Source: Nielsen xAOC last 52 weeks ended December 28,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Segments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manage our operations in four reportable segments: Reynolds Cooking &amp; Baking, Hefty Waste &amp; Storage, Hefty Tableware and Presto Products.</w:t>
      </w:r>
    </w:p>
    <w:p>
      <w:pPr>
        <w:spacing w:after="0" w:line="154" w:lineRule="exact"/>
        <w:rPr>
          <w:sz w:val="20"/>
          <w:szCs w:val="20"/>
          <w:color w:val="auto"/>
        </w:rPr>
      </w:pPr>
    </w:p>
    <w:p>
      <w:pPr>
        <w:jc w:val="both"/>
        <w:ind w:left="760" w:hanging="253"/>
        <w:spacing w:after="0" w:line="272"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Reynolds Cooking &amp; Baking</w:t>
      </w:r>
      <w:r>
        <w:rPr>
          <w:rFonts w:ascii="Arial" w:cs="Arial" w:eastAsia="Arial" w:hAnsi="Arial"/>
          <w:sz w:val="17"/>
          <w:szCs w:val="17"/>
          <w:color w:val="auto"/>
        </w:rPr>
        <w:t>: Through our Reynolds Cooking &amp; Baking segment, we produce branded and store brand foil, disposable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w:t>
      </w:r>
    </w:p>
    <w:p>
      <w:pPr>
        <w:spacing w:after="0" w:line="82" w:lineRule="exact"/>
        <w:rPr>
          <w:rFonts w:ascii="Arial" w:cs="Arial" w:eastAsia="Arial" w:hAnsi="Arial"/>
          <w:sz w:val="17"/>
          <w:szCs w:val="17"/>
          <w:color w:val="auto"/>
        </w:rPr>
      </w:pPr>
    </w:p>
    <w:p>
      <w:pPr>
        <w:jc w:val="both"/>
        <w:ind w:left="760" w:hanging="253"/>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Hefty Waste &amp; Storage</w:t>
      </w:r>
      <w:r>
        <w:rPr>
          <w:rFonts w:ascii="Arial" w:cs="Arial" w:eastAsia="Arial" w:hAnsi="Arial"/>
          <w:sz w:val="17"/>
          <w:szCs w:val="17"/>
          <w:color w:val="auto"/>
        </w:rPr>
        <w:t>: Through our Hefty Waste &amp; Storage segment, we produce both branded and store brand trash and food storage bags.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trash bags and contractor bags. It also includes sustainable solutions such as blue and clear recycling bags, compostable bags, bags made from recycled materials and the Hefty EnergyBag Program.</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5" w:name="page6"/>
    <w:bookmarkEnd w:id="5"/>
    <w:p>
      <w:pPr>
        <w:jc w:val="both"/>
        <w:ind w:left="760" w:hanging="253"/>
        <w:spacing w:after="0" w:line="275"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Hefty Tableware</w:t>
      </w:r>
      <w:r>
        <w:rPr>
          <w:rFonts w:ascii="Arial" w:cs="Arial" w:eastAsia="Arial" w:hAnsi="Arial"/>
          <w:sz w:val="17"/>
          <w:szCs w:val="17"/>
          <w:color w:val="auto"/>
        </w:rPr>
        <w:t>: Through our Hefty Tableware segment, we sell both branded and store brand disposable and compostable plates, bowls,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81" w:lineRule="exact"/>
        <w:rPr>
          <w:rFonts w:ascii="Arial" w:cs="Arial" w:eastAsia="Arial" w:hAnsi="Arial"/>
          <w:sz w:val="17"/>
          <w:szCs w:val="17"/>
          <w:color w:val="auto"/>
        </w:rPr>
      </w:pPr>
    </w:p>
    <w:p>
      <w:pPr>
        <w:jc w:val="both"/>
        <w:ind w:left="760" w:hanging="253"/>
        <w:spacing w:after="0" w:line="25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Presto Products</w:t>
      </w:r>
      <w:r>
        <w:rPr>
          <w:rFonts w:ascii="Arial" w:cs="Arial" w:eastAsia="Arial" w:hAnsi="Arial"/>
          <w:sz w:val="18"/>
          <w:szCs w:val="18"/>
          <w:color w:val="auto"/>
        </w:rPr>
        <w:t>: Through our Presto Products segment, we primarily sell store brand products in four main categories: food storage bags, trash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bags, reusable storage containers and plastic wrap. Presto Products is a market leader in food storage bags and differentiates itself by providing access to category management, consumer insights, marketing, merchandising and R&amp;D resources. Our Presto Products segment also includes our growing specialty business, which serves other consumer products companies by providing Fresh-Lock and Slide-Rite resealable closure systems.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Products</w:t>
      </w:r>
    </w:p>
    <w:p>
      <w:pPr>
        <w:spacing w:after="0" w:line="25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portfolio consists of three main product groups: waste &amp; storage products, cooking products and tableware. Our consolidated net revenues by product line for fiscal years 2019, 2018 and 2017 were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Waste and storage </w:t>
            </w:r>
            <w:r>
              <w:rPr>
                <w:rFonts w:ascii="Arial" w:cs="Arial" w:eastAsia="Arial" w:hAnsi="Arial"/>
                <w:sz w:val="15"/>
                <w:szCs w:val="15"/>
                <w:color w:val="auto"/>
              </w:rPr>
              <w:t>(1)</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Cooking products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Tableware</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Walmart accounted for 30%, 28% and 27% and Sam’s Club accounted for 13%, 12% and 12% of our total net revenue in fiscal years 2019, 2018 and 2017, respectively. Sales to Walmart are concentrated more heavily in our Hefty Waste &amp; Storage segment, and sales to Sam’s Club are concentrated more heavily in our Tableware segment.</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fiscal year 2019, North America and the United States represented 99% and 98% of our total sales,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18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have a direct sales force organized by customer type, including national accounts, regional accounts and eCommerce. Our sales force is responsible for sales across each of our segments and our portfolio of branded and store brand products. We complement our internal sales platform by selectively utilizing third-party brokers for certain products and customers. In addition to sales professionals, each of our top 20 customers has a dedicated customer support team, including customer service representatives, category management teams and a logistics and transportation team.</w:t>
      </w:r>
    </w:p>
    <w:p>
      <w:pPr>
        <w:spacing w:after="0" w:line="21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utilize two routes of distribution to deliver our products to our customers. In many cases, we ship directly from our warehouses to the customer distribution center. Given the breadth of our product offerings, we are also able to optimize truckloads and reduce inventory for our retail partners by shipping trucks from mixing centers filled with SKUs across all of our product categories.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Sons, Inc., Poly-America, Handi-Foil Corporation, Republic Plastics, Ltd., Trinidad Benham Corporation, Inteplast Group, Ltd. and Dart Container Corporation. Within each product category, most of our products compete with other widely advertised brands and store brand products.</w:t>
      </w:r>
    </w:p>
    <w:p>
      <w:pPr>
        <w:spacing w:after="0" w:line="15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Competition in our categories is based on a number of factors including price, quality and brand recognition.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have a diverse supplier base, and are not reliant on any single supplier for our primary raw materials, including polyethylene, polystyrene and aluminum. We also purchase raw material additives, secondary packaging materials and finished products for resale. We source a significant majority of our resin requirements from domestic suppliers. We have a track record of actively managing and/or successfully passing along to customers raw material price fluctuations. We also enter into hedging agreements at the request of certain customers who want to mitigate the risk of changes in raw material costs in their product pricing.</w:t>
      </w:r>
    </w:p>
    <w:p>
      <w:pPr>
        <w:spacing w:after="0" w:line="18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Centralized purchasing enables us to leverage the global purchasing power of our operations and reduces our dependence on any one supplier. We generally have one to two year contracts with resin suppliers and multi-year contracts with aluminum suppliers, which have historically provided us with a steady supply of raw materials. In certain instances, we purchase selected finished goods from third-party suppliers to supplement capacity and source specialty items. We have not historically experienced any significant interruptions of key raw material supplies.</w:t>
      </w:r>
    </w:p>
    <w:p>
      <w:pPr>
        <w:spacing w:after="0" w:line="16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61"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Other than licenses for commercially available software, we do not believe that any of our licenses from third parties are material to us taken as a whole. We do not believe that any of our licenses to intellectual property rights granted to third parties are material to us taken as a whole.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December 31, 2019, we employed approximately 5,100 people located primarily in our U.S. and Canada manufacturing facilities. Approximately 24% of our employees are covered by collective labor agreements. We have not experienced any significant union-related work stoppages over the last ten years. We believe our relationships with our employees and labor unions are satisfactory.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w:t>
      </w:r>
    </w:p>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many of our products are used in food packaging, our business is subject to regulations governing products that may contact food in all the countries in which we have operations.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 and believe these programs and procedures are generally effective. However, because of the complexity of these laws and regulations and the multinational scope of our business, compliance cannot be guaranteed.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both"/>
        <w:ind w:firstLine="510"/>
        <w:spacing w:after="0" w:line="272" w:lineRule="auto"/>
        <w:rPr>
          <w:sz w:val="20"/>
          <w:szCs w:val="20"/>
          <w:color w:val="auto"/>
        </w:rPr>
      </w:pPr>
      <w:r>
        <w:rPr>
          <w:rFonts w:ascii="Arial" w:cs="Arial" w:eastAsia="Arial" w:hAnsi="Arial"/>
          <w:sz w:val="17"/>
          <w:szCs w:val="17"/>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 Compliance with these permits can require capital investment and, in some cases, could limit production.</w:t>
      </w:r>
    </w:p>
    <w:p>
      <w:pPr>
        <w:spacing w:after="0" w:line="17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w:t>
      </w:r>
    </w:p>
    <w:p>
      <w:pPr>
        <w:spacing w:after="0" w:line="18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announced their intentions to implement their own programs to reduce greenhouses gases. These initiatives may cause us to incur additional direct costs in complying with any new environmental legislation or regulations, such as costs to upgrade or replace equipment, as well as increased indirect costs that could get passed through to us resulting from our suppliers and customers also incurring additional compliance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required to file annual, quarterly and current reports, proxy statements and other information with the SEC. The SEC maintains an Internet site that contains reports, proxy and information statements, and other information regarding issuers that file electronically with the SEC at http://www.sec.gov.</w:t>
      </w:r>
    </w:p>
    <w:p>
      <w:pPr>
        <w:spacing w:after="0" w:line="21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also make financial information, news releases and other information available on our corporate website at www.reynoldsconsumerproducts.com. Our annual reports on Form 10-K, quarterly reports on Form 10-Q, current reports on Form 8-K, and any amendments to those reports filed or furnished pursuant to Section 13(a) or 15(d) of the Securities Exchange Act of 1934 are available free of charge on this website as soon as reasonably practicable after we file these reports and amendments with, or furnish them to, the SEC. The information contained on or connected to our website is not incorporated by reference into this Annual Report on Form 10- K and should not be considered part of this or any other report filed with the SEC.</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in addition to the other information set forth in this Annual Report on Form 10-K, including the Management’s Discussion and Analysis of Financial Condition and Results of Operations section and the combined financial statements and related notes. If any of the following risks actually occurs, our business, financial condition and results of operations could be materially adversely affected. The risks discussed below are not the only risks we face. Additional risks or uncertainties not currently known to us, or that we currently deem immaterial, may also have a material adverse effect on our business, financial condition, prospects, results of operations, cash flows or price of our publicly traded securities. We cannot assure you that any of the events discussed in the risk factors below will not occur.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anticipate and respond to changes in consumer preferences.</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41" w:lineRule="exact"/>
        <w:rPr>
          <w:sz w:val="20"/>
          <w:szCs w:val="20"/>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offer to our customers products that consumers want at competitive prices;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introduce new and appealing products and innovate successfully on our existing products;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and maintain consumer interest in our brands;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brand recognition and loyalty.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jc w:val="both"/>
        <w:ind w:firstLine="510"/>
        <w:spacing w:after="0" w:line="277" w:lineRule="auto"/>
        <w:rPr>
          <w:sz w:val="20"/>
          <w:szCs w:val="20"/>
          <w:color w:val="auto"/>
        </w:rPr>
      </w:pPr>
      <w:r>
        <w:rPr>
          <w:rFonts w:ascii="Arial" w:cs="Arial" w:eastAsia="Arial" w:hAnsi="Arial"/>
          <w:sz w:val="18"/>
          <w:szCs w:val="18"/>
          <w:color w:val="auto"/>
        </w:rPr>
        <w:t>We may not be able to implement this strategy successfully, which could materially and adversely affect our sales and business, financial condition and results of operations.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6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We do not have written agreements with many of our customers.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7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rely on a relatively small number of customers for a significant portion of our revenue. In 2019, sales to our top ten customers accounted for 68% of our total revenue, and our two largest customers, Walmart and Sam’s Club, individually accounted for 30% and 13%, respectively, of our total revenue. Sales to Walmart are concentrated more heavily in our Hefty Waste &amp; Storage segment, and sales to Sam’s Club are concentrated more heavily in our Hefty Tableware segment. The loss of any of our significant customers would have a material adverse effect on our business, financial condition and results of operations.</w:t>
      </w:r>
    </w:p>
    <w:p>
      <w:pPr>
        <w:spacing w:after="0" w:line="18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over the last several years, there has been a trend toward consolidation among our customers in the retail industry and we expect that this trend will continue. Consolidation among our customers could increase their ability to apply pricing pressure, and thereby force us to reduce our selling prices or lose sales. In addition, following a consolidation, our customers may close stores, reduce inventory or switch suppliers. Any of these factors could negatively impact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operate in competitive markets. Our main competitors include The Clorox Company, S.C. Johnson &amp; Sons, Inc., Poly-America, Handi-Foil Corporation, Republic Plastics, Ltd., Trinidad Benham Corporation, Inteplast Group, Ltd. and Dart Container Corporation. Although capital costs and intellectual property and technology may create barriers to entry, we face the threat of competition from new entrants to our markets as well as from existing competitors, including competitors outside the United States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of our key manufacturing facilities or of those of our key suppliers could have an adverse effect on our business.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Some of our products are manufactured at a single location. For example, our Malvern, Arkansas plant is our sole producer of foil reroll for our Louisville, Kentucky plant, which in turn is our sole producer of household foil. The loss of the use of all or a portion of any of our key manufacturing facilities, especially one that is a sole producer, or the loss of the use of key suppliers, due to an accident, labor issues, weather conditions, natural disaster, the emergence of a pandemic or disease outbreak, such as coronavirus or otherwise,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interruption in our supply of raw materials could harm our business, financial condition and results of operations.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Our business is impacted by fluctuations in raw material, energy and freight costs, including the impact of tariffs and similar matters.</w:t>
      </w:r>
    </w:p>
    <w:p>
      <w:pPr>
        <w:spacing w:after="0" w:line="12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Raw material costs are also impacted by governmental actions, such as tariffs and trade sanctions. For example, the recent imposition by the U.S. government of tariffs on products imported from certain countries and trade sanctions against certain countries have introduced greater 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8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We typically do not enter into long-term fixed price purchase contracts for our principal raw materials. Sales contracts for our products generally do not contain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mitigate the effect of production cost increases, including raw materials, but these increases are not always possible or may not cover the increased raw material costs.</w:t>
      </w:r>
    </w:p>
    <w:p>
      <w:pPr>
        <w:spacing w:after="0" w:line="176"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the recent reduced trucking capacity, due to a shortage of drivers, the recent enforcement deadline for a federal regulation requiring drivers to electronically log their driving hours and adverse weather conditions, among other reasons, has caused an increase in the cost of transportation for us and many other companies.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brands are critical to our success.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on our balance sheet, which could materially and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impacted by changes in consumer lifestyle and environmental concerns.</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certain polystyrene foam products in certain jurisdictions), impact several of our products, especially in our Hefty Tableware segment. Sustainability concerns, including the recycling of products, have received increased focus in recent years and may play an increasing role in brand management and consumer purchasing decisions. In addition, changes in consumer lifestyle may decrease the demand for certain of our products, which in turn could materially and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affected by economic downturns in the markets that we serve and in the regions that supply our raw materials.</w:t>
      </w:r>
    </w:p>
    <w:p>
      <w:pPr>
        <w:spacing w:after="0" w:line="1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 States in particular, could lead to declines in consumer spending and consumption and cause our customers to purchase fewer of our products.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Our profitability and cash flows could suffer if we are unable to continue to generate cost savings in our manufacturing and distribution processes.</w:t>
      </w:r>
    </w:p>
    <w:p>
      <w:pPr>
        <w:spacing w:after="0" w:line="14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anticipate that cost savings will result from reducing material costs and manufacturing inefficiencies and from realizing productivity gains, distribution efficiencies and overhead reductions. However,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activities may result in significant losses and period-to-period earnings volatility.</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may enter into hedging transactions to limit our exposure to raw material price risks. Historically, our commodity hedges are primarily related to diesel, benzene and aluminum. If we fail to effectively monitor and manage our hedging activities or if we execute a position and raw material prices subsequently decline, we could incur significant losses, which could in turn materially and adversely affect our business, financial condition and results of operations, and we could experience significant fluctuations in our earnings from period to period. Factors that could affect the impact and effectiveness of our hedging activities include the accuracy of our operational forecasts of raw material needs and volatility of the commodities and raw materials pricing markets.</w:t>
      </w:r>
    </w:p>
    <w:p>
      <w:pPr>
        <w:spacing w:after="0" w:line="3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growth objectives may be difficult to achieve, and we may not be able to achieve our innovation goals, develop and introduce new products and line extensions or expand into adjacent categories and countries.</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operate in mature markets that are subject to high levels of competition. Our future performance and growth, including our ability to meet our internal objectives of generating 20% of our revenue each year from products that are less than three years old, depends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could be subject to foreign market risks, including, among others, foreign currency fluctuations, economic or political instability and the imposition of tariffs and trade restrictions, which could adversely affect our financial results.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regulation and we may incur material liabilities under, or costs in order to comply with, existing or future laws and regulations.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i w:val="1"/>
          <w:iCs w:val="1"/>
          <w:color w:val="auto"/>
        </w:rPr>
        <w:t>We could incur significant liabilities related to, and significant costs in complying with, environmental, health and safety laws, regulations and permits.</w:t>
      </w:r>
    </w:p>
    <w:p>
      <w:pPr>
        <w:spacing w:after="0" w:line="15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w:t>
      </w:r>
    </w:p>
    <w:p>
      <w:pPr>
        <w:spacing w:after="0" w:line="18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 Such legislation, as well as voluntary initiatives, aimed at reducing the level of plastic wastes,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financial results.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liabilities, experience harm to our reputation and brands, or be forced to recall products as a result of real or perceived product quality or other product-related issues.</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Although we have control measures and systems in place to ensure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In addition, if any of our competitors or customers supply faulty or contaminated products to the market, our industry could be negatively impacted, which in turn could have adverse effects on our business.</w:t>
      </w:r>
    </w:p>
    <w:p>
      <w:pPr>
        <w:spacing w:after="0" w:line="19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seasonality.</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As a result of this seasonality, any factors negatively affecting us during these periods of any year, including unfavorable economic conditions,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our key management and other personnel, or an inability to attract new management and other personnel, could negatively impact our business, financial condition and results of operations.</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depend on our senior executive officers and other key personnel to operate our businesses, develop new products and technologies and service our customers. The loss of any of these key personnel could adversely affect our operations. 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We may have difficulty acquiring product lines or businesses, which could impact our business, financial condition and results of operations.</w:t>
      </w:r>
    </w:p>
    <w:p>
      <w:pPr>
        <w:spacing w:after="0" w:line="14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may pursue acquisitions of product lines or businesses from third parties. Acquisitions involve numerous risks, including difficulties in the assimilation of the operations, technologies, services and products of the acquired product lines or businesses, estimation and assumption of liabilities and contingencies, personnel turnover and the diversion of management’s attention from other business operations. We may be unable to successfully integrate and manage certain product lines or businesses that we may acquire in the future, or be unable to achieve anticipated benefits or cost savings from acquisitions in the time frame we anticipate, or at all.</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 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7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There is also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w:t>
      </w:r>
    </w:p>
    <w:p>
      <w:pPr>
        <w:spacing w:after="0" w:line="19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In any case, such claims could be protracted and costly and could have a material adverse effect on our business and results of operations regardless of their outcome.</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rights licensed from third parties, and disputes regarding or termination of these licenses could result in loss of rights, which could harm our business.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are dependent in part on intellectual property rights licensed from third parties. Our licenses to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 use of in-licensed intellectual property rights, and therefore we may be reliant on our licensors to conduct such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510"/>
        <w:spacing w:after="0" w:line="254" w:lineRule="auto"/>
        <w:rPr>
          <w:sz w:val="20"/>
          <w:szCs w:val="20"/>
          <w:color w:val="auto"/>
        </w:rPr>
      </w:pPr>
      <w:r>
        <w:rPr>
          <w:rFonts w:ascii="Arial" w:cs="Arial" w:eastAsia="Arial" w:hAnsi="Arial"/>
          <w:sz w:val="18"/>
          <w:szCs w:val="18"/>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9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of our information systems security measures could disrupt our internal operations.</w:t>
      </w:r>
    </w:p>
    <w:p>
      <w:pPr>
        <w:spacing w:after="0" w:line="117"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depend on information technology for processing and distributing information in our business, including to and from our customers and suppliers. This information technology could be subject to theft, damage or interruption from a variety of sources, including malicious computer viruses, security breaches, defects in design, employee malfeasance or human or technical errors. Additionally, we could be at risk if a customer’s or supplier’s information technology system is attacked or compromised. Cybersecurity incidents have increased in number and severity, and it is expected that these trends will continue. Although we have taken measures to protect our data and to protect our computer systems from attacks, they may not be sufficient to prevent unauthorized access to our systems or theft of our data. If we or third parties with whom we do business were to fall victim to cyber-attacks or experience other cybersecurity incidents, such incidents could result in unauthorized access to, disclosure or loss of or damage to company, customer or other third party data; theft of confidential data, including personal information and intellectual property; loss of access to critical data or systems; and other business delays or disruptions. The loss or disclosure of personal information could also expose us to liability or penalties under laws, rules and regulations related to solicitation, collection, processing or use of consumer, customer, vendor or employee information or related data. In addition, we may incur large expenditures to investigate or remediate, to recover data, to repair or replace networks or information technology systems, or to protect against similar future events. If these events were to occur, we could incur substantial costs or suffer other consequences that negatively impact our business, financial condition and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debt, which could adversely affect our financial condition and ability to operate our business.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February 29, 2020, we had $2,475 million of outstanding indebtedness under our senior secured term loan facility (“Term Loan Facility”) and up to $250 million of borrowing capacity under our senior secured revolving credit facility (“Revolving Facility”). Our debt level and related debt service obligations:</w:t>
      </w:r>
    </w:p>
    <w:p>
      <w:pPr>
        <w:spacing w:after="0" w:line="76" w:lineRule="exact"/>
        <w:rPr>
          <w:sz w:val="20"/>
          <w:szCs w:val="20"/>
          <w:color w:val="auto"/>
        </w:rPr>
      </w:pPr>
    </w:p>
    <w:p>
      <w:pPr>
        <w:ind w:left="760" w:hanging="253"/>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significant cash flow to the payment of principal of, and interest on, our debt, which will reduce the funds we have available for other purposes, including working capital, capital expenditures and general corporate purposes;</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may limit our flexibility in planning for or reacting to changes in our business and market conditions or in funding our strategic growth plan;</w:t>
      </w:r>
    </w:p>
    <w:p>
      <w:pPr>
        <w:spacing w:after="0" w:line="128" w:lineRule="exact"/>
        <w:rPr>
          <w:rFonts w:ascii="Arial" w:cs="Arial" w:eastAsia="Arial" w:hAnsi="Arial"/>
          <w:sz w:val="17"/>
          <w:szCs w:val="17"/>
          <w:color w:val="auto"/>
        </w:rPr>
      </w:pPr>
    </w:p>
    <w:p>
      <w:pPr>
        <w:ind w:left="760" w:hanging="25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on us financial and operational restrictions;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interest rate risk on our debt obligations bearing interest at variable rates.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An increase in market interest rates could increase our interest costs.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debt bears interest at variable rates, and we may incur additional variable interest rate indebtedness in the future. This exposes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Goodwill and indefinite-lived intangible assets are a material component of our balance sheet and impairments of these assets could have a significant impact on our results.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have concluded that our goodwill and indefinite-lived intangible assets are not impaired, future events could cause us to conclude that the goodwill associated with a given segment, or one of our indefinite- lived intangible assets, may have become impaired. Any resulting impairment charge, although non-cash, could have a material adverse effect on our results of operations and financial condition.</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our workforce is covered by collective bargaining agreements, and our business could be harmed in the event of a prolonged work stoppage.</w:t>
      </w:r>
    </w:p>
    <w:p>
      <w:pPr>
        <w:spacing w:after="0" w:line="15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Approximately 24%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legislation initiatives or challenges to our tax positions could adversely affect our operations and financial condition.</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8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For example, the United States federal government enacted tax reform that, among other things, reduced U.S. federal corporate income tax rates, imposed limits on tax deductions for interest expense, changed the rules related to capital expenditure cost recovery and changed many of the rules related to the taxation of business income generated outside of the United States. There are a number of uncertainties and ambiguities as to the interpretation and application of many of the provisions of the recently enacted tax reform measure. Given the unpredictability of these possible changes and their potential interdependency, it remains difficult to assess the overall effect such tax changes will have on our earnings and cash flow, and the extent to which such changes could adversely impact our results of operations. As the impacts of the new law are determined, and as regulations and other guidance interpreting the new law are issued and finalized, our financial results could be impacted.</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not adequately protect us against business and operating risks.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Legal claims and proceedings could adversely impact our business.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a large company with a long history of serving consumers, we may be subject to a wide variety of legal claims and proceedings.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inaccurate or unfavorable reports about our business, the price of our common stock and trading volume could decline.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of common stock or change their opinion of our common stock, our common stock price would likely decline. If one or more of these analysts cease coverage of our company or fail to regularly publish reports on us, we could lose visibility in the financial markets, which could cause our common stock price or trading volume to decline.</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future sales by Packaging Finance Limited or others of our common stock, or the perception that such sales may occur, could depress the price of our common stock.</w:t>
      </w:r>
    </w:p>
    <w:p>
      <w:pPr>
        <w:spacing w:after="0" w:line="6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Packaging Finance Limited (“PFL”) owns the majority of our outstanding common stock. We do not know whether or when PFL will sell shares of our common stock. The sale by PFL or others of a substantial number of shares of our common stock, or a perception that such sales could occur, could significantly reduce the market price of our common stock. The perception of a potential sell-down by PFL could depress the market price of our common stock and make it more difficult for us to sell equity securities in the future at a time and at a price that we deem appropriate.</w:t>
      </w:r>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38"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62" w:lineRule="exact"/>
        <w:rPr>
          <w:sz w:val="20"/>
          <w:szCs w:val="20"/>
          <w:color w:val="auto"/>
        </w:rPr>
      </w:pPr>
    </w:p>
    <w:p>
      <w:pPr>
        <w:ind w:left="760" w:hanging="25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for a staggered board;</w:t>
      </w:r>
    </w:p>
    <w:p>
      <w:pPr>
        <w:spacing w:after="0" w:line="117" w:lineRule="exact"/>
        <w:rPr>
          <w:rFonts w:ascii="Arial" w:cs="Arial" w:eastAsia="Arial" w:hAnsi="Arial"/>
          <w:sz w:val="18"/>
          <w:szCs w:val="18"/>
          <w:color w:val="auto"/>
        </w:rPr>
      </w:pPr>
    </w:p>
    <w:p>
      <w:pPr>
        <w:jc w:val="both"/>
        <w:ind w:left="760" w:hanging="253"/>
        <w:spacing w:after="0" w:line="25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at least 66</w:t>
      </w:r>
      <w:r>
        <w:rPr>
          <w:rFonts w:ascii="Arial" w:cs="Arial" w:eastAsia="Arial" w:hAnsi="Arial"/>
          <w:sz w:val="15"/>
          <w:szCs w:val="15"/>
          <w:color w:val="auto"/>
        </w:rPr>
        <w:t>2/3</w:t>
      </w:r>
      <w:r>
        <w:rPr>
          <w:rFonts w:ascii="Arial" w:cs="Arial" w:eastAsia="Arial" w:hAnsi="Arial"/>
          <w:sz w:val="18"/>
          <w:szCs w:val="18"/>
          <w:color w:val="auto"/>
        </w:rPr>
        <w:t>%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beneficially own less than 50% of the outstanding shares of our common stock;</w:t>
      </w:r>
    </w:p>
    <w:p>
      <w:pPr>
        <w:spacing w:after="0" w:line="86"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62" w:lineRule="exact"/>
        <w:rPr>
          <w:rFonts w:ascii="Arial" w:cs="Arial" w:eastAsia="Arial" w:hAnsi="Arial"/>
          <w:sz w:val="18"/>
          <w:szCs w:val="18"/>
          <w:color w:val="auto"/>
        </w:rPr>
      </w:pPr>
    </w:p>
    <w:p>
      <w:pPr>
        <w:jc w:val="both"/>
        <w:ind w:left="760" w:hanging="253"/>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75"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the Court of Chancery of the State of Delaware; and</w:t>
      </w:r>
    </w:p>
    <w:p>
      <w:pPr>
        <w:spacing w:after="0" w:line="117"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510"/>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 stockholders may be limited in their ability to obtain a premium for their shares of common stock.</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Furthermore, we have entered into a stockholders agreement with PFL which, among other matters, provides PFL with the right to nominate a certain number of directors to our board of directors so long as the Hart Entities beneficially own at least 10% of the outstanding shares of our common stock.</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Securities and Exchange Act of 1934, the Securities Act of 1933,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a history of complying with the requirements of being a public company and the requirements of being a public company may strain our resources and divert management’s attention.</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a public company, we are subject to various requirements, including the reporting requirements of the Exchange Act, the Sarbanes-Oxley Act of 2002 (“Sarbanes-Oxley Act”) and the rules of Nasdaq, that did not apply to us prior to becoming a public company. The requirements of these rules and regulations will increase our legal and financial compliance costs, make some activities more difficult, time-consuming or costly and increase demand on our systems and resources. For example, we are obligated to file with the SEC annual and quarterly information and other reports and therefore need to have the ability to prepare financial statements that are compliant with all SEC reporting requirements on a timely basis. In addition, we will be subject to other reporting and corporate governance requirements, including certain requirements of Nasdaq and certain provisions of the Sarbanes-Oxley Act and the regulations promulgated thereunder, which will impose significant compliance obligations upon us. Because we have not operated as a company with equity listed on a national securities exchange in the past, we might not be successful in implementing these requirements. The increased costs of compliance with public company reporting requirements and our potential failure to satisfy these requirements could have a material adverse effect on our business, financial condition and results of operations.</w:t>
      </w: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over financial reporting in accordance with Sections 302 and 404 of the Sarbanes-Oxley Act could have a material adverse effect on our business and reputation.</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As a newly public company, we are required to comply with the SEC’s rules implementing Sections 302 and 404 of the Sarbanes-Oxley Act, which requires management to certify financial and other information in our quarterly and annual reports and provide an annual management report on the effectiveness of controls over financial reporting. When evaluating our internal controls over financial reporting, we may identify material weaknesses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fail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to improve our internal control system and the hiring of additional personnel. Any such action could negatively affect our results of operations and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intend to pay regular dividends on our common stock, but our ability to do so may be limited.</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intend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Our ability to pay dividends is restricted by the terms of our Term Loan Facility and may be restricted by the terms of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significant liabilities if we take certain actions that result in assessment of U.S. federal income tax on certain internal transactions undertaken by RGHL Group in preparation for our IPO.</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historically operated as part of RGHL Group. In preparation for our IPO, RGHL Group effected certain distributions pursuant to the Corporate Reorganization to transfer its interests in us to PFL in a manner that was intended to qualify as tax-free to PFL, RGHL and Reynolds Group Holdings Inc. (“RGHI”) under Sections 368(a)(1)(D) and 355 of the Internal Revenue Code of 1986, as amended (“Code”). RGHL received a tax opinion as to the tax treatment of these distributions, which relied on certain facts, assumptions, representations and undertakings from Mr. Graeme Hart, RGHL Group and us regarding the past and future conduct of the companies’ respective businesses and other matters. If any of these facts, assumptions, representations or undertakings are incorrect or not otherwise satisfied, RGHL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including as a result of certain significant changes in the stock ownership of RGHL, RGHI or us after the distributions. If the distributions are determined to be taxable for U.S. federal income tax purposes, PFL, RGHL and RGHI could incur significant U.S. federal income tax liabilities, and we could also incur significant liabilities. Under the tax matters agreement between RGHL and us (“Tax Matters Agreement”), we are required to indemnify RGHL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w:t>
      </w:r>
    </w:p>
    <w:p>
      <w:pPr>
        <w:spacing w:after="0" w:line="2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affected by significant restrictions, including on our ability to engage in certain corporate transactions for a two-year period after the Corporate Reorganization, in order to avoid triggering significant tax-related liabilities.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To preserve the tax-free treatment for U.S. federal income tax purposes to RGHL Group of the distributions effected pursuant to the Corporate Reorganization, under the Tax Matters Agreement that we entered into with RGHL, we are restricted from taking any action that prevents these distributions from being tax-free for U.S. federal income tax purposes. Under the Tax Matters Agreement, for the two-year period following these distributions, we are subject to specific restrictions on our ability to enter into acquisitions, mergers, liquidations, sales and stock redemption transactions with respect to our stock. These restrictions may limit our ability to pursue certain strategic transactions or other transactions that we may believe to be in the best interests of our stockholders or that might increase the value of our business. These restrictions do not limit the acquisition of other businesses by us for cash consideration. Furthermore, we are subject to specific restrictions on discontinuing the active conduct of our trade or business and the issuance or sale of stock or other securities (including securities convertible into our stock but excluding certain compensatory arrangements), which may limit our ability to effect certain anti-takeover provisions related to the issuance of preferred stock. Such restrictions may reduce our strategic and operating flexibility, including our options for raising equity capital.</w:t>
      </w: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PFL controls the direction of our business and PFL’s concentrated ownership of our common stock may prevent our stockholders from influencing significant decisions.</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PFL owns and controls the voting power of approximately 74% of our outstanding shares of common stock. Under the stockholders agreement, PFL is entitled to nominate all of our board of directors so long as it owns at least 50% of our shares, and a majority of our board of directors so long it owns at least 40% of our shares. Additionally, as long as PFL continues to control a majority of the voting power of our outstanding common stock, it is generally able to determine the outcome of all corporate actions requiring stockholder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ind w:firstLine="510"/>
        <w:spacing w:after="0" w:line="257" w:lineRule="auto"/>
        <w:rPr>
          <w:sz w:val="20"/>
          <w:szCs w:val="20"/>
          <w:color w:val="auto"/>
        </w:rPr>
      </w:pPr>
      <w:r>
        <w:rPr>
          <w:rFonts w:ascii="Arial" w:cs="Arial" w:eastAsia="Arial" w:hAnsi="Arial"/>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Other stockholders will not be able to affect the outcome of any stockholder vote while PFL controls the majority of the voting power of our outstanding common stock. As a result, PFL controls, directly or indirectly and subject to applicable law, the composition of our board of directors, which in turn will be able to control all matters affecting us, including, among others:</w:t>
      </w:r>
    </w:p>
    <w:p>
      <w:pPr>
        <w:spacing w:after="0" w:line="80" w:lineRule="exact"/>
        <w:rPr>
          <w:sz w:val="20"/>
          <w:szCs w:val="20"/>
          <w:color w:val="auto"/>
        </w:rPr>
      </w:pPr>
    </w:p>
    <w:p>
      <w:pPr>
        <w:ind w:left="760" w:hanging="253"/>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determination with respect to our business direction and policies, including the appointment and removal of officers and directors;</w:t>
      </w:r>
    </w:p>
    <w:p>
      <w:pPr>
        <w:spacing w:after="0" w:line="128" w:lineRule="exact"/>
        <w:rPr>
          <w:rFonts w:ascii="Arial" w:cs="Arial" w:eastAsia="Arial" w:hAnsi="Arial"/>
          <w:sz w:val="17"/>
          <w:szCs w:val="17"/>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amendments to our certificate of incorporation;</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 of assets;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and benefit programs and other human resources policy decisions;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determinations with respect to tax matters.</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addition, the concentration of PFL’s ownership could also discourage others from making tender offers, which could prevent holders from receiving a premium for their common stock.</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 longer affiliated with RGHL Group, we may be unable to continue to benefit from that relationship, which may adversely affect our operations and have a material adverse effect on us.</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affiliation with RGHL Group (as defined in Item 6. “Selected Financial Data”) provided us with increased scale and reach. We leveraged our combined scale to coordinate purchases across our operations to reduce costs. If we no longer benefit from this relationship, whether because we are no longer affiliated with RGHL Group or otherwise, it may result in increased costs for us and higher prices to our customers because we may be unable to obtain goods, services and technology from unaffiliated third parties on terms as favorable as those previously obtained. As a result of any the above factors, we may be precluded from pursuing certain opportunities that we would otherwise pursue, including growth opportunities, which in turn may adversely affect our business, financial condition and results of operations.</w:t>
      </w:r>
    </w:p>
    <w:p>
      <w:pPr>
        <w:spacing w:after="0" w:line="300"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have entered into various transactions with Rank Group Limited (“Rank”) and other related parties that are members of RGHL Group, including, among others:</w:t>
      </w:r>
    </w:p>
    <w:p>
      <w:pPr>
        <w:spacing w:after="0" w:line="62" w:lineRule="exact"/>
        <w:rPr>
          <w:sz w:val="20"/>
          <w:szCs w:val="20"/>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for our corporate headquarters in Lake Forest, Illinois;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for a facility used for certain research and development activities in Canandaigua, New York;</w:t>
      </w:r>
    </w:p>
    <w:p>
      <w:pPr>
        <w:spacing w:after="0" w:line="117"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transition services agreement whereby RGHL Group will continue to provide certain administrative services to us and we will provide certain services to RGHL Group, including human resources; compliance; and procurement;</w:t>
      </w:r>
    </w:p>
    <w:p>
      <w:pPr>
        <w:spacing w:after="0" w:line="75" w:lineRule="exact"/>
        <w:rPr>
          <w:rFonts w:ascii="Arial" w:cs="Arial" w:eastAsia="Arial" w:hAnsi="Arial"/>
          <w:sz w:val="18"/>
          <w:szCs w:val="18"/>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transition services agreement whereby Rank, upon our request, will provide certain administrative services to us;</w:t>
      </w:r>
    </w:p>
    <w:p>
      <w:pPr>
        <w:spacing w:after="0" w:line="117" w:lineRule="exact"/>
        <w:rPr>
          <w:rFonts w:ascii="Arial" w:cs="Arial" w:eastAsia="Arial" w:hAnsi="Arial"/>
          <w:sz w:val="18"/>
          <w:szCs w:val="18"/>
          <w:color w:val="auto"/>
        </w:rPr>
      </w:pPr>
    </w:p>
    <w:p>
      <w:pPr>
        <w:ind w:left="760" w:right="20" w:hanging="253"/>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transition and support agreement with Pactiv for support at our Red Bluff, California and Huntersville, North Carolina facilities (which we acquired from Pactiv in 2019);</w:t>
      </w:r>
    </w:p>
    <w:p>
      <w:pPr>
        <w:spacing w:after="0" w:line="62"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agreements where we sell certain products (primarily aluminum foil containers and roll foil) to, and purchase certain products (primarily tableware), from Pactiv; and</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warehousing and freight services agreement whereby Pactiv provides certain logistics services to us.</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At the conclusion of these agreements, we will have to perform such services with internal resources or contract with third party providers. There could be disruptions upon transition, and there can be no assurance that we will be able to perform or obtain the necessary services at the same or lower cost. Such related party transactions may also potentially involve conflicts of interest; for example, in the event of a dispute under any of these related party agreements, RGHL Group could decide the matter in a way adverse to us, and our ability to enforce our contractual rights may be limited.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ind w:firstLine="510"/>
        <w:spacing w:after="0" w:line="257" w:lineRule="auto"/>
        <w:rPr>
          <w:sz w:val="20"/>
          <w:szCs w:val="20"/>
          <w:color w:val="auto"/>
        </w:rPr>
      </w:pPr>
      <w:r>
        <w:rPr>
          <w:rFonts w:ascii="Arial" w:cs="Arial" w:eastAsia="Arial" w:hAnsi="Arial"/>
          <w:sz w:val="18"/>
          <w:szCs w:val="18"/>
          <w:color w:val="auto"/>
        </w:rPr>
        <w:t>It is also likely that we may enter into related party transactions in the future. Although material related party transactions that we may enter into will be subject to approval or ratification of a designated committee of our board of directors (which will initially be the Audit Committee) or other committee designated by our board of directors made up solely of independent directors,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newly stand-alone public company, our historical combined financial data is not necessarily representative of the results we would have achieved as a stand-alone public company and may not be a reliable indicator of our future results.</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Prior to our public offering, we operated as part of RGHL Group and not as a stand-alone entity. The combined historical information in this Annual Report on Form 10-K reflects our business as part of RGHL Group. This information does not necessarily reflect the financial position, results of operations, and cash flows we would have achieved as a public company during the periods presented, or that we will achieve in the future. This is primarily because of the following factors:</w:t>
      </w:r>
    </w:p>
    <w:p>
      <w:pPr>
        <w:spacing w:after="0" w:line="79" w:lineRule="exact"/>
        <w:rPr>
          <w:sz w:val="20"/>
          <w:szCs w:val="20"/>
          <w:color w:val="auto"/>
        </w:rPr>
      </w:pPr>
    </w:p>
    <w:p>
      <w:pPr>
        <w:jc w:val="both"/>
        <w:ind w:left="760" w:hanging="253"/>
        <w:spacing w:after="0" w:line="259"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RGHL Group historically performed or supported various corporate services for us, including executive management, supply chain, information technology, legal, finance and accounting, human resources, risk management, tax, treasury, and other services. Our historical combined financial data reflects allocations of corporate expenses from RGHL Group for these and similar functions. These allocations may not reflect the costs we will incur for similar services in the future as a public company.</w:t>
      </w:r>
    </w:p>
    <w:p>
      <w:pPr>
        <w:spacing w:after="0" w:line="78" w:lineRule="exact"/>
        <w:rPr>
          <w:rFonts w:ascii="Arial" w:cs="Arial" w:eastAsia="Arial" w:hAnsi="Arial"/>
          <w:sz w:val="18"/>
          <w:szCs w:val="18"/>
          <w:color w:val="auto"/>
        </w:rPr>
      </w:pPr>
    </w:p>
    <w:p>
      <w:pPr>
        <w:jc w:val="both"/>
        <w:ind w:left="760" w:hanging="253"/>
        <w:spacing w:after="0" w:line="259"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entered into certain agreements with RGHL Group and Rank, including supply agreements to sell products (mostly aluminum foil containers and aluminum foil) and purchase products (mostly tableware). Upon the expiration of these agreements, we will be required to negotiate new arrangements with RGHL Group, Rank and/or unaffiliated third parties, and these new arrangements may not reflect terms as favorable as those previously obtained from RGHL Group and Rank.</w:t>
      </w:r>
    </w:p>
    <w:p>
      <w:pPr>
        <w:spacing w:after="0" w:line="78" w:lineRule="exact"/>
        <w:rPr>
          <w:rFonts w:ascii="Arial" w:cs="Arial" w:eastAsia="Arial" w:hAnsi="Arial"/>
          <w:sz w:val="18"/>
          <w:szCs w:val="18"/>
          <w:color w:val="auto"/>
        </w:rPr>
      </w:pPr>
    </w:p>
    <w:p>
      <w:pPr>
        <w:jc w:val="both"/>
        <w:ind w:left="760" w:hanging="253"/>
        <w:spacing w:after="0" w:line="255"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relied upon RGHL Group for working capital requirements and other cash requirements. Subsequent to our IPO, RGHL Group will not be providing us with funds to finance our working capital or other cash requirements. After our IPO, our access to and cost of debt financing may be different from the historical access to and cost of debt financing under RGHL Group. Differences in access to and cost of debt financing may result in differences in the interest rate charged to us on financings, as well as the amounts of indebtedness, types of financing structures and debt markets that may be available to us, which could have an adverse effect on our business, financial condition and results of operations and cash flows.</w:t>
      </w:r>
    </w:p>
    <w:p>
      <w:pPr>
        <w:spacing w:after="0" w:line="84" w:lineRule="exact"/>
        <w:rPr>
          <w:rFonts w:ascii="Arial" w:cs="Arial" w:eastAsia="Arial" w:hAnsi="Arial"/>
          <w:sz w:val="18"/>
          <w:szCs w:val="18"/>
          <w:color w:val="auto"/>
        </w:rPr>
      </w:pPr>
    </w:p>
    <w:p>
      <w:pPr>
        <w:jc w:val="both"/>
        <w:ind w:left="760" w:hanging="253"/>
        <w:spacing w:after="0" w:line="26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Historically, we have sold substantially all of our U.S. trade receivables through RGHL Group’s securitization facility. This non-recourse factoring arrangement satisfied all of the conditions that result in the derecognition of our trade receivables. We repurchased all U.S. trade receivables outstanding and now collect our trade receivables in the ordinary course of business.</w:t>
      </w:r>
    </w:p>
    <w:p>
      <w:pPr>
        <w:spacing w:after="0" w:line="75" w:lineRule="exact"/>
        <w:rPr>
          <w:rFonts w:ascii="Arial" w:cs="Arial" w:eastAsia="Arial" w:hAnsi="Arial"/>
          <w:sz w:val="18"/>
          <w:szCs w:val="18"/>
          <w:color w:val="auto"/>
        </w:rPr>
      </w:pPr>
    </w:p>
    <w:p>
      <w:pPr>
        <w:jc w:val="both"/>
        <w:ind w:left="760" w:hanging="253"/>
        <w:spacing w:after="0" w:line="279"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historical combined financial data was not adjusted for and did not reflect changes we will experience as a result of our transition to becoming a public company. These changes include (1) changes in our cost structure, personnel needs, tax structure, and business operations, (2) changes in our management, (3) potential increased costs associated with reduced economies of scale, and (4) increased costs associated with corporate governance, investor and public relations, and public company reporting and compliance.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Therefore, our historical combined financial data may not necessarily be indicative of our future financial position, results of operations, or cash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operate our business effectively may suffer if we do not, quickly and cost effectively, establish our own financial, administrative, and other support functions, and we cannot assure you that the transitional services RGHL Group and Rank have agreed to provide us will be sufficient for our needs.</w:t>
      </w:r>
    </w:p>
    <w:p>
      <w:pPr>
        <w:spacing w:after="0" w:line="76"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Historically, we have relied on financial, administrative, and other resources of RGHL Group to operate our business. In conjunction with our separation from RGHL Group, we are creating our own financial, administrative and other support systems or contracting with third parties to replace RGHL Group’s systems. In connection with our initial public offering, we entered into agreements with RGHL Group and Rank under which RGHL Group and Rank provide certain transitional services to us, such as supply chain, information technology, legal, finance and accounting, human resources, tax, treasury and other services, as well as access to certain information technology systems shared with RGHL Group and subject to data access controls. These services and data access controls may not be sufficient to meet our needs. After our agreements with RGHL Group and Rank expire, we may not be able to obtain these services at prices or on terms that are as favorable. Any failure or significant downtime in our own financial, administrative or other support systems or in RGHL Group’s or Rank’s financial, administrative or other support systems during the transitional period could negatively impact our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PFL sells a controlling interest in our company to a third party in a private transaction, investors may not realize any change-of-control premium on shares of our common stock and we may become subject to the control of a presently unknown third party.</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PFL owns and controls the voting power of approximately 74% of our outstanding shares of common stock. PFL has the ability, should it choose to do so, to sell some or all of its shares of our common stock in a privately negotiated transaction, which, if sufficient in size, could result in a change of control.</w:t>
      </w:r>
    </w:p>
    <w:p>
      <w:pPr>
        <w:spacing w:after="0" w:line="18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ability of PFL to privately sell its shares of our common stock, with no requirement for a concurrent offer to be made to acquire all of the shares of our common stock that are publicly traded, could prevent investors from realizing any change-of-control premium on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rely on exemptions from certain corporate governance requirements.</w:t>
      </w:r>
    </w:p>
    <w:p>
      <w:pPr>
        <w:spacing w:after="0" w:line="62"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PFL controls a majority of the voting power of our outstanding common stock. As a result, we are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41" w:lineRule="exact"/>
        <w:rPr>
          <w:sz w:val="20"/>
          <w:szCs w:val="20"/>
          <w:color w:val="auto"/>
        </w:rPr>
      </w:pPr>
    </w:p>
    <w:p>
      <w:pPr>
        <w:ind w:left="760" w:hanging="2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requirement that our compensation, nominating and corporate governance committee be composed entirely of independent directors; and</w:t>
      </w:r>
    </w:p>
    <w:p>
      <w:pPr>
        <w:spacing w:after="0" w:line="140" w:lineRule="exact"/>
        <w:rPr>
          <w:rFonts w:ascii="Arial" w:cs="Arial" w:eastAsia="Arial" w:hAnsi="Arial"/>
          <w:sz w:val="16"/>
          <w:szCs w:val="16"/>
          <w:color w:val="auto"/>
        </w:rPr>
      </w:pPr>
    </w:p>
    <w:p>
      <w:pPr>
        <w:ind w:left="760" w:hanging="2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Four of our six directors do not qualify as “independent directors” under the applicable rules of Nasdaq. Accordingly, you will not have the same protections afforded to stockholders of companies that are subject to all of the corporate governance requirements of Nasdaq.</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RGHL Group may compete with us, and its competitive position in certain markets may constrain our ability to build and maintain partnerships.</w:t>
      </w:r>
    </w:p>
    <w:p>
      <w:pPr>
        <w:spacing w:after="0" w:line="14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may face competition from a variety of sources, including Pactiv and other members of RGHL Group, both today and in the future. For example, while we have supply agreements in place with Pactiv, Pactiv may still compete with us in certain products and/or in certain channels. In addition, while none of the other members of RGHL Group currently manufacture or sell products that compete with our products, they may do so in the future, including as a result of acquiring a company that operates as a manufacturer of consumer products. Due to the significant resources of RGHL Group, including financial resources and know-how resulting from the previous management of our business, RGHL Group could have a significant competitive advantage should it decide to engage in the type of business we conduct, which may materially and adversely affect our business, financial condition and results of operations. Although Pactiv has historically sold the products (primarily tableware and cups) that we purchase from it in the foodservice business-to-business channel, after the termination of our supply agreement with Pactiv it could seek to sell such products in the retail channel or otherwise compete with us, especially where we sell private label or store brand products. As our former supplier, Pactiv would have information about products, including pricing that could give it a competitive advantage.</w:t>
      </w:r>
    </w:p>
    <w:p>
      <w:pPr>
        <w:spacing w:after="0" w:line="185"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In addition, we may partner with companies that compete with RGHL Group in certain markets. Our affiliation with RGHL Group may affect our ability to effectively partner with these companies. These companies may favor our competitors because of our relationship with RGHL Group.</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Conflicts of interest may arise because certain of our directors will hold a management or board position with RGHL Group entities.</w:t>
      </w:r>
    </w:p>
    <w:p>
      <w:pPr>
        <w:spacing w:after="0" w:line="1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One of our directors is also a director of RGHL. The interests of this director in RGHL, other RGHL Group entities and us could create, or appear to create, conflicts of interest with respect to decisions involving both us and RGHL or RGHL Group entities that could have different implications for RGHL and us. These decisions could, for example, relate to:</w:t>
      </w:r>
    </w:p>
    <w:p>
      <w:pPr>
        <w:spacing w:after="0" w:line="76" w:lineRule="exact"/>
        <w:rPr>
          <w:sz w:val="20"/>
          <w:szCs w:val="20"/>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disagreement over corporate opportunities;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between us and RGHL Group;</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retention or recruiting;</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dividend policy;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services and arrangements from which we benefit as a result of our relationship with RGHL Group.</w:t>
      </w:r>
    </w:p>
    <w:p>
      <w:pPr>
        <w:spacing w:after="0" w:line="22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Conflicts of interest could also arise if we enter into any new commercial arrangements with RGHL Group in the future. The presence of directors or officers of entities affiliated with RGHL on our board of directors could create, or appear to create, conflicts of interest and conflicts in allocating their time with respect to matters involving both us and any one of them, or involving us and RGHL, that could have different implications for any of these entities than they do for us. Provisions of our amended and restated certificate of incorporation and amended and restated bylaws address corporate opportunities that are presented to our directors who are also directors or officers of RGHL and certain of its subsidiaries.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the individual who is a director of both us and RGHL. As a result, we may be precluded from pursuing certain advantageous transactions or growth initiatives.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resolve in a manner favorable to us any potential conflicts or disputes that arise between us and RGHL Group, PFL or Rank with respect to our past and ongoing relationships may adversely affect our business and prospects.</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Potential conflicts or disputes may arise between RGHL Group, PFL or Rank and us in a number of areas relating to our past or ongoing relationships, including:</w:t>
      </w:r>
    </w:p>
    <w:p>
      <w:pPr>
        <w:spacing w:after="0" w:line="62" w:lineRule="exact"/>
        <w:rPr>
          <w:sz w:val="20"/>
          <w:szCs w:val="20"/>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employee benefit, indemnification and other matters arising from our relationship with RGHL Group, PFL or Rank;</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quality and pricing of services RGHL Group and Rank have agreed to provide us;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opportunities that may be attractive to us and RGHL Group;</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joint sales and marketing activities with RGHL Group.</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resolution of any potential conflicts or disputes between us, RGHL Group, PFL or Rank or their subsidiaries over these or other matters may be less favorable to us than the resolution we might achieve if we were dealing with an unaffiliated third party.</w:t>
      </w:r>
    </w:p>
    <w:p>
      <w:pPr>
        <w:spacing w:after="0" w:line="17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agreements we have entered into with RGHL Group and Rank are of varying durations and may be amended upon agreement of the parties. So long as it has the ability to nominate a majority of our board of directors,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corporate headquarters are located in Lake Forest, Illinois. In addition, as of December 31, 2019, our production and distribution network consists of 21 manufacturing and warehouse facilities in 10 states and one manufacturing facility in Canada, which are used to produce and store the products sold in all four of our business segments. We own the majority of our physical properties. We believe that all of our properties are in good operating condition and are suitable to adequately meet our current needs.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December 31, 2019,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340" w:right="1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Market</w:t>
      </w:r>
    </w:p>
    <w:p>
      <w:pPr>
        <w:spacing w:after="0" w:line="2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“REYN” symbol and began “regular way” trading on the Nasdaq Global Select Market on January 31, 2020. Prior to that date, there was no public trading market for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February 29, 2020, there were approximately three stockholders of record.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have not declared or paid cash dividends in 2019. We expect to pay a regular quarterly cash dividend on our common stock, subject to declaration by our board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256"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January 30, 2020, our registration statement on Form S-1 (File No. 333-234731), as amended, was declared effective by the SEC for our IPO of our common stock, pursuant to which we offered and sold a total of 47,170,000 shares of our common stock, par value $0.001 per share, at a public offering price of $26.00 per share. Credit Suisse Securities (USA) LLC, Goldman Sachs &amp; Co. LLC and J.P. Morgan Securities LLC acted as representatives of the several underwriters for the offering. The offering began on January 30, 2020 and closed on February 4, 2020. As part of the IPO, the underwriters were provided with an option to acquire up to a further 7,075,500 shares at $26.00 per share. This option was exercised on February 7, 2020.</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sold 54,245,500 shares of common stock, including the exercise of the underwriters’ option to purchase additional shares, for an aggregate price of approximately $1,410 million. We received net proceeds of $1,336 million in the IPO, after deducting underwriting discounts and commissions of $67 million and other expenses of $7 million. None of the underwriting discounts and commissions or other expenses were paid directly or indirectly to any director, officer or general partner of ours or to their associates, persons owning ten percent or more of any class of our equity securities, or to any of our affiliates.</w:t>
      </w:r>
    </w:p>
    <w:p>
      <w:pPr>
        <w:spacing w:after="0" w:line="21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Because closing occurred in February 2020, as of December 31, 2019 we had not yet received the net proceeds from the sale of shares of common stock in our IPO and, therefore, had used none of the proceeds as of December 31, 2019. There has been no material changes in our planned use of the net proceeds from the offering as described in our final prospectus filed with the SEC pursuant to rule 424(b) of the Securities Act of 1933.</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following table presents our selected financial data. As detailed in our combined financial statements included elsewhere in this Annual Report on Form 10-K, prior to our Corporate Reorganization and IPO on February 4, 2020, our operations were not structured under a single consolidating parent entity. We historically operated as part of Reynolds Group Holdings Limited and its subsidiaries (“RGHL Group”) and not as a stand-alone entity.</w:t>
      </w:r>
    </w:p>
    <w:p>
      <w:pPr>
        <w:spacing w:after="0" w:line="149"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combined statement of income data for each of the years ended December 31, 2019, 2018 and 2017, and the combined balance sheet data as of December 31, 2019 and 2018, are derived from our audited combined financial statements included elsewhere in this Annual Report on Form 10-K. The combined statement of income data for the year ended December 31, 2016 and combined balance sheet data as of December 31, 2017 has been derived from audited combined financial statements that are not included in this Annual Report on Form 10-K. The unaudited combined statement of income data for the year ended December 31, 2015 and the unaudited combined balance sheet data as of December 31, 2016 and 2015, are derived from our financial records, which were derived from the financial records of RGHL Group, which are not included in this Annual Report on Form 10-K. The unaudited combined financial data as of December 31, 2016 and 2015 and for the year ended December 31, 2015 were prepared on the same basis as our audited combined financial statements.</w:t>
      </w:r>
    </w:p>
    <w:p>
      <w:pPr>
        <w:spacing w:after="0" w:line="19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combined financial statements have been prepared on a stand-alone basis in accordance with accounting principles generally accepted in the United States of America (“GAAP”) and are derived from RGHL Group’s consolidated financial statements and accounting records using the historical results of operations and assets and liabilities attributed to our operations, and include allocations of expenses from RGHL Group. We believe these allocations were made on a reasonable basis. Our historical results are not necessarily indicative of our results in any future period and should be read in conjunction with our combined financial statements and the related notes thereto prepared in accordance with GAAP and the “Management’s Discussion and Analysis of Financial Condition and Results of Operations” section of this Annual Report on Form 10-K.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52"/>
              <w:spacing w:after="0" w:line="155"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5"/>
        </w:trPr>
        <w:tc>
          <w:tcPr>
            <w:tcW w:w="4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gridSpan w:val="4"/>
          </w:tcPr>
          <w:p>
            <w:pPr>
              <w:jc w:val="center"/>
              <w:ind w:left="375"/>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net revenues </w:t>
            </w:r>
            <w:r>
              <w:rPr>
                <w:rFonts w:ascii="Arial" w:cs="Arial" w:eastAsia="Arial" w:hAnsi="Arial"/>
                <w:sz w:val="15"/>
                <w:szCs w:val="15"/>
                <w:color w:val="auto"/>
              </w:rPr>
              <w:t>(1)</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3,032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3,142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2,957</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2,935</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Related party receivables - non-current </w:t>
            </w:r>
            <w:r>
              <w:rPr>
                <w:rFonts w:ascii="Arial" w:cs="Arial" w:eastAsia="Arial" w:hAnsi="Arial"/>
                <w:sz w:val="15"/>
                <w:szCs w:val="15"/>
                <w:color w:val="auto"/>
              </w:rPr>
              <w:t>(2)</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2,401</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1,929</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1,784</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5"/>
                <w:szCs w:val="15"/>
                <w:color w:val="auto"/>
              </w:rPr>
              <w:t>(2)(4)</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4,160</w:t>
            </w:r>
          </w:p>
        </w:tc>
        <w:tc>
          <w:tcPr>
            <w:tcW w:w="3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6,421</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5,911</w:t>
            </w:r>
          </w:p>
        </w:tc>
        <w:tc>
          <w:tcPr>
            <w:tcW w:w="4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5,738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15"/>
                <w:szCs w:val="15"/>
                <w:color w:val="auto"/>
              </w:rPr>
              <w:t>(3)</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2,030</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2,049</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2,067</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 xml:space="preserve">Related party borrowings, including current portion </w:t>
            </w:r>
            <w:r>
              <w:rPr>
                <w:rFonts w:ascii="Arial" w:cs="Arial" w:eastAsia="Arial" w:hAnsi="Arial"/>
                <w:sz w:val="15"/>
                <w:szCs w:val="15"/>
                <w:color w:val="auto"/>
              </w:rPr>
              <w:t>(2)</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2,214</w:t>
            </w:r>
          </w:p>
        </w:tc>
        <w:tc>
          <w:tcPr>
            <w:tcW w:w="3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3,950</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3,927</w:t>
            </w:r>
          </w:p>
        </w:tc>
        <w:tc>
          <w:tcPr>
            <w:tcW w:w="4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3,957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left="500" w:hanging="492"/>
        <w:spacing w:after="0" w:line="30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January 1, 2018, we adopted ASC 606, using the modified retrospective method for all contracts not completed as of the date of adoption, resulting in a $5 million adjustment to Net Parent deficit. There was no other material financial impact from adopting the new revenue recognition standard. Results as of and for the year ended December 31, 2018 and periods thereafter are presented under ASC 606, while prior period amounts are not adjusted and continue to be reported under ASC 605, Revenue Recognition, the accounting standard in effect for those periods.</w:t>
      </w:r>
    </w:p>
    <w:p>
      <w:pPr>
        <w:spacing w:after="0" w:line="62" w:lineRule="exact"/>
        <w:rPr>
          <w:rFonts w:ascii="Arial" w:cs="Arial" w:eastAsia="Arial" w:hAnsi="Arial"/>
          <w:sz w:val="16"/>
          <w:szCs w:val="16"/>
          <w:color w:val="auto"/>
        </w:rPr>
      </w:pPr>
    </w:p>
    <w:p>
      <w:pPr>
        <w:jc w:val="both"/>
        <w:ind w:left="500" w:hanging="492"/>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Historically, we have reported significant interest bearing related party receivables and interest bearing long-term related party borrowings. These balances arose as part of wider RGHL Group cash management activities. In June 2019, the outstanding related party receivables were used to reduce the balances outstanding under various related party borrowings and accrued interest payable. As part of the Corporate Reorganization, our related party borrowings were settled on February 4, 2020.</w:t>
      </w:r>
    </w:p>
    <w:p>
      <w:pPr>
        <w:spacing w:after="0" w:line="9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part of our Corporate Reorganization, our borrowings under the RGHL Group Credit Agreement were reallocated to RGHL Group on January 30, 2020 and we were legally released from the RGHL Group Credit Agreement and from the guarantees of all the senior notes issued by entities of RGHL Group.</w:t>
      </w:r>
    </w:p>
    <w:p>
      <w:pPr>
        <w:spacing w:after="0" w:line="89" w:lineRule="exact"/>
        <w:rPr>
          <w:rFonts w:ascii="Arial" w:cs="Arial" w:eastAsia="Arial" w:hAnsi="Arial"/>
          <w:sz w:val="18"/>
          <w:szCs w:val="18"/>
          <w:color w:val="auto"/>
        </w:rPr>
      </w:pPr>
    </w:p>
    <w:p>
      <w:pPr>
        <w:jc w:val="both"/>
        <w:ind w:left="500" w:hanging="492"/>
        <w:spacing w:after="0" w:line="311"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On January 1, 2019, we adopted ASC 842, using the modified retrospective method without the recasting of comparative periods’ financial information, as permitted by the transition guidance. Results as of and for the year ended December 31, 2019 are presented under ASC 842, while prior period amounts are not adjusted and continue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 the accounting standard in effect for those periods.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discussion and analysis is intended to help the reader understand our results of operations and financial condition and is provided as an addition to, and should be read in connection with, our combined financial statements and the accompanying notes included elsewhere in this Annual Report on Form 10-K. Tabular dollars are presented in millions.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 and its Business Segments</w:t>
      </w:r>
    </w:p>
    <w:p>
      <w:pPr>
        <w:spacing w:after="0" w:line="229"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6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manage our operations in four operating and reportable segments: Reynolds Cooking &amp; Baking, Hefty Waste &amp; Storage, Hefty Tableware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Presto Products:</w:t>
      </w:r>
    </w:p>
    <w:p>
      <w:pPr>
        <w:spacing w:after="0" w:line="103" w:lineRule="exact"/>
        <w:rPr>
          <w:sz w:val="20"/>
          <w:szCs w:val="20"/>
          <w:color w:val="auto"/>
        </w:rPr>
      </w:pPr>
    </w:p>
    <w:p>
      <w:pPr>
        <w:jc w:val="both"/>
        <w:ind w:left="760" w:hanging="253"/>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Reynolds Cooking &amp; Baking: Through our Reynolds Cooking &amp; Baking segment, we produce branded and store brand foil, disposable 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78" w:lineRule="exact"/>
        <w:rPr>
          <w:rFonts w:ascii="Arial" w:cs="Arial" w:eastAsia="Arial" w:hAnsi="Arial"/>
          <w:sz w:val="18"/>
          <w:szCs w:val="18"/>
          <w:color w:val="auto"/>
        </w:rPr>
      </w:pPr>
    </w:p>
    <w:p>
      <w:pPr>
        <w:ind w:left="760" w:right="20" w:hanging="253"/>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Hefty Waste &amp; Storage: Through our Hefty Waste &amp; Storage segment, we produce both branded and store brand trash and food storage bags. Our products are sold under the Hefty Ultra Strong, Hefty Strong Trash Bags, Hefty Renew and Hefty Slider Bags brands.</w:t>
      </w:r>
    </w:p>
    <w:p>
      <w:pPr>
        <w:spacing w:after="0" w:line="38" w:lineRule="exact"/>
        <w:rPr>
          <w:rFonts w:ascii="Arial" w:cs="Arial" w:eastAsia="Arial" w:hAnsi="Arial"/>
          <w:sz w:val="17"/>
          <w:szCs w:val="17"/>
          <w:color w:val="auto"/>
        </w:rPr>
      </w:pPr>
    </w:p>
    <w:p>
      <w:pPr>
        <w:ind w:left="760" w:right="20" w:hanging="253"/>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Hefty Tableware: Through our Hefty Tableware segment, we sell both branded and store brand disposable and compostable plates, bowls, platters, cups and cutlery. Our Hefty branded products include dishes and party cups.</w:t>
      </w:r>
    </w:p>
    <w:p>
      <w:pPr>
        <w:spacing w:after="0" w:line="62" w:lineRule="exact"/>
        <w:rPr>
          <w:rFonts w:ascii="Arial" w:cs="Arial" w:eastAsia="Arial" w:hAnsi="Arial"/>
          <w:sz w:val="18"/>
          <w:szCs w:val="18"/>
          <w:color w:val="auto"/>
        </w:rPr>
      </w:pPr>
    </w:p>
    <w:p>
      <w:pPr>
        <w:jc w:val="both"/>
        <w:ind w:left="760" w:hanging="253"/>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Presto Products: Through our Presto Products segment, we primarily sell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on Form 10-K titled “Risk Factors.”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Demand for our Products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w:t>
      </w:r>
    </w:p>
    <w:p>
      <w:pPr>
        <w:spacing w:after="0" w:line="18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Furthermore, while many consumers still prefer to purchase branded products, they are becoming increasingly comfortable purchasing store brand products across broader product categories. Branded products and store brand products accounted for 57% and 43% of our revenue, excluding business-to-business revenue, respectively, in the year ended December 31, 2019.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 roles with our retail partners, we offer marketing and consumer shopping strategies, both in store and online, which expand usage occasions and stimulate consumption.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Raw Material, Energy and Freight Price Fluctuations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business is impacted by fluctuations in the prices of the raw materials, energy and freight costs incurred in manufacturing and distributing our products as well as fluctuations in logistics costs related thereto.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freight and handling costs caused by reduced rail and trucking capacity. Sales contracts for our products typically do not contain pass-through mechanisms for raw material, energy and freight cost changes, but we adjust prices, where possible, in response to such price fluctuations.</w:t>
      </w:r>
    </w:p>
    <w:p>
      <w:pPr>
        <w:spacing w:after="0" w:line="16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Resin prices have historically fluctuated with changes in the prices of crude oil and natural gas, as well as changes in refining capacity and the demand for other petroleum-based products. Aluminum prices have also historically fluctuated, as aluminum is a cyclical commodity with prices subject to global market factors. Raw material costs have also been impacted by governmental actions, such as tariffs and trade sanctions.</w:t>
      </w:r>
    </w:p>
    <w:p>
      <w:pPr>
        <w:spacing w:after="0" w:line="16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use various strategies to manage our cost exposures on certain raw material purchases, and we use naturally established forecast cycles to influence the purchase of raw materials. In addition, from time to time we have entered into hedging agreements, including commodity derivative contracts, to hedge commodity prices primarily related to aluminum, diesel and benzene with the objective of obtaining more predictable costs for these commodities. The realized and unrealized gains or losses arising from derivative instruments are recognized in cost of sales.</w:t>
      </w:r>
    </w:p>
    <w:p>
      <w:pPr>
        <w:spacing w:after="0" w:line="17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Furthermore, since we distribute our products and receive raw materials primarily by rail and truck, reduced availability of rail or trucking capacity and fluctuations in freight and handling costs have caused us to incur increased expenses in prior periods. Where applicable, we also adjust the prices of our products in response to fluctuations in production and distribution costs.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operating results are also impacted by energy-related cost movements, including those impacting both our manufacturing operations and transportation and utility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Environment</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 - Competition” for more detail on our competitors.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Interest in environmental sustainability has increased over the past decade, and we expect that this may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For instance, we recently launched 75% Unbleached Compostable Parchment Paper and redesigned our Hefty party cups to reduce the plastic by 10% while maintaining strength. We intend to continue sustainability innovation to ensure that we are at the leading edge of recyclability, renewability and compostability in order to offer our customers environmentally sustainable choices.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Our Separation from RGHL Group</w:t>
      </w:r>
    </w:p>
    <w:p>
      <w:pPr>
        <w:spacing w:after="0" w:line="229"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Prior to our Corporate Reorganization and IPO completed on February 4, 2020, we operated as part of RGHL Group’s broader corporate organization rather than as a stand-alone public company. RGHL Group performed or supported various corporate services for us, including executive management, supply chain, information technology, legal, finance and accounting, human resources, risk management, tax, treasury and other services. In addition, we have sold products to, and purchased products from, RGHL Group. Historically, these transactions involving RGHL Group may not have always been consummated on terms equivalent to those in an arm’s-length transaction. Sales to RGHL Group of products that we manufacture have been reflected as related party net revenues in our combined financial statements. Certain related party transactions are settled in cash and are reflected as related party receivables and payables in our combined balance sheets. Prior to our Corporate Reorganization and IPO, certain related party transactions with RGHL Group were settled by either non-cash capital contributions from RGHL Group to us or non-cash capital distributions from us and were included as part of RGHL Group’s net investment in our combined balance sheets. We also utilize manufacturing and warehousing facilities and resources managed by RGHL Group to conduct our business. The expenses associated with these transactions are included in cost of sales in our combined statements of income. We believe that the assumptions and methodologies underlying the allocation of these expenses from RGHL Group are reasonable. However, such allocations do not necessarily reflect what the results of operations and financial position would have been had we operated as a stand-alone public company during the periods presented.</w:t>
      </w:r>
    </w:p>
    <w:p>
      <w:pPr>
        <w:spacing w:after="0" w:line="18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conjunction with our separation from RGHL Group, we entered into a transition services agreement with Reynolds Group Holdings Inc. whereby RGHL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entered into a transition services agreement with Rank Group Limited whereby, upon our request, Rank Group Limited will provide certain administrative services to us, including financial reporting, consulting and compliance services, insurance procurement and human resources support, legal and corporate secretarial support, and related services for up to 24 months. At the conclusion of these transitional arrangements, we will have to perform these services with internal resources or contract with third party providers. The previous arrangements we had with RGHL Group, as reflected in our combined financial statements included elsewhere in this Annual Report on Form 10-K, may be materially different from the arrangements that we have entered into as part of our separation from RGHL Group.</w:t>
      </w:r>
    </w:p>
    <w:p>
      <w:pPr>
        <w:spacing w:after="0" w:line="18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February 4, 2020, in conjunction with our Corporate Reorganization and IPO, we entered into the Term Loan Facility and Revolving Facility (together, the “External Debt Facilities”) and repaid portions of the related party borrowings owed to RGHL Group that were reflected on our combined balance sheets. RGHL Group contributed the remaining balance of related party borrowings owed by us to RGHL Group as additional paid-in capital without the issuance of any additional shares prior to the closing of our IPO. In addition, all indebtedness that we had borrowed under RGHL Group’s Credit Agreement was reallocated and we were released as a borrower and guarantor from such facilities and released as a guarantor of RGHL Group’s outstanding senior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Company Expenses</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As a newly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continue to establish more comprehensive compliance and governance functions, establish, maintain and review internal controls over financial reporting in accordance with the Sarbanes-Oxley Act, and prepare and distribute periodic reports in accordance with SEC rules. Our financial statements from fiscal year 2020 onward will reflect the impact of these expenses.</w:t>
      </w:r>
    </w:p>
    <w:p>
      <w:pPr>
        <w:spacing w:after="0" w:line="2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conjunction with our Corporate Reorganization and IPO, we will assume responsibility for all of our stand-alone public company costs, including the costs of certain corporate services currently provided by RGHL Group. In addition, as we transition away from the corporate services currently provided by RGHL Group, we have incurred, and will continue to incur, non-recurring transitional costs during fiscal year 2019 to fiscal year 2022, with the majority of these costs expected to be incurred during fiscal year 2020.</w:t>
      </w:r>
    </w:p>
    <w:p>
      <w:pPr>
        <w:spacing w:after="0" w:line="21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in conjunction with our Corporate Reorganization and IPO, we have established a 2020 incentive award plan for purposes of granting stock-based compensation awards to certain of our senior management, to our non-executive directors and to certain employees, to incentivize their performance and align their interests with ours. The maximum number of shares of common stock initially available for issuance under the equity incentive awards granted pursuant to the plan is equal to 10,485,025 shares, which includes 165,992 shares of common stock underlying restricted stock units that have been issued pursuant to retention agreements entered into with senior management. We will commence recognizing stock-based compensation expense during the first quarter of fiscal year 2020.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Components of the Combined Statements of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revenues are derived primarily from the sale of our products to third parties, net of any sales incentives. Sales incentives include discounts, allowances and trade promotions. Revenue is recognized when control over products transfers to our customers, which generally occurs upon delivery or shipment of the products.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Net Revenues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Related party net revenues are derived from the sale of our products to RGHL Group. Our related party revenues are recognized primarily in our Reynolds Cooking &amp; Baking segment.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Cost of sales consists primarily of the cost of materials, packaging, labor and overhead associated with our manufacturing operations. Also included within cost of sales are the freight and logistics-related costs of delivering our products to our customers.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Selling, general and administrative expenses consist primarily of general and administrative costs associated with all of our non-manufacturing personnel and advertising costs. The general and administrative costs include wages, benefits, travel expenses, legal fees, R&amp;D costs and any professional fees or consulting services. Advertising costs include programs to support new and existing product lines. Our selling, general and administrative expenses include amounts that are allocated to us for services provided by RGHL Group, including, but not limited to, general corporate expenses related to group wide functions such as executive management, finance, legal, tax and information technology. For further information, refer to Note 1 - Description of Business and Basis of Presentation in our combined financial statements included elsewhere in this Annual Report on Form 10-K.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Other expense, net includes the factoring discount on the sale of our U.S. trade receivables through RGHL Group’s securitization facility, the allocated related party management fee and transaction-related costs. The factoring arrangements and allocation of related party management fee ceased upon our IPO.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Interest expense, net consists primarily of interest on external debt and related party borrowings, net of interest income primarily on related party receivables. In conjunction with our Corporate Reorganization and IPO, these historical items of interest expense and interest income have been replaced with interest expense associated with the External Debt Facilities.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Income tax (expense) benefit consists of an estimate of federal, state and foreign income taxes based on enacted tax rates, as adjusted for allowable credits, deductions and uncertain tax positions. During the periods presented, our U.S. operations were included in a consolidated U.S. federal return as well as certain state and local tax returns filed by RGHL Group. The income tax (expense) benefit has been calculated on a separate return basis. In the future, as a stand-alone entity, we will file tax returns on our own behalf and our effective tax rate and deferred taxes may be different from those in the historical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Certain financial measures contained in this Annual Report on Form 10-K adjust for the impact of specified items and are not in accordance with GAAP. We use the non-GAAP financial measure “Adjusted EBITDA” in evaluating our past results and future prospects.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define Adjusted EBITDA as net income calculated in accordance with GAAP, plus the sum of income tax expense, net interest expense, depreciation and amortization and further adjusted to exclude unrealized gains and losses on derivatives, costs associated with rationalizing operations and administrative functions, factoring discounts, defined benefit plan settlement losses, amortization of actuarial gains, the allocated related party management fee and transaction-related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510"/>
        <w:spacing w:after="0" w:line="257" w:lineRule="auto"/>
        <w:rPr>
          <w:sz w:val="20"/>
          <w:szCs w:val="20"/>
          <w:color w:val="auto"/>
        </w:rPr>
      </w:pPr>
      <w:r>
        <w:rPr>
          <w:rFonts w:ascii="Arial" w:cs="Arial" w:eastAsia="Arial" w:hAnsi="Arial"/>
          <w:sz w:val="18"/>
          <w:szCs w:val="18"/>
          <w:color w:val="auto"/>
        </w:rPr>
        <w:t>We present Adjusted EBITDA because it is a key measure used by our management team to evaluate our operating performance, generate future operating plans and make strategic decisions. Accordingly, we believe presenting Adjusted EBITDA in this Annual Report on Form 10-K provides useful information to investors and others in understanding and evaluating our operating results in the same manner as our management team and board of directors. In addition, our chief operating decision maker uses Adjusted EBITDA of each reportable segment to evaluate the operating performance of such segments.</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is a reconciliation of our net income, the most directly comparable GAAP financial measure, to Adjusted EBITDA for each of the periods indicated:</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5"/>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 GAAP</w:t>
            </w:r>
          </w:p>
        </w:tc>
        <w:tc>
          <w:tcPr>
            <w:tcW w:w="182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225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Factoring discount </w:t>
            </w:r>
            <w:r>
              <w:rPr>
                <w:rFonts w:ascii="Arial" w:cs="Arial" w:eastAsia="Arial" w:hAnsi="Arial"/>
                <w:sz w:val="15"/>
                <w:szCs w:val="15"/>
                <w:color w:val="auto"/>
              </w:rPr>
              <w:t>(1)</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 xml:space="preserve">Allocated related party management fee </w:t>
            </w:r>
            <w:r>
              <w:rPr>
                <w:rFonts w:ascii="Arial" w:cs="Arial" w:eastAsia="Arial" w:hAnsi="Arial"/>
                <w:sz w:val="15"/>
                <w:szCs w:val="15"/>
                <w:color w:val="auto"/>
              </w:rPr>
              <w:t>(2)</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15"/>
                <w:szCs w:val="15"/>
                <w:color w:val="auto"/>
              </w:rPr>
              <w:t>(3)</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 xml:space="preserve">Unrealized losses (gains) on derivatives </w:t>
            </w:r>
            <w:r>
              <w:rPr>
                <w:rFonts w:ascii="Arial" w:cs="Arial" w:eastAsia="Arial" w:hAnsi="Arial"/>
                <w:sz w:val="15"/>
                <w:szCs w:val="15"/>
                <w:color w:val="auto"/>
              </w:rPr>
              <w:t>(4)</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Business rationalization costs </w:t>
            </w:r>
            <w:r>
              <w:rPr>
                <w:rFonts w:ascii="Arial" w:cs="Arial" w:eastAsia="Arial" w:hAnsi="Arial"/>
                <w:sz w:val="15"/>
                <w:szCs w:val="15"/>
                <w:color w:val="auto"/>
              </w:rPr>
              <w:t>(5)</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(6)</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 (Non-GAAP)</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655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00" w:hanging="492"/>
        <w:spacing w:after="0" w:line="255"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loss on sale that we incurred when we sold our U.S. trade receivables through RGHL Group’s securitization facility. Our participation in this facility ceased upon the completion of our Corporate Reorganization and IPO. For further information, refer to Note 11 - Other Expense, Net in our combined financial statements included elsewhere in this Annual Report on Form 10-K.</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our allocation, from RGHL Group, of a management fee that is charged by Rank Group Limited to RGHL Group, which has ceased upon the completion of our Corporate Reorganization and IPO. For further information, refer to Note 11 - Other Expense, Net in our combined financial statements included elsewhere in this Annual Report on Form 10-K.</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costs during the year ended December 31, 2019 related to the IPO process, as well as costs related to our preparations to operate as a stand-alone public company.</w:t>
      </w:r>
    </w:p>
    <w:p>
      <w:pPr>
        <w:ind w:left="500" w:right="2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8 - Financial Instruments in our combined financial statements included elsewhere in this Annual Report on Form 10-K.</w:t>
      </w: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primarily employee termination costs associated with rationalizing our operations in Canada.</w:t>
      </w:r>
    </w:p>
    <w:p>
      <w:pPr>
        <w:spacing w:after="0" w:line="9"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amortization of actuarial gains related to our postretirement benefit plan. For further information, refer to Note 9 - Benefit Plans in our combined financial statements included elsewhere in this Annual Report on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discussion should be read in conjunction with our combined financial statements included elsewhere in this Annual Report on Form 10-K. Detailed comparisons of revenue and results are presented in the discussions of the operating segments, which follow our combined results discussion.</w:t>
      </w:r>
    </w:p>
    <w:p>
      <w:pPr>
        <w:spacing w:after="0" w:line="184"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Discussion of the year ended December 31, 2018 compared with the year ended December 31, 2017 is included in “Management’s Discussion and Analysis of Financial Condition and Results of Operations” in our registration statement on Form S-1, as amended, as filed with the SEC.</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Reynolds</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Hefty</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Hefty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Presto</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Cooking &amp;</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Waste &amp;</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2"/>
                <w:szCs w:val="12"/>
                <w:b w:val="1"/>
                <w:bCs w:val="1"/>
                <w:color w:val="auto"/>
              </w:rPr>
              <w:t>(2)</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Baking</w:t>
            </w: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0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Tableware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Products</w:t>
            </w: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2019</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jc w:val="right"/>
              <w:ind w:right="2452"/>
              <w:spacing w:after="0"/>
              <w:rPr>
                <w:sz w:val="20"/>
                <w:szCs w:val="20"/>
                <w:color w:val="auto"/>
              </w:rPr>
            </w:pPr>
            <w:r>
              <w:rPr>
                <w:rFonts w:ascii="Arial" w:cs="Arial" w:eastAsia="Arial" w:hAnsi="Arial"/>
                <w:sz w:val="18"/>
                <w:szCs w:val="18"/>
                <w:color w:val="auto"/>
              </w:rPr>
              <w:t>2018</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2017</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2019</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jc w:val="right"/>
              <w:ind w:right="2452"/>
              <w:spacing w:after="0"/>
              <w:rPr>
                <w:sz w:val="20"/>
                <w:szCs w:val="20"/>
                <w:color w:val="auto"/>
              </w:rPr>
            </w:pPr>
            <w:r>
              <w:rPr>
                <w:rFonts w:ascii="Arial" w:cs="Arial" w:eastAsia="Arial" w:hAnsi="Arial"/>
                <w:sz w:val="18"/>
                <w:szCs w:val="18"/>
                <w:color w:val="auto"/>
              </w:rPr>
              <w:t>2018</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2017</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9"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unallocated net revenues represent the elimination of revenue on inter-segment transactions. These transactions arise primarily from sales by Hefty Waste &amp; Storage to Presto Products. The unallocated Adjusted EBITDA represents corporate expenses which are not allocated to our segments.</w:t>
      </w:r>
    </w:p>
    <w:p>
      <w:pPr>
        <w:spacing w:after="0" w:line="18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Year Ended December 31, 2019 Compared with the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3"/>
              </w:rPr>
              <w:t>For the year ended December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80" w:type="dxa"/>
            <w:vAlign w:val="bottom"/>
          </w:tcPr>
          <w:p>
            <w:pPr>
              <w:spacing w:after="0"/>
              <w:rPr>
                <w:sz w:val="11"/>
                <w:szCs w:val="11"/>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11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7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vMerge w:val="restart"/>
          </w:tcPr>
          <w:p>
            <w:pPr>
              <w:spacing w:after="0"/>
              <w:rPr>
                <w:sz w:val="11"/>
                <w:szCs w:val="11"/>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2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net revenues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2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w:t>
            </w:r>
          </w:p>
        </w:tc>
        <w:tc>
          <w:tcPr>
            <w:tcW w:w="220" w:type="dxa"/>
            <w:vAlign w:val="bottom"/>
            <w:vMerge w:val="continue"/>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(2,152)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(2,310)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832</w:t>
            </w:r>
          </w:p>
        </w:tc>
        <w:tc>
          <w:tcPr>
            <w:tcW w:w="22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5"/>
                <w:szCs w:val="15"/>
                <w:b w:val="1"/>
                <w:bCs w:val="1"/>
                <w:color w:val="auto"/>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vMerge w:val="restart"/>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655</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22%</w:t>
            </w:r>
          </w:p>
        </w:tc>
        <w:tc>
          <w:tcPr>
            <w:tcW w:w="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647</w:t>
            </w:r>
          </w:p>
        </w:tc>
        <w:tc>
          <w:tcPr>
            <w:tcW w:w="22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Components of Change in Net Revenues for the Year Ended December 31, 2019 vs. the Year Ended December 31, 2018</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720" w:type="dxa"/>
            <w:vAlign w:val="bottom"/>
          </w:tcPr>
          <w:p>
            <w:pPr>
              <w:ind w:left="340"/>
              <w:spacing w:after="0"/>
              <w:rPr>
                <w:sz w:val="20"/>
                <w:szCs w:val="20"/>
                <w:color w:val="auto"/>
              </w:rPr>
            </w:pPr>
            <w:r>
              <w:rPr>
                <w:rFonts w:ascii="Arial" w:cs="Arial" w:eastAsia="Arial" w:hAnsi="Arial"/>
                <w:sz w:val="14"/>
                <w:szCs w:val="14"/>
                <w:b w:val="1"/>
                <w:bCs w:val="1"/>
                <w:color w:val="auto"/>
              </w:rPr>
              <w:t>Price</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Volume/Mix</w:t>
            </w:r>
          </w:p>
        </w:tc>
        <w:tc>
          <w:tcPr>
            <w:tcW w:w="12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Total</w:t>
            </w: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Reynolds Cooking &amp; Baking</w:t>
            </w: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gridSpan w:val="2"/>
          </w:tcPr>
          <w:p>
            <w:pPr>
              <w:spacing w:after="0"/>
              <w:rPr>
                <w:sz w:val="20"/>
                <w:szCs w:val="20"/>
                <w:color w:val="auto"/>
              </w:rPr>
            </w:pPr>
            <w:r>
              <w:rPr>
                <w:rFonts w:ascii="Arial" w:cs="Arial" w:eastAsia="Arial" w:hAnsi="Arial"/>
                <w:sz w:val="18"/>
                <w:szCs w:val="18"/>
                <w:color w:val="auto"/>
              </w:rPr>
              <w:t>Hefty Waste &amp; Storage</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Hefty Tableware</w:t>
            </w:r>
          </w:p>
        </w:tc>
        <w:tc>
          <w:tcPr>
            <w:tcW w:w="6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Presto Products</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RCP</w:t>
            </w:r>
          </w:p>
        </w:tc>
        <w:tc>
          <w:tcPr>
            <w:tcW w:w="6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24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i w:val="1"/>
          <w:iCs w:val="1"/>
          <w:color w:val="auto"/>
        </w:rPr>
        <w:t>Total Net Revenues</w:t>
      </w:r>
      <w:r>
        <w:rPr>
          <w:rFonts w:ascii="Arial" w:cs="Arial" w:eastAsia="Arial" w:hAnsi="Arial"/>
          <w:sz w:val="17"/>
          <w:szCs w:val="17"/>
          <w:color w:val="auto"/>
        </w:rPr>
        <w:t>. Total net revenues decreased by $110 million, or 4%, to $3,032 million. The decline in net revenues was largely due to volume</w:t>
      </w:r>
      <w:r>
        <w:rPr>
          <w:rFonts w:ascii="Arial" w:cs="Arial" w:eastAsia="Arial" w:hAnsi="Arial"/>
          <w:sz w:val="17"/>
          <w:szCs w:val="17"/>
          <w:i w:val="1"/>
          <w:iCs w:val="1"/>
          <w:color w:val="auto"/>
        </w:rPr>
        <w:t xml:space="preserve"> </w:t>
      </w:r>
      <w:r>
        <w:rPr>
          <w:rFonts w:ascii="Arial" w:cs="Arial" w:eastAsia="Arial" w:hAnsi="Arial"/>
          <w:sz w:val="17"/>
          <w:szCs w:val="17"/>
          <w:color w:val="auto"/>
        </w:rPr>
        <w:t>impacts resulting from unusually high demand in the fourth quarter of 2018 as customers increased inventory levels due to uncertainty of future transportation availability, as well as the impact of lower foodservice and reroll sales, the exit of certain store branded business and lower pricing, primarily driven by increased trade promotions to support certain of our customers in achieving key retail price points.</w:t>
      </w:r>
    </w:p>
    <w:p>
      <w:pPr>
        <w:spacing w:after="0" w:line="17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by $158 million, or 7%, to $2,152 million. The decrease was primarily due to lower volume and a $71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material and manufacturing costs.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$17 million, or 6%, to $305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increased personnel-related costs.</w:t>
      </w:r>
    </w:p>
    <w:p>
      <w:pPr>
        <w:spacing w:after="0" w:line="170"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by $34 million, or 110%, to $65 million. The increase was primarily attributable to $31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transaction-related costs incurred during the year ended December 31, 2019. These costs comprise amounts associated with the IPO process that cannot be offset against the IPO proceeds, as well as costs related to our preparations to operate as a stand-alone public company.</w:t>
      </w:r>
    </w:p>
    <w:p>
      <w:pPr>
        <w:spacing w:after="0" w:line="16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decreased by $71 million, or 25%, to $209 million. The decrease was primarily due to a $93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related party interest expense partially offset by a $19 million decrease in related party interest income. The decrease in related party interest expense and income was primarily the result of a net reduction of $1,802 million in amounts outstanding under various related party borrowings and receivables resulting from our interest bearing related party receivables being used to reduce amounts outstanding under various related party borrowings in June 2019.</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conjunction with our Corporate Reorganization and IPO, we have replaced our outstanding borrowings, which comprised amounts outstanding under the RGHL Group Credit Agreement and related party borrowings, with the External Debt Facilities. For further details regarding the External Debt Facilities refer to “-Sources of Liquidity.”</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We recognized income tax expense of $76 million on income before income taxes of $301 million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25%) for the year ended December 31, 2019 compared to income tax expense of $57 million on income before income taxes of $233 million (an effective tax rate of 24%) for the year ended December 31, 2018.</w:t>
      </w:r>
    </w:p>
    <w:p>
      <w:pPr>
        <w:spacing w:after="0" w:line="21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$8 million, or 1% to $655 million. The increase in Adjusted EBITDA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material and manufacturing costs which were partially offset by lower volume, higher personnel-related costs and lower pricing.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580"/>
              <w:spacing w:after="0"/>
              <w:rPr>
                <w:sz w:val="20"/>
                <w:szCs w:val="20"/>
                <w:color w:val="auto"/>
              </w:rPr>
            </w:pPr>
            <w:r>
              <w:rPr>
                <w:rFonts w:ascii="Arial" w:cs="Arial" w:eastAsia="Arial" w:hAnsi="Arial"/>
                <w:sz w:val="17"/>
                <w:szCs w:val="17"/>
                <w:color w:val="auto"/>
                <w:w w:val="72"/>
              </w:rPr>
              <w:t>(83)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Reynolds Cooking &amp; Baking total segment net revenues decreased by $83 million, or 7%, to $1,076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net revenues was due to $64 million of lower volume, largely attributable to unusually high demand in the fourth quarter of 2018 as customers increased inventory levels due to uncertainty of future transportation availability, lower foodservice and reroll sales as well as lower pricing, primarily driven by increased trade promotions.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ind w:firstLine="510"/>
        <w:spacing w:after="0" w:line="308" w:lineRule="auto"/>
        <w:rPr>
          <w:sz w:val="20"/>
          <w:szCs w:val="20"/>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Reynolds Cooking &amp; Baking Adjusted EBITDA decreased by $25 million, or 11%, to $209 million. The decrease in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was primarily driven by the impact of lower volume and lower pricing partially offset by lower material and manufacturing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50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Hefty Waste &amp; Storage total segment net revenues increased by $13 million, or 2%, to $709 million.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$8 million increase in volume resulting largely from strong sales of both branded and store brand trash bags as we gained incremental business and experienced strong growth with existing customers partially offset by the volume impact of unusually high demand in the fourth quarter of 2018.</w:t>
      </w:r>
    </w:p>
    <w:p>
      <w:pPr>
        <w:spacing w:after="0" w:line="187"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Hefty Waste &amp; Storage Adjusted EBITDA increased by $18 million, or 10%, to $190 million. The increase in Adjusted EBITDA</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driven by lower material and manufacturing costs, partially offset by increased personnel, advertising and logistics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1"/>
              </w:rPr>
              <w:t>For the year ended December 31,</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decreased by $6 million, or 1%, to $751 million.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$15 million in lower volume due to the exit of certain store brand business, partially offset by new product growth at several of our major customers. The decrease was partially offset by the full year impact of the price increases taken in 2018.</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increased $10 million, or 6%, to $178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lower material and manufacturing costs and the full year impact of the 2018 price increases, partially offset by the impact of lower volume.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i w:val="1"/>
          <w:iCs w:val="1"/>
          <w:color w:val="auto"/>
        </w:rPr>
        <w:t xml:space="preserve">Total Segment Net Revenues. </w:t>
      </w:r>
      <w:r>
        <w:rPr>
          <w:rFonts w:ascii="Arial" w:cs="Arial" w:eastAsia="Arial" w:hAnsi="Arial"/>
          <w:sz w:val="17"/>
          <w:szCs w:val="17"/>
          <w:color w:val="auto"/>
        </w:rPr>
        <w:t>Presto Products total segment net revenues decreased by $28 million, or 5%, to $511 million. The decrease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$31 million in lower volume driven by the exit of certain low margin store branded business, partially offset by strong sales with existing customers and growth within our eCommerce business as we have become the sole supplier for certain store brand products.</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$6 million, or 7%, to $91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material and manufacturing costs partially offset by the impact of lower volume.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discloses our cash flows for the years presented: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3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from operating activities decreased by $127 million, or 24%, to $403 million. The decrease in net cash inflows from operating activities was primarily attributable to the settlement of related party payables in preparation for our IPO, partially offset by a lower net investment in inventory during the current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Net cash used in investing activities decreased by $426 million, or 77%, to $128 million. These amounts and movements were primarily attributable to changes in net cash advanced to RGHL Group as part of wider RGHL Group cash management activities, prior to our IPO. Excluding these related party items, cash outflows from investing activities increased by $27 million, or 33%, to $109 million for the year ended December 31, 2019 from $82 million for the year ended December 31, 2018. This increase was primarily attributable to increased capital expenditures associated with increased capacity and cost reduction projects.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cash from financing activities decreased by $220 million, from an inflow of $24 million for the year ended December 31, 2018 to an outflow of $196 million for the year ended December 31, 2019. The change in cash flows from financing activities was primarily attributable to (i) payments to RGHL Group, as part of the Corporate Reorganization prior to our IPO, and (ii) changes in related party balances as part of wider RGHL Group cash management activities.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Portions of our business are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principal sources of liquidity are existing cash and cash equivalents, cash generated from operating activities and available borrowings under the Revolving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February 4, 2020, in conjunction with our Corporate Reorganization and IPO, we entered into External Debt Facilities which consist of a $2,475 million Term Loan Facility and a Revolving Facility that provides for additional borrowing capacity of up to $250 million, reduced by amounts used for letters of credit.</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initial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Interest rate and fees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Borrowings under the External Debt Facilities bear interest at a rate per annum equal to, at our option, either a base rate or a LIBO rate plus an applicable margin of 1.75%.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Term Loan Facility contains customary mandatory prepayments, including with respect to excess cash flow, asset sale proceeds and proceeds from certain incurrences of indebtedness.</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Borrower may voluntarily repay outstanding loans under the Term Loan Facility at any time without premium or penalty, other than customary breakage costs with respect to LIBO rate loans; provided, however, that any voluntary prepayment, refinancing or repricing of the External Debt Facilities in connection with certain repricing transactions that occur prior to the six-month anniversary of the closing of the Term Loan Facility will be subject to a prepayment premium of 1.00% of the principal amount of the term loans so prepaid, refinanced or repriced.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maturity</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Term Loan Facility amortizes in equal quarterly installments in an aggregate annual amount equal to 1.00% of the original principal amount thereon, with the balance payable in February 2027. The Revolving Facility matures in February 2025.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security</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7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External Debt Facilities contain a number of covenants that, among other things, restrict, subject to certain exceptions, our ability and the ability of the restricted subsidiaries of RCPI to:</w:t>
      </w:r>
    </w:p>
    <w:p>
      <w:pPr>
        <w:spacing w:after="0" w:line="62" w:lineRule="exact"/>
        <w:rPr>
          <w:sz w:val="20"/>
          <w:szCs w:val="20"/>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28" w:lineRule="exact"/>
        <w:rPr>
          <w:rFonts w:ascii="Arial" w:cs="Arial" w:eastAsia="Arial" w:hAnsi="Arial"/>
          <w:sz w:val="17"/>
          <w:szCs w:val="17"/>
          <w:color w:val="auto"/>
        </w:rPr>
      </w:pPr>
    </w:p>
    <w:p>
      <w:pPr>
        <w:ind w:left="760" w:hanging="253"/>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ind w:firstLine="510"/>
        <w:spacing w:after="0" w:line="259" w:lineRule="auto"/>
        <w:rPr>
          <w:sz w:val="20"/>
          <w:szCs w:val="20"/>
          <w:color w:val="auto"/>
        </w:rPr>
      </w:pPr>
      <w:r>
        <w:rPr>
          <w:rFonts w:ascii="Arial" w:cs="Arial" w:eastAsia="Arial" w:hAnsi="Arial"/>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(commencing on June 30, 2020) only if the aggregate principal amount of borrowings under the Revolving Facility and drawn but unreimbursed letters of credit exceeds 35% of the total amount of commitments under the Revolving Facility on such day.</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believe that our projected cash position, cash flows from operations and borrowings under the External Debt Facilities are sufficient to meet the needs of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material contractual obligations as of December 31, 2019, on a historical basis: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Less than</w:t>
            </w:r>
          </w:p>
        </w:tc>
        <w:tc>
          <w:tcPr>
            <w:tcW w:w="120" w:type="dxa"/>
            <w:vAlign w:val="bottom"/>
          </w:tcPr>
          <w:p>
            <w:pPr>
              <w:spacing w:after="0"/>
              <w:rPr>
                <w:sz w:val="14"/>
                <w:szCs w:val="14"/>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One to three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to five</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Greater than</w:t>
            </w:r>
          </w:p>
        </w:tc>
        <w:tc>
          <w:tcPr>
            <w:tcW w:w="0" w:type="dxa"/>
            <w:vAlign w:val="bottom"/>
          </w:tcPr>
          <w:p>
            <w:pPr>
              <w:spacing w:after="0"/>
              <w:rPr>
                <w:sz w:val="1"/>
                <w:szCs w:val="1"/>
                <w:color w:val="auto"/>
              </w:rPr>
            </w:pPr>
          </w:p>
        </w:tc>
      </w:tr>
      <w:tr>
        <w:trPr>
          <w:trHeight w:val="171"/>
        </w:trPr>
        <w:tc>
          <w:tcPr>
            <w:tcW w:w="46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one year</w:t>
            </w:r>
          </w:p>
        </w:tc>
        <w:tc>
          <w:tcPr>
            <w:tcW w:w="12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 xml:space="preserve">Related party borrowings, including accrued interest </w:t>
            </w:r>
            <w:r>
              <w:rPr>
                <w:rFonts w:ascii="Arial" w:cs="Arial" w:eastAsia="Arial" w:hAnsi="Arial"/>
                <w:sz w:val="15"/>
                <w:szCs w:val="15"/>
                <w:color w:val="auto"/>
              </w:rPr>
              <w:t>(1)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Unconditional capital expenditure obligations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 plan obligations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b w:val="1"/>
                <w:bCs w:val="1"/>
                <w:color w:val="auto"/>
              </w:rPr>
              <w:t>Total contractual obligations</w:t>
            </w: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3,760</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89"/>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00" w:hanging="492"/>
        <w:spacing w:after="0" w:line="275"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obligations for long-term debt and related party borrowings consist of the principal amounts, fixed and floating rate interest obligations, including related party accrued interest payable as of December 31, 2019. The interest rates on the floating rate debt balances have been assumed to be the same as the rates in effect as of December 31, 2019. In conjunction with our Corporate Reorganization and IPO, we have settled the existing long-term debt and related party borrowings and we have entered into a Term Loan Facility, with repayments of $25 million (less than one year), $50 million (one to three years), $50 million (three to five years) and $2,350 million (greater than five years).</w:t>
      </w:r>
    </w:p>
    <w:p>
      <w:pPr>
        <w:spacing w:after="0" w:line="1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December 31, 2019, our liabilities for uncertain tax positions totaled $2 million. The ultimate timing of these liabilities cannot be determined; therefore, we have excluded these amounts from the contractual obligations table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 material off-balance sheet obligations.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methods, estimates and judgments we use in applying our most critical accounting policies have a significant impact on the results we report in our combined financial statements. Specific areas requiring the application of management’s estimates and judgments include, among others, assumptions pertaining to benefit plan assumptions, valuation assumptions of goodwill and intangible assets, useful lives of long-lived assets, sales incentives and income taxes. Accordingly, a different financial presentation could result depending on the judgments, estimates or assumptions that are used. The most critical accounting policies and estimates are those that are most important to the portrayal of our financial condition and results of operations and require us to make the most difficult and subjective judgments, often estimating the outcome of future events that are inherently uncertain. Our most critical accounting policies and estimates are related to revenue recognition, the valuation of goodwill and intangible assets and income taxes. A summary of our significant accounting policies and use of estimates is contained in Note 2 - Summary of Significant Accounting Policies of our combined financial statements included elsewhere in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Recognition-Sales Incentives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6%, 5% and 6% of total net revenues for the 2019, 2018 and 2017 fiscal years, respectively. As of December 31, 2019 and 2018, we had accruals of $39 million and $40 million, respectively, reflected on our combined balance sheets in Accrued and other current liabilities related to sales incentive programs.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Indefinite-Lived Intangible Assets and Long-Lived Assets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2019, 2018 and 2017.</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reporting units for goodwill impairment testing purposes are Reynolds Cooking &amp; Baking, Hefty Waste &amp; Storage, Hefty Tableware and Presto Products. No instances of impairment were identified during the fiscal year 2019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7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7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 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We have the option to first assess qualitative factors such as the maturity of the trade name, the magnitude of the excess fair value over carrying value from the prior year’s impairment testing, as well as new events and circumstances impacting the trade name. If the result of a qualitative test indicates a potential for impairment, a quantitative test is performed.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 (i) the estimated future branded revenue from the use of the asset; (ii) 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2019 annual impairment review. Each of our indefinite-lived intangible assets had fair values that significantly exceeded recorded carrying values.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Prior to our Corporate Reorganization and IPO, our U.S. operations were included in a consolidated U.S. federal return as well as certain state and local tax returns filed by RGHL Group. We also file certain separate U.S. state and local and foreign income tax 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included elsewhere in this Annual Report on Form 10-K, may not be indicative of our income taxes in the future. Where we have been included in the tax returns filed by RGHL Group, any income taxes payable resulting from the separate return basis have been reflected in our combined balance sheets in Net Parent deficit.</w:t>
      </w:r>
    </w:p>
    <w:p>
      <w:pPr>
        <w:spacing w:after="0" w:line="19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Considerable management judgment is necessary to assess the inherent uncertainties related to the interpretations of complex tax laws, regulations and taxing authority rulings.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New accounting guidance that we have recently adopted, as well as accounting guidance that has been recently issued but not yet adopted by us, is included in Note 2 - Summary of Significant Accounting Policies of our combined financial statements included elsewhere in this Annual Report on Form 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the normal course of business, we are subject to risks from adverse fluctuations in interest rates and commodity prices. We have historically managed commodity price risks through commodity derivatives. We are not a party to leveraged derivatives and, by policy, do not use financial instruments for speculative purposes. The extent to which we use derivative instruments is dependent upon our access to them in the financial markets, the costs associated with entering into such arrangements and our use of other risk management methods, such as establishing sales arrangements that permit the pass-through of changes in commodity prices to customers. Our objective in managing our exposure to market risk is to limit the impact on earnings and cash flow.</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had significant debt commitments outstanding as of December 31, 2019. These on-balance sheet financial instruments, to the extent they accrue interest at variable interest rates, expose us to interest rate risk. Prior to our Corporate Reorganization and IPO, our interest rate risk arose primarily on significant borrowings that were drawn under our portion of the RGHL Group Credit Agreement and certain related party borrowings.</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conjunction with our Corporate Reorganization and IPO all of our obligations under the historical debt commitments, both those with third party financial institutions and those with RGHL Group, have been settled. Based on the outstanding borrowings under the Term Loan Facility as of the closing of our IPO with all other variables remaining constant, a 100-basis point increase (decrease) in the interest rates under the Term Loan Facility would result in a $25 million increase (decrease) in interest expense, per annum, on our borrowings.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Risk</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exposed to commodity and other price risk principally from the purchase of resin, aluminum, natural gas, electricity, carton board and diesel. We use various strategies to manage cost exposures on certain material purchases with the objective of obtaining more predictable costs for these commodities. From time to time, we enter into hedging agreements, including commodity derivative contracts, to hedge commodity prices primarily related to aluminum, diesel and benzene.</w:t>
      </w:r>
    </w:p>
    <w:p>
      <w:pPr>
        <w:spacing w:after="0" w:line="18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enter into futures and swaps to reduce our exposure to commodity price fluctuations. These derivatives are implemented to either (a) mitigate the impact of the lag in timing between when material costs change and when we can pass through these material cost changes to our customers or (b) fix our input costs for a period. The following table provides the details of our outstanding commodity derivative contracts as of December 31,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Unit of measure</w:t>
            </w: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Contracted</w:t>
            </w:r>
          </w:p>
        </w:tc>
        <w:tc>
          <w:tcPr>
            <w:tcW w:w="1500" w:type="dxa"/>
            <w:vAlign w:val="bottom"/>
            <w:gridSpan w:val="2"/>
          </w:tcPr>
          <w:p>
            <w:pPr>
              <w:ind w:left="340"/>
              <w:spacing w:after="0"/>
              <w:rPr>
                <w:sz w:val="20"/>
                <w:szCs w:val="20"/>
                <w:color w:val="auto"/>
              </w:rPr>
            </w:pPr>
            <w:r>
              <w:rPr>
                <w:rFonts w:ascii="Arial" w:cs="Arial" w:eastAsia="Arial" w:hAnsi="Arial"/>
                <w:sz w:val="14"/>
                <w:szCs w:val="14"/>
                <w:b w:val="1"/>
                <w:bCs w:val="1"/>
                <w:color w:val="auto"/>
              </w:rPr>
              <w:t>Contracted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volume</w:t>
            </w: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price range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Aluminum swaps</w:t>
            </w:r>
          </w:p>
        </w:tc>
        <w:tc>
          <w:tcPr>
            <w:tcW w:w="14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Metric tonne</w:t>
            </w:r>
          </w:p>
        </w:tc>
        <w:tc>
          <w:tcPr>
            <w:tcW w:w="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$1,953.50</w:t>
            </w:r>
          </w:p>
        </w:tc>
        <w:tc>
          <w:tcPr>
            <w:tcW w:w="1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Jan 2020</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Metric tonne</w:t>
            </w:r>
          </w:p>
        </w:tc>
        <w:tc>
          <w:tcPr>
            <w:tcW w:w="164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$395.36</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Jan 2020</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Benzene swaps</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U.S. liquid gallon</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1,289,286</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$2.36 - $2.55</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 - Jun 2020</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U.S. liquid gallon</w:t>
            </w:r>
          </w:p>
        </w:tc>
        <w:tc>
          <w:tcPr>
            <w:tcW w:w="1640" w:type="dxa"/>
            <w:vAlign w:val="bottom"/>
          </w:tcPr>
          <w:p>
            <w:pPr>
              <w:jc w:val="right"/>
              <w:spacing w:after="0"/>
              <w:rPr>
                <w:sz w:val="20"/>
                <w:szCs w:val="20"/>
                <w:color w:val="auto"/>
              </w:rPr>
            </w:pPr>
            <w:r>
              <w:rPr>
                <w:rFonts w:ascii="Arial" w:cs="Arial" w:eastAsia="Arial" w:hAnsi="Arial"/>
                <w:sz w:val="18"/>
                <w:szCs w:val="18"/>
                <w:color w:val="auto"/>
              </w:rPr>
              <w:t>3,474,126</w:t>
            </w:r>
          </w:p>
        </w:tc>
        <w:tc>
          <w:tcPr>
            <w:tcW w:w="1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$3.00 - $3.30</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Jan - Dec 2020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Commodity derivative contracts are valued using observable market commodity index prices less the contract rate multiplied by the notional amount or based on pricing models that rely on market observable inputs such as commodity prices. As of December 31, 2019, the estimated fair values of the outstanding commodity derivative contracts were a net asset of less than $1 million. During the year ended December 31, 2019, we recognized a $9 million unrealized gain and a $9 million realized loss in cost of sales in the combined statement of income related to commodity derivatives.</w:t>
      </w:r>
    </w:p>
    <w:p>
      <w:pPr>
        <w:spacing w:after="0" w:line="15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 10% upward (downward) movement in the price curve used to value the commodity derivative contracts, applied as of December 31, 2019, would have resulted in an increase (decrease) of less than $1 million in unrealized gains recognized in the combined statements of income assuming all other variables remain constant.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Page</w:t>
            </w:r>
          </w:p>
        </w:tc>
      </w:tr>
      <w:tr>
        <w:trPr>
          <w:trHeight w:val="385"/>
        </w:trPr>
        <w:tc>
          <w:tcPr>
            <w:tcW w:w="1062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062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Combined Statements of Income for the years ended December 31, 2019, 2018 and 2017</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2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062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Combined Statements of Comprehensive Income for the years ended December 31, 2019, 2018 and 2017</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4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Combined Balance Sheets as of December 31, 2019 and 2018</w:t>
              </w:r>
            </w:hyperlink>
          </w:p>
        </w:tc>
        <w:tc>
          <w:tcPr>
            <w:tcW w:w="3120" w:type="dxa"/>
            <w:vAlign w:val="bottom"/>
            <w:tcBorders>
              <w:top w:val="single" w:sz="8" w:color="0000EE"/>
            </w:tcBorders>
            <w:gridSpan w:val="4"/>
          </w:tcPr>
          <w:p>
            <w:pPr>
              <w:spacing w:after="0"/>
              <w:rPr>
                <w:sz w:val="24"/>
                <w:szCs w:val="24"/>
                <w:color w:val="auto"/>
              </w:rPr>
            </w:pPr>
          </w:p>
        </w:tc>
        <w:tc>
          <w:tcPr>
            <w:tcW w:w="3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70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Combined Statements of Equity (Deficit) for the years ended December 31, 2019, 2018 and 2017</w:t>
              </w:r>
            </w:hyperlink>
          </w:p>
        </w:tc>
        <w:tc>
          <w:tcPr>
            <w:tcW w:w="360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67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Combined Statements of Cash Flows for the years ended December 31, 2019, 2018 and 2017</w:t>
              </w:r>
            </w:hyperlink>
          </w:p>
        </w:tc>
        <w:tc>
          <w:tcPr>
            <w:tcW w:w="390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1062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the Combined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Reynolds Consumer Products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combined balance sheets of Reynolds Consumer Group, which is comprised of the Reynolds Consumer Products segment of Reynolds Group Holdings Limited, (the “Company”) as of December 31, 2019 and 2018, and the related combined statements of income, of comprehensive income, of equity (deficit) and of cash flows for each of the three years in the period ended December 31, 2019, including the related notes (collectively referred to as the “combined financial statements”). In our opinion, the combined financial statements present fairly, in all material respects, the combined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1500"/>
        <w:spacing w:after="0" w:line="461" w:lineRule="auto"/>
        <w:rPr>
          <w:sz w:val="20"/>
          <w:szCs w:val="20"/>
          <w:color w:val="auto"/>
        </w:rPr>
      </w:pPr>
      <w:r>
        <w:rPr>
          <w:rFonts w:ascii="Arial" w:cs="Arial" w:eastAsia="Arial" w:hAnsi="Arial"/>
          <w:sz w:val="18"/>
          <w:szCs w:val="18"/>
          <w:color w:val="auto"/>
        </w:rPr>
        <w:t xml:space="preserve">As discussed in Note 2 to the combined financial statements, the Company changed the manner in which it accounts for leases in 2019. </w:t>
      </w:r>
      <w:r>
        <w:rPr>
          <w:rFonts w:ascii="Arial" w:cs="Arial" w:eastAsia="Arial" w:hAnsi="Arial"/>
          <w:sz w:val="18"/>
          <w:szCs w:val="18"/>
          <w:b w:val="1"/>
          <w:bCs w:val="1"/>
          <w:i w:val="1"/>
          <w:iCs w:val="1"/>
          <w:color w:val="auto"/>
        </w:rPr>
        <w:t>Basis for Opinion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Borders>
              <w:bottom w:val="single" w:sz="8" w:color="CFF0FC"/>
            </w:tcBorders>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Related party net revenues</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net revenues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2,957</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(2,310)</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(2,095)</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w:t>
            </w: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r>
      <w:tr>
        <w:trPr>
          <w:trHeight w:val="263"/>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FF0FC"/>
            </w:tcBorders>
          </w:tcPr>
          <w:p>
            <w:pPr>
              <w:spacing w:after="0"/>
              <w:rPr>
                <w:sz w:val="22"/>
                <w:szCs w:val="22"/>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Shares outstanding</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155,455,000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155,455,000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155,455,000</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155,455,000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155,455,000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155,455,000</w:t>
            </w:r>
          </w:p>
        </w:tc>
        <w:tc>
          <w:tcPr>
            <w:tcW w:w="10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combined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2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w:t>
            </w:r>
          </w:p>
        </w:tc>
        <w:tc>
          <w:tcPr>
            <w:tcW w:w="1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Postretirement benefit plans</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combined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receivable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assets, net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Related party receivables</w:t>
            </w:r>
          </w:p>
        </w:tc>
        <w:tc>
          <w:tcPr>
            <w:tcW w:w="10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4,160</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payables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Related party accrued interest payable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related party borrowings</w:t>
            </w:r>
          </w:p>
        </w:tc>
        <w:tc>
          <w:tcPr>
            <w:tcW w:w="10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related party borrowings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postretirement benefit obligation</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Pr>
          <w:p>
            <w:pPr>
              <w:jc w:val="right"/>
              <w:ind w:right="853"/>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4,978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7,448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Parent deficit</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(1,034)</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equity (deficit)</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combined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 Parent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net of income taxes</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Net transfers (to) from Parent</w:t>
            </w: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Adoption of new accounting principle</w:t>
            </w: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Other comprehensive income, net of income taxes</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transfers (to) from Parent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new accounting principle</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 of income taxes</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Net transfers (to) from Parent</w:t>
            </w: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combined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 operating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operating cash flows: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Unrealized (gains) losses on derivatives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portion of employee benefit obligations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Other non-cash items, net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assets and liabilities: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receivables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540" w:type="dxa"/>
            <w:vAlign w:val="bottom"/>
          </w:tcPr>
          <w:p>
            <w:pPr>
              <w:ind w:left="500"/>
              <w:spacing w:after="0"/>
              <w:rPr>
                <w:sz w:val="20"/>
                <w:szCs w:val="20"/>
                <w:color w:val="auto"/>
              </w:rPr>
            </w:pPr>
            <w:r>
              <w:rPr>
                <w:rFonts w:ascii="Arial" w:cs="Arial" w:eastAsia="Arial" w:hAnsi="Arial"/>
                <w:sz w:val="18"/>
                <w:szCs w:val="18"/>
                <w:color w:val="auto"/>
              </w:rPr>
              <w:t>Related party receivables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554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40" w:type="dxa"/>
            <w:vAlign w:val="bottom"/>
          </w:tcPr>
          <w:p>
            <w:pPr>
              <w:ind w:left="500"/>
              <w:spacing w:after="0"/>
              <w:rPr>
                <w:sz w:val="20"/>
                <w:szCs w:val="20"/>
                <w:color w:val="auto"/>
              </w:rPr>
            </w:pPr>
            <w:r>
              <w:rPr>
                <w:rFonts w:ascii="Arial" w:cs="Arial" w:eastAsia="Arial" w:hAnsi="Arial"/>
                <w:sz w:val="18"/>
                <w:szCs w:val="18"/>
                <w:color w:val="auto"/>
              </w:rPr>
              <w:t>Related party payables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Related party accrued interest payable</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 payable</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500"/>
              <w:spacing w:after="0"/>
              <w:rPr>
                <w:sz w:val="20"/>
                <w:szCs w:val="20"/>
                <w:color w:val="auto"/>
              </w:rPr>
            </w:pPr>
            <w:r>
              <w:rPr>
                <w:rFonts w:ascii="Arial" w:cs="Arial" w:eastAsia="Arial" w:hAnsi="Arial"/>
                <w:sz w:val="18"/>
                <w:szCs w:val="18"/>
                <w:color w:val="auto"/>
              </w:rPr>
              <w:t>Accrued and other current liabilities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liabilities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500"/>
              <w:spacing w:after="0"/>
              <w:rPr>
                <w:sz w:val="20"/>
                <w:szCs w:val="20"/>
                <w:color w:val="auto"/>
              </w:rPr>
            </w:pPr>
            <w:r>
              <w:rPr>
                <w:rFonts w:ascii="Arial" w:cs="Arial" w:eastAsia="Arial" w:hAnsi="Arial"/>
                <w:sz w:val="18"/>
                <w:szCs w:val="18"/>
                <w:color w:val="auto"/>
              </w:rPr>
              <w:t>Employee benefit obligations, net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Cash provided by (used in) investing activities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plant and equipment</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Advances to related parties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from related parties</w:t>
            </w:r>
          </w:p>
        </w:tc>
        <w:tc>
          <w:tcPr>
            <w:tcW w:w="1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9"/>
              </w:rPr>
              <w:t>(128)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 financing activities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Long-term debt repayments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Advances from related parties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Repayments to related parties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debt and equity transaction costs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Net transfers from (to) Parent</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(196)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Balance as of beginning of the year</w:t>
            </w:r>
          </w:p>
        </w:tc>
        <w:tc>
          <w:tcPr>
            <w:tcW w:w="1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as of end of the year</w:t>
            </w:r>
          </w:p>
        </w:tc>
        <w:tc>
          <w:tcPr>
            <w:tcW w:w="1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Cash paid:</w:t>
            </w:r>
          </w:p>
        </w:tc>
        <w:tc>
          <w:tcPr>
            <w:tcW w:w="1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 long-term debt</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Interest - related party borrowings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non-cash investing and financing activities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Refer to Note 7 - Leases for details of non-cash additions to operating lease right-of-use assets, net as a result of changes in operating lease liabilities. Refer to Note 16 - Related Party Transactions for details of significant non-cash investing and financing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combined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Reynolds Consumer Group (“we”, “us” or “our”) produce and sell products across three broad categories: cooking products, waste &amp;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Prior to the completion of our corporate reorganization and initial public offering (“IPO”) on February 4, 2020, we operated as part of Reynolds Group Holdings Limited (“RGHL”) and not as a stand-alone entity. We represented the business that was reported as the Reynolds Consumer Products segment in the consolidated financial statements of RGHL and its subsidiaries (collectively, “RGHL Group” or the “Parent”). In conjunction with our corporate reorganization and IPO, we separated from RGHL Group on February 4. 2020. Our combined financial statements present the results of operations, financial position and cash flows prepared on a stand-alone basis and have been derived from the consolidated financial statements and accounting records of RGHL Group. All revenues and costs as well as assets and liabilities that are either legally attributable to us or directly associated with our business activities are included in our combined financial statements. Intercompany transactions, profits and balances between our combined entities have been eliminated. Our combined financial statements include Reynolds Consumer Products Inc., the entity whose shares were issued to the public in our IPO. Refer to Note 17 – Subsequent Events for further information.</w:t>
      </w:r>
    </w:p>
    <w:p>
      <w:pPr>
        <w:spacing w:after="0" w:line="18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combined financial statements have been prepared in accordance with accounting principles generally accepted in the United States of America (“GAAP”).</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combined statements of income include allocations of certain expenses for services provided by RGHL Group, including, but not limited to, general corporate expenses related to group wide functions including executive management, finance, legal, tax, information technology and a portion of a related party management fee incurred by RGHL Group. Total costs allocated to us for these functions were $41 million, $40 million and $37 million for the years ended December 31, 2019, 2018 and 2017, respectively, and were primarily included in selling, general and administrative expenses in our combined statements of income. These amounts include costs of $22 million, $21 million and $20 million for the years ended December 31, 2019, 2018 and 2017, respectively, that were not historically allocated to us as part of RGHL Group's normal monthly reporting process. Additionally, in the year ended December 31, 2019 costs of $28 million were allocated to us related to the IPO process that cannot be deferred and offset against the IPO proceeds, as well as costs related to our preparations to operate as a stand-alone public company, which were included in other expense, net in our combined statements of income.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7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allocations referred to above may not, however, reflect all actual expenses we would have incurred and may not reflect the combined results of operations, financial position and cash flows had we operated as a stand-alone company during the years presented. The amount of actual costs that may have been incurred if we were a stand-alone company would depend on a number of factors, including our chosen organizational structure, which functions were performed by our employees or outsourced and strategic decisions made in areas such as information technology and infrastructure.</w:t>
      </w:r>
    </w:p>
    <w:p>
      <w:pPr>
        <w:spacing w:after="0" w:line="15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RGHL Group centrally managed substantially all of our financial resources. We financed our operating and capital requirements through a combination of cash provided by operations, RGHL Group's external borrowings that we have incurred and intercompany funding with RGHL Group. We were a borrower under a portion of RGHL Group's external borrowings and therefore a portion of this third-party debt is reflected as long-term debt on our combined balance sheets. Refer to Note 6 - Debt and Borrowing Arrangements for further information. Our intercompany funding with RGHL Group, which is subject to various legal agreements with RGHL Group, is reflected in related party borrowings on our combined balance sheets. We also advanced surplus cash to RGHL Group as part of its cash management activities. The balance of these amounts is reflected in non-current related party receivables in our combined balance sheets. Refer to Note 16 - Related Party Transactions for further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Net Parent deficit represents the Parent’s interest in our net assets. As a direct ownership relationship did not exist between the various entities of our combined group, a Net Parent deficit account is shown in our combined financial statements. The majority of transactions between us and RGHL Group have a history of settlement or were settled for cash in conjunction with our separation from RGHL Group and IPO. These transactions have been reflected in our combined balance sheets as related party receivables and payables. Transactions that did not have a history of settlement are reflected in equity (deficit) in our combined balance sheets as Net Parent deficit and, when cash is utilized (contributed), in our combined statements of cash flows as a financing activity in net transfers from (to) Parent. Refer to Note 16 - Related Party Transactions for further information.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prepare our combined financial statements in accordance with GAAP, which requires us to make estimates and assumptions that affect a number of amounts in our combined financial statements. Significant accounting policy elections, estimates and assumptions include, among others, benefit plan assumptions, valuation assumptions of goodwill and intangible assets, useful lives of long-lived assets, sales incentives and income taxes. We base our estimates on historical experience and other assumptions that we believe are reasonable. If actual amounts differ from estimates, we include the revisions in our combined results of operations in the period the actual amounts become known. Historically, the aggregate differences, if any, between our estimates and actual amounts in any year have not had a material effect on our combined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combined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equity (deficit) within accumulated other comprehensive income and transaction gains and losses in other expense, net in our combined statements of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2019 and 2018 were $7 million and $4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Substantially all of our U.S. accounts receivables had been transferred in their entirety to RGHL Group and were accounted for as a sale in accordance with our accounts receivable factoring arrangement described below. The allowance for doubtful accounts related to the accounts receivable of our non-U.S. operations was less than $1 million in each of the years presented.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Variable interest entities (“VIEs”) are primarily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To determine a VIE's primary beneficiary, we perform a qualitative assessment to determine which party, if any, has the power to direct activities of the VIE and the obligation to absorb losses and or receive its benefits. This assessment involves identifying the activities that most significantly impact the VIE's economic performance and determine whether we, or another party, has the power to direct those activities. In each of the years presented, we had a variable interest in one VIE related to our factoring arrangement with RGHL Group, described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account for transfers of financial assets, such as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had a non-recourse factoring arrangement in which we sold eligible receivables to a special purpose entity (“SPE”) consolidated by RGHL Group in exchange for cash. We transferred sold accounts receivables in their entirety to RGHL Group and satisfied all of the conditions to report the transfer of financial assets in their entirety as a sale. We continued to collect the receivables sold, acting solely as a collecting agent on behalf of RGHL Group, and received income of $1 million in each of the years presented for this service. We have not recognized any assets or liabilities related to the servicing arrangement as of December 31, 2019 and 2018. The SPE is considered to be a VIE, however we were not its primary beneficiary because we did not have the power to direct any of its most significant activities through our arrangement as a collecting agent. The principal amount of receivables sold under this arrangement was $3,252 million, $3,101 million and $2,952 million during the years ended December 31, 2019, 2018 and 2017, respectively, and represented substantially all of our U.S. accounts receivable. The balance of receivables sold, and still outstanding, was $264 million as of both December 31, 2019 and 2018. The incremental costs of factoring receivables under this arrangement are included in other expense, net in our combined statements of income. Refer to Note 11 - Other Expense, Net for additional information. The proceeds from the sales of receivables are included in cash from operating activities in our combined statements of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combined statements of income.</w:t>
      </w:r>
    </w:p>
    <w:p>
      <w:pPr>
        <w:spacing w:after="0" w:line="18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combined statements of income. There were no impairments of long-lived assets in any of the years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We determine whether a contract is or contains a lease at contract inception. On January 1, 2019, we began to record operating leases on our combined balance sheet.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Following initial recognition, operating lease liability balances are amortized using the effective interest method, while the related ROU assets are adjusted by the difference between the fixed lease expense recognized and the interest expense associated with the effective interest method in the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Some of our leases contain non-lease components, for example common 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 We recognize interest on operating lease liabilities and amortization of ROU assets as a single lease expense for operating leases on a straight-line basis over the lease term, substantially all in cost of sales in our combined statements of income. All operating lease cash payments are recorded within cash flows from operating activities in the combined statements of cash flows. Our lease agreements do not include significant restrictions, covenants or residual value guarantees.</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Prior to January 1, 2019, we classified leases at inception date as either a capital lease or an operating lease. A lease was a capital lease if any of the following conditions exist: (a) ownership was transferred to the lessee by the end of the lease term, (b) there was a bargain purchase option, (c) the lease term was at least 75% of the property’s estimated remaining economic life, or (d) the present value of the minimum lease payments at the beginning of the lease term was 90% or more of the fair value of the leased property to the lessor at the inception date. We had no capital leases during any of the years presented. We accounted for all other leases as operating leases wherein rental payments are expensed on a straight-line basis over their respective lease term.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8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Depending on factors such as prior-year test results, current year developments, current risk evaluations and other practical considerations, we may elect to perform quantitative testing instead.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 xml:space="preserve">On January 1, 2018 we adopted the requirements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contains a new revenue recognition framework, on a modified retrospective basis. Our accounting policies for revenue recognition for the current year and previous years are presented below.</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From January 1, 2018, 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based on known or expected adjustments.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192"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Prior to January 1, 2018, we recognized revenue when the sales price was determinable and the risks and rewards of ownership had transferred to the customer as determined by the shipping terms. Revenues were recorded net of sales incentives, which were based on historical promotional experience.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11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combined balance sheets and all marketing and advertising costs are recorded as an expense in the year incurred. Advertising expense was $57 million, $55 million and $56 million in the years ended December 31, 2019, 2018 and 2017, respectively. We expense product research and development costs as incurred. Research and development expense was $33 million, $29 million and $27 million in the years ended December 31, 2019, 2018 and 2017, respectively. We record marketing and advertising as well as research and development expenses in selling, general and administrative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provide benefits to our current and retired employees. The cost for these plans is recognized in income primarily over the working life of the covered employee. We participated in a defined benefit plan sponsored by RGHL Group, which was accounted for as a multiemployer plan in our combined financial statements. We also sponsor a postretirement benefit plan which is accounted for as a single employer plan in our combined financial statements. See Note 9 - Benefit Plans for additional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Stock-based compensation expense is measured at the grant date based on the fair value of the award and is recognized as expense over the period in which the awards vest in accordance with applicable guidance under ASC 718, Compensation-Stock Compensation. In contemplation of us issuing shares to the public, we granted restricted stock units (“RSUs”) in July 2019 to certain members of management, pursuant to retention agreements entered into with these employees. These RSUs vest upon satisfaction of both a performance-based vesting condition (the “IPO Condition”) and a service-based vesting condition (the “Service Condition”). The IPO Condition was satisfied when we completed our IPO on February 4, 2020. The Service Condition will be satisfied with respect to one-third of an employee’s RSUs on each anniversary from the date of our IPO for three consecutive years, subject to the employee’s continued employment through the applicable vesting date. We account for forfeitures of outstanding but unvested grants in the period they occur. The grant date fair value of the RSUs was approximately $4 million. Although the requisite service period began in July 2019, we have not recognized any compensation expense in our combined financial statements because the IPO Condition had not been achieved as of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exposed to price risk related to forecasted purchases of certain commodities that we primarily use as raw materials. From time to time we may enter into derivative financial instruments to mitigate certain risks. We are not a party to leveraged derivatives and, by policy, do not use financial instruments for speculative purposes.</w:t>
      </w:r>
    </w:p>
    <w:p>
      <w:pPr>
        <w:spacing w:after="0" w:line="1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record derivative financial instruments on a gross basis and at fair value in our combined balance sheets in other current assets or accrued and other current liabilities due to their relatively short-term duration. Cash flows from derivative instruments are classified as operating activities in our combined statements of cash flows based on the nature of the derivative instrument. Historically, we have not elected to use hedge accounting. Accordingly, any unrealized gains or losses (mark-to-market impacts) and realized gains or losses are recorded in cost of sales in our combined statements of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During the years presented, our U.S. operations were included in consolidated U.S. federal, certain state and local tax returns filed by RGHL Group. We also file certain separate U.S. state and local and foreign income tax returns. The income tax expense (benefit) included in our combined statements of income has been calculated using the separate return basis. It is possible that we will make different tax accounting elections and assertions subsequent to our shares being issued to the public. Therefore, our income taxes, as presented in our combined financial statements, may not be indicative of our income taxes in the future. In jurisdictions where we have been included in tax returns filed by RGHL Group, any income taxes payable resulting from the related income tax expense had been reflected in the combined balance sheets in Net Parent deficit.</w:t>
      </w:r>
    </w:p>
    <w:p>
      <w:pPr>
        <w:spacing w:after="0" w:line="17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7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5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recognize the tax benefits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62"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jc w:val="both"/>
        <w:ind w:left="1000" w:hanging="493"/>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3 inputs are unobservable inputs in which little or no market data exists, therefore requiring an entity to develop its own assumptions.</w:t>
      </w:r>
    </w:p>
    <w:p>
      <w:pPr>
        <w:spacing w:after="0" w:line="24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assets and liabilities measured at fair value on a recurring basis are presented in Note 8 - Financial Instruments. We have no assets or liabilities measured at fair value on a non-recurring basis in any of the years presented.</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2019 and 2018 due to the short-term nature of these instruments.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ASU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w:t>
      </w:r>
      <w:r>
        <w:rPr>
          <w:rFonts w:ascii="Arial" w:cs="Arial" w:eastAsia="Arial" w:hAnsi="Arial"/>
          <w:sz w:val="18"/>
          <w:szCs w:val="18"/>
          <w:color w:val="auto"/>
        </w:rPr>
        <w:t>. The ASU revises existing GAAP and outlines a new model for lessors and lessees to use in accounting for lease contracts. The guidance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an ROU asset and a lease liability on the balance sheet for all leases, with the exception of short-term leases. Lessees will classify leases as either operating (resulting in straight-line expense recognition) or finance (resulting in a front-loaded expense pattern). In July 2018, the FASB issued an ASU which allows for an alternative transition approach, which will not require adjustments to comparative prior-period amounts. Topic 842 and all related ASUs are effective for fiscal years beginning after December 15, 2018, with early adoption permitted. We adopted the new standard on January 1, 2019 on a modified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retrospective basis using a simplified transition approach, with no adjustment made to our prior period combined financial statements. We elected to apply the package of practical expedients, including not reassessing whether expired or existing contracts contained leases, the classification of those leases and initial direct costs for any existing leases. We also elected to exclude short-term leases (term of 12 months or less) from the balance sheet presentation. The most significant impact from adopting the standard is the initial recognition of ROU assets and operating lease liabilities on our combined balance sheet. Upon adoption, we recorded ROU assets (adjusted for deferred rent) and operating lease liabilities of $37 million and $39 million, respectively, representing the present value of future lease payments with terms greater than 12 months. There was no other impact on our combined financial statements.</w:t>
      </w:r>
    </w:p>
    <w:p>
      <w:pPr>
        <w:spacing w:after="0" w:line="19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This guidance permits companies to reclassify to retained earnings the tax effects stranded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as a result of the U.S. Tax Cuts and Jobs Act of 2017. The ASU is effective for fiscal years beginning after December 15, 2018, with early adoption permitted. We adopted the standard as of January 1, 2019 which resulted in a reclassification of $3 million of income tax expense from accumulated other comprehensive income into Net Parent deficit.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Guidance Issued But Not Yet Adopted as of December 31, 2019:</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 amendments to the initial guidance: ASU 2019-04,</w:t>
      </w:r>
      <w:r>
        <w:rPr>
          <w:rFonts w:ascii="Arial" w:cs="Arial" w:eastAsia="Arial" w:hAnsi="Arial"/>
          <w:sz w:val="18"/>
          <w:szCs w:val="18"/>
          <w:i w:val="1"/>
          <w:iCs w:val="1"/>
          <w:color w:val="auto"/>
        </w:rPr>
        <w:t xml:space="preserve"> Financial Instruments—Credit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Derivatives and Hedging (Topic 815)</w:t>
      </w:r>
      <w:r>
        <w:rPr>
          <w:rFonts w:ascii="Arial" w:cs="Arial" w:eastAsia="Arial" w:hAnsi="Arial"/>
          <w:sz w:val="18"/>
          <w:szCs w:val="18"/>
          <w:color w:val="auto"/>
        </w:rPr>
        <w:t>,</w:t>
      </w:r>
      <w:r>
        <w:rPr>
          <w:rFonts w:ascii="Arial" w:cs="Arial" w:eastAsia="Arial" w:hAnsi="Arial"/>
          <w:sz w:val="18"/>
          <w:szCs w:val="18"/>
          <w:i w:val="1"/>
          <w:iCs w:val="1"/>
          <w:color w:val="auto"/>
        </w:rPr>
        <w:t xml:space="preserve"> and Financial Instruments - Codification Improvements (Topic 825)</w:t>
      </w:r>
      <w:r>
        <w:rPr>
          <w:rFonts w:ascii="Arial" w:cs="Arial" w:eastAsia="Arial" w:hAnsi="Arial"/>
          <w:sz w:val="18"/>
          <w:szCs w:val="18"/>
          <w:color w:val="auto"/>
        </w:rPr>
        <w:t>, ASU 2019-05,</w:t>
      </w:r>
      <w:r>
        <w:rPr>
          <w:rFonts w:ascii="Arial" w:cs="Arial" w:eastAsia="Arial" w:hAnsi="Arial"/>
          <w:sz w:val="18"/>
          <w:szCs w:val="18"/>
          <w:i w:val="1"/>
          <w:iCs w:val="1"/>
          <w:color w:val="auto"/>
        </w:rPr>
        <w:t xml:space="preserve"> Financial Instruments - Credit Losses - Targeted Transition Relief (Topic 326) </w:t>
      </w:r>
      <w:r>
        <w:rPr>
          <w:rFonts w:ascii="Arial" w:cs="Arial" w:eastAsia="Arial" w:hAnsi="Arial"/>
          <w:sz w:val="18"/>
          <w:szCs w:val="18"/>
          <w:color w:val="auto"/>
        </w:rPr>
        <w:t>and ASU 2019-11,</w:t>
      </w:r>
      <w:r>
        <w:rPr>
          <w:rFonts w:ascii="Arial" w:cs="Arial" w:eastAsia="Arial" w:hAnsi="Arial"/>
          <w:sz w:val="18"/>
          <w:szCs w:val="18"/>
          <w:i w:val="1"/>
          <w:iCs w:val="1"/>
          <w:color w:val="auto"/>
        </w:rPr>
        <w:t xml:space="preserve"> Codification Improvements, Financial Instruments – Credit Losses (Topic 326)</w:t>
      </w:r>
      <w:r>
        <w:rPr>
          <w:rFonts w:ascii="Arial" w:cs="Arial" w:eastAsia="Arial" w:hAnsi="Arial"/>
          <w:sz w:val="18"/>
          <w:szCs w:val="18"/>
          <w:color w:val="auto"/>
        </w:rPr>
        <w:t>. These ASUs modify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to use an expected loss methodology in place of the currently used incurred loss methodology, which may result in earlier recognition of losses related to financial instruments. These ASUs are effective for fiscal years beginning after December 15, 2019, with early adoption permitted, and require a cumulative effect adjustment to the balance sheet upon adoption. The adoption of these standards will not have a material impact on our combined financial statements.</w:t>
      </w:r>
    </w:p>
    <w:p>
      <w:pPr>
        <w:spacing w:after="0" w:line="19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 - Retirement Benefits - Defined Benefit Plans - General (Subtopic 715-20)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 Framework - Changes to the Disclosure Requirements for Defined Benefit Plans</w:t>
      </w:r>
      <w:r>
        <w:rPr>
          <w:rFonts w:ascii="Arial" w:cs="Arial" w:eastAsia="Arial" w:hAnsi="Arial"/>
          <w:sz w:val="17"/>
          <w:szCs w:val="17"/>
          <w:color w:val="auto"/>
        </w:rPr>
        <w:t>. The ASU modifies the disclosure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employers that sponsor defined benefit pension or other postretirement plans. The ASU is effective for fiscal years beginning after December 15, 2020, with early adoption permitted. We are currently evaluating the requirements of this guidance, which is expected to impact our disclosures but is not expected to impact the measurement and recognition of amounts in our combined financial statements.</w:t>
      </w:r>
    </w:p>
    <w:p>
      <w:pPr>
        <w:spacing w:after="0" w:line="1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which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The adoption of this standard will not have a material impact on our combined financial statements.</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is intended to simplify various aspects related to accounting for income taxes. This ASU removes certain exceptions to the general principles in Topic 740 and also clarifies and amends existing guidance to improve consistent application. This ASU is effective for fiscal years, and interim periods within those fiscal years, beginning after December 15, 2020, with early adoption permitted. We are currently assessing the impact of this standard on our combined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5"/>
          </w:tcPr>
          <w:p>
            <w:pPr>
              <w:jc w:val="center"/>
              <w:ind w:left="456"/>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Spare parts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418</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Property, plant and equipment, net consisted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5"/>
          </w:tcPr>
          <w:p>
            <w:pPr>
              <w:jc w:val="center"/>
              <w:ind w:left="416"/>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40" w:type="dxa"/>
            <w:vAlign w:val="bottom"/>
            <w:gridSpan w:val="2"/>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Borders>
              <w:top w:val="single" w:sz="8" w:color="auto"/>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Depreciation expense was $59 million, $55 million and $58 million for the years ended December 31, 2019, 2018 and 2017, respectively, of which $55 million, $49 million and $47 million was recognized in cost of sales, respectively, and $4 million, $6 million and $11 million was recognized in selling, general and administrative expenses,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Goodwill by reportable segment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Reynolds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Hefty Waste</w:t>
            </w:r>
          </w:p>
        </w:tc>
        <w:tc>
          <w:tcPr>
            <w:tcW w:w="120" w:type="dxa"/>
            <w:vAlign w:val="bottom"/>
          </w:tcPr>
          <w:p>
            <w:pPr>
              <w:spacing w:after="0"/>
              <w:rPr>
                <w:sz w:val="14"/>
                <w:szCs w:val="14"/>
                <w:color w:val="auto"/>
              </w:rPr>
            </w:pPr>
          </w:p>
        </w:tc>
        <w:tc>
          <w:tcPr>
            <w:tcW w:w="9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Hefty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Presto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7"/>
              </w:rPr>
              <w:t>Cooking &amp;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Baking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&amp; Storage</w:t>
            </w: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Tableware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Products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Movements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Movements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6"/>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center"/>
              <w:ind w:left="438"/>
              <w:spacing w:after="0"/>
              <w:rPr>
                <w:sz w:val="20"/>
                <w:szCs w:val="20"/>
                <w:color w:val="auto"/>
              </w:rPr>
            </w:pPr>
            <w:r>
              <w:rPr>
                <w:rFonts w:ascii="Arial" w:cs="Arial" w:eastAsia="Arial" w:hAnsi="Arial"/>
                <w:sz w:val="14"/>
                <w:szCs w:val="14"/>
                <w:b w:val="1"/>
                <w:bCs w:val="1"/>
                <w:color w:val="auto"/>
                <w:w w:val="90"/>
              </w:rPr>
              <w:t>As of December 31, 2019</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458"/>
              <w:spacing w:after="0"/>
              <w:rPr>
                <w:sz w:val="20"/>
                <w:szCs w:val="20"/>
                <w:color w:val="auto"/>
              </w:rPr>
            </w:pPr>
            <w:r>
              <w:rPr>
                <w:rFonts w:ascii="Arial" w:cs="Arial" w:eastAsia="Arial" w:hAnsi="Arial"/>
                <w:sz w:val="14"/>
                <w:szCs w:val="14"/>
                <w:b w:val="1"/>
                <w:bCs w:val="1"/>
                <w:color w:val="auto"/>
                <w:w w:val="92"/>
              </w:rPr>
              <w:t>As of December 31, 2018</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5"/>
          </w:tcPr>
          <w:p>
            <w:pPr>
              <w:ind w:left="420"/>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Finite-lived intangible assets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Trade names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Amortization expense for intangible assets was $32 million for each of the years ended December 31, 2019, 2018 and 2017, and has been recognized in selling, general and administrative expenses. For the next five years, we estimate annual amortization expense of approximately $30 million each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and Borrowing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had incurred borrowings under RGHL Group's Senior Secured Credit Agreement, as amended (the “RGHL Group Credit Agreement”).</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information presented below relates to our borrowings under the RGHL Group Credit Agreement, which represent only a portion of the total RGHL Group borrowings incurred under the RGHL Group Credit Agreement. For details regarding our borrowings with RGHL Group, refer to Note 16 - Related Party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RGHL Group U.S. Term Loan</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Deferred financing transaction costs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Original issue discounts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5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 RGHL Group Credit Agreement</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facilities under the RGHL Group Credit Agreement are comprised of (i) U.S. and European Term Loans, denominated in U.S. dollars and euro, respectively, and (ii) a Revolving Facility, denominated in U.S. dollars. For all periods presented, the Revolving Facility has only been utilized by RGHL Group in the form of letters of credit. As of December 31, 2019, RGHL Group has utilized $56 million, including $7 million for our letters of credit. We were not a borrower under the European Term Loans.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obligations under the RGHL Group Credit Agreement are guaranteed by, and secured by the assets of, certain members of RGHL Group, including certain entities of our combined group. For further details of the guarantees and security we have provided in relation to RGHL Group’s external borrowings, refer to Note 12 - Commitments and Contingencies.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were a borrower under the RGHL Group U.S. Term Loan. Interest under the RGHL Group U.S. Term Loan comprises one-month LIBOR, with a floor of 0%, plus a margin of 2.75%. The weighted average contractual interest rate related to our long-term debt as of December 31, 2019, 2018 and 2017, was 5.04%, 4.77% and 4.05%, respectively. The effective interest rate of our debt obligations is not materially different from the contractual interest rate.</w:t>
      </w:r>
    </w:p>
    <w:p>
      <w:pPr>
        <w:spacing w:after="0" w:line="18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The RGHL Group U.S. Term Loan requires quarterly amortization payments of 0.25% of the outstanding principal as of February 5, 2017, with the balance due at maturity in February 2023. Based on our portion of the outstanding borrowings, this represented amortization payments of approximately $5 million per quarter. Borrowings under the RGHL Group U.S. Term Loan may be voluntarily repaid in whole or in part and are subject to mandatory prepayments in certain circumstances, including the requirement to make annual prepayments of both the U.S. and European Term Loans with up to 50% of excess cash flow as determined in accordance with the RGHL Group Credit Agreement. No excess cash flow prepayments were due in 2019 for the year ended December 31, 2018 or are due in 2020 for the year ended December 31,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Transaction Costs and Original Issue Discounts</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As of December 31, 2019 and 2018, our portion of RGHL Group’s deferred financing transaction costs, net of amortization, related to the RGHL Group U.S. Term Loan and the RGHL Group Revolving Facility were $4 million and $5 million, respectively. In addition, as of December 31, 2019 and 2018, we have recorded original issue discounts, net of accumulated amortization, of $2 million. These deferred amounts are presented as a direct reduction of the carrying amount of our long-term debt as of December 31, 2019 and 2018. Our portions of deferred financing transaction costs and original issue discounts are being amortized over the life of the RGHL Group U.S. Term Loan under the effective interest method.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RGHL Group Credit Agreement contains customary covenants which restrict RGHL and certain of its subsidiaries from certain activities including, among other things, incurring debt, creating liens over assets, selling or acquiring assets and making restricted payments, in each case except as permitted under the RGHL Group Credit Agreement. As of December 31, 2019, RGHL Group was in compliance with all of its covenants.</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RGHL Group Credit Agreement also contains a total secured leverage ratio covenant not to exceed 5.00 to 1.00 on a pro forma basis. This covenant only applies if the aggregate revolving credit exposure (excluding any exposure in respect of undrawn letters of credit) as of the last day of a fiscal quarter exceeds 35% of the total Revolving Facility commitments on such day.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Below is a schedule of required future repayments on our debt outstanding under the RGHL Group Credit Agreement as of December 31, 2019:</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debt</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detailed in Note 17 - Subsequent Events, our obligations under the RGHL Group Credit Agreement were extinguished on February 4, 2020. Details of the required future repayments of our debt outstanding following our separation from RGHL Group and IPO are presented in Note 17 - Subsequent Events.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Long-Term Debt: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fair value of our long-term debt as of December 31, 2019 and 2018, which is a Level 2 fair value measurement, approximates the carrying value due to the variable market interest rate and the stability of RGHL Group's credit profile.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net consisted of the following: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r>
      <w:tr>
        <w:trPr>
          <w:trHeight w:val="156"/>
        </w:trPr>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RGHL Group U.S. Term Loan</w:t>
            </w:r>
          </w:p>
        </w:tc>
        <w:tc>
          <w:tcPr>
            <w:tcW w:w="146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 xml:space="preserve">Interest expense, related party borrowings </w:t>
            </w:r>
            <w:r>
              <w:rPr>
                <w:rFonts w:ascii="Arial" w:cs="Arial" w:eastAsia="Arial" w:hAnsi="Arial"/>
                <w:sz w:val="15"/>
                <w:szCs w:val="15"/>
                <w:color w:val="auto"/>
              </w:rPr>
              <w:t>(1)</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9"/>
                <w:szCs w:val="19"/>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related party receivables </w:t>
            </w:r>
            <w:r>
              <w:rPr>
                <w:rFonts w:ascii="Arial" w:cs="Arial" w:eastAsia="Arial" w:hAnsi="Arial"/>
                <w:sz w:val="15"/>
                <w:szCs w:val="15"/>
                <w:color w:val="auto"/>
              </w:rPr>
              <w:t>(1)</w:t>
            </w: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7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Refer to Note 16 - Related Party Transactions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12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lease certain buildings and plant and equipment. Our leases have reasonably assured remaining lease terms of up to 10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operating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the lease agreement is entered into.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combined balance sheets and we recognize lease expense for these leases on a straight-line basis over the lease term. We do not have finance leases.</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Lease costs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-115570</wp:posOffset>
            </wp:positionV>
            <wp:extent cx="498919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2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Variable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Short-term lease costs</w:t>
      </w:r>
    </w:p>
    <w:p>
      <w:pPr>
        <w:spacing w:after="0" w:line="5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lease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52"/>
        <w:spacing w:after="0"/>
        <w:rPr>
          <w:sz w:val="20"/>
          <w:szCs w:val="20"/>
          <w:color w:val="auto"/>
        </w:rPr>
      </w:pPr>
      <w:r>
        <w:rPr>
          <w:rFonts w:ascii="Arial" w:cs="Arial" w:eastAsia="Arial" w:hAnsi="Arial"/>
          <w:sz w:val="13"/>
          <w:szCs w:val="13"/>
          <w:b w:val="1"/>
          <w:bCs w:val="1"/>
          <w:color w:val="auto"/>
        </w:rPr>
        <w:t>For the Year Ended</w:t>
      </w:r>
    </w:p>
    <w:p>
      <w:pPr>
        <w:spacing w:after="0" w:line="15" w:lineRule="exact"/>
        <w:rPr>
          <w:sz w:val="20"/>
          <w:szCs w:val="20"/>
          <w:color w:val="auto"/>
        </w:rPr>
      </w:pPr>
    </w:p>
    <w:p>
      <w:pPr>
        <w:ind w:left="92"/>
        <w:spacing w:after="0"/>
        <w:rPr>
          <w:sz w:val="20"/>
          <w:szCs w:val="20"/>
          <w:color w:val="auto"/>
        </w:rPr>
      </w:pPr>
      <w:r>
        <w:rPr>
          <w:rFonts w:ascii="Arial" w:cs="Arial" w:eastAsia="Arial" w:hAnsi="Arial"/>
          <w:sz w:val="13"/>
          <w:szCs w:val="13"/>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8483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 w:lineRule="exact"/>
        <w:rPr>
          <w:sz w:val="20"/>
          <w:szCs w:val="20"/>
          <w:color w:val="auto"/>
        </w:rPr>
      </w:pPr>
    </w:p>
    <w:p>
      <w:pPr>
        <w:ind w:left="292"/>
        <w:spacing w:after="0"/>
        <w:rPr>
          <w:sz w:val="20"/>
          <w:szCs w:val="20"/>
          <w:color w:val="auto"/>
        </w:rPr>
      </w:pPr>
      <w:r>
        <w:rPr>
          <w:rFonts w:ascii="Arial" w:cs="Arial" w:eastAsia="Arial" w:hAnsi="Arial"/>
          <w:sz w:val="14"/>
          <w:szCs w:val="14"/>
          <w:b w:val="1"/>
          <w:bCs w:val="1"/>
          <w:color w:val="auto"/>
        </w:rPr>
        <w:t>(in millions)</w:t>
      </w:r>
    </w:p>
    <w:p>
      <w:pPr>
        <w:spacing w:after="0" w:line="15" w:lineRule="exact"/>
        <w:rPr>
          <w:sz w:val="20"/>
          <w:szCs w:val="20"/>
          <w:color w:val="auto"/>
        </w:rPr>
      </w:pPr>
    </w:p>
    <w:p>
      <w:pPr>
        <w:ind w:left="1152" w:hanging="1152"/>
        <w:spacing w:after="0"/>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11</w:t>
      </w:r>
    </w:p>
    <w:p>
      <w:pPr>
        <w:spacing w:after="0" w:line="30" w:lineRule="exact"/>
        <w:rPr>
          <w:rFonts w:ascii="Arial" w:cs="Arial" w:eastAsia="Arial" w:hAnsi="Arial"/>
          <w:sz w:val="16"/>
          <w:szCs w:val="16"/>
          <w:color w:val="auto"/>
        </w:rPr>
      </w:pPr>
    </w:p>
    <w:p>
      <w:pPr>
        <w:ind w:left="1232"/>
        <w:spacing w:after="0"/>
        <w:rPr>
          <w:rFonts w:ascii="Arial" w:cs="Arial" w:eastAsia="Arial" w:hAnsi="Arial"/>
          <w:sz w:val="16"/>
          <w:szCs w:val="16"/>
          <w:color w:val="auto"/>
        </w:rPr>
      </w:pPr>
      <w:r>
        <w:rPr>
          <w:rFonts w:ascii="Arial" w:cs="Arial" w:eastAsia="Arial" w:hAnsi="Arial"/>
          <w:sz w:val="17"/>
          <w:szCs w:val="17"/>
          <w:color w:val="auto"/>
        </w:rPr>
        <w:t>1</w:t>
      </w:r>
    </w:p>
    <w:p>
      <w:pPr>
        <w:spacing w:after="0" w:line="34" w:lineRule="exact"/>
        <w:rPr>
          <w:rFonts w:ascii="Arial" w:cs="Arial" w:eastAsia="Arial" w:hAnsi="Arial"/>
          <w:sz w:val="16"/>
          <w:szCs w:val="16"/>
          <w:color w:val="auto"/>
        </w:rPr>
      </w:pPr>
    </w:p>
    <w:p>
      <w:pPr>
        <w:ind w:left="1232"/>
        <w:spacing w:after="0"/>
        <w:rPr>
          <w:rFonts w:ascii="Arial" w:cs="Arial" w:eastAsia="Arial" w:hAnsi="Arial"/>
          <w:sz w:val="16"/>
          <w:szCs w:val="16"/>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848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3" w:lineRule="exact"/>
        <w:rPr>
          <w:sz w:val="20"/>
          <w:szCs w:val="20"/>
          <w:color w:val="auto"/>
        </w:rPr>
      </w:pPr>
    </w:p>
    <w:p>
      <w:pPr>
        <w:ind w:left="1152" w:hanging="1152"/>
        <w:spacing w:after="0"/>
        <w:tabs>
          <w:tab w:leader="none" w:pos="115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848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8483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28" w:space="720"/>
            <w:col w:w="3092"/>
          </w:cols>
          <w:pgMar w:left="320" w:top="121" w:right="339" w:bottom="1440" w:gutter="0" w:footer="0" w:header="0"/>
          <w:type w:val="continuous"/>
        </w:sectPr>
      </w:pPr>
    </w:p>
    <w:p>
      <w:pPr>
        <w:spacing w:after="0" w:line="11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Rental expenses were $17 million and $14 million during the years ended December 31, 2018 and 2017, respectively. Future lease payments under non-cancelable leases under prior lease accounting rules (ASC 840) and under the new lease accounting rules (ASC 842) that went into effect on January 1, 2019 were as follows: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Borders>
              <w:bottom w:val="single" w:sz="8" w:color="auto"/>
            </w:tcBorders>
          </w:tcPr>
          <w:p>
            <w:pPr>
              <w:jc w:val="right"/>
              <w:ind w:right="6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ASC 842</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ASC 840</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3"/>
          </w:tcPr>
          <w:p>
            <w:pPr>
              <w:jc w:val="right"/>
              <w:ind w:right="527"/>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180" w:type="dxa"/>
            <w:vAlign w:val="bottom"/>
            <w:gridSpan w:val="2"/>
            <w:shd w:val="clear" w:color="auto" w:fill="CFF0FC"/>
          </w:tcPr>
          <w:p>
            <w:pPr>
              <w:jc w:val="right"/>
              <w:ind w:right="66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2021</w:t>
            </w:r>
          </w:p>
        </w:tc>
        <w:tc>
          <w:tcPr>
            <w:tcW w:w="1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2023</w:t>
            </w:r>
          </w:p>
        </w:tc>
        <w:tc>
          <w:tcPr>
            <w:tcW w:w="1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3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1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w:t>
            </w: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 liabilities</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64"/>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there were no material lease transactions that we have entered into but have not yet commenced.</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liabilities and ROU assets included in our combined balance sheets were as follows:</w:t>
      </w: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48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1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Operating lease right-of-use assets, net</w:t>
            </w: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During the year ended December 31, 2019, new leases resulted in the recognition of ROU assets and corresponding lease liabilities of $9 million. During the year ended December 31, 2019, cash flows from operating activities include $10 million of payments for operating lease liabilities. In addition, on November 1, 2019, we entered into new lease agreements, as part of our separation from RGHL Group, for arrangements that are directly attributable to our business and have been historically reflected in our combined financial statements.</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December 31, 2019, the weighted average remaining lease term and weighted average discount rate for operating leases was 5.91 years and 5.15%,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Derivative instruments, consisting of commodity contracts, were recorded at fair value in our combined balance sheets and consisted of an asset of less than $1 million, recorded in other current assets, as of December 31, 2019 and a $9 million liability, recorded in accrued and other current liabilities, as of December 31, 2018.</w:t>
      </w:r>
    </w:p>
    <w:p>
      <w:pPr>
        <w:spacing w:after="0" w:line="1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these financial instruments takes into consideration the risk of non-performance, including counterparty credit risk. The majority of our derivative contracts do not have a legal right of set-off. We manage the credit risk in connection with our derivatives by limiting the amount of exposure with each counterparty and monitoring the financial condition of our counterparties.</w:t>
      </w:r>
    </w:p>
    <w:p>
      <w:pPr>
        <w:spacing w:after="0" w:line="19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During the years ended December 31, 2019, 2018 and 2017, we recognized an unrealized gain of $9 million, an unrealized loss of $14 million and an unrealized gain of $4 million, respectively, in cost of sales in the combined statements of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the detail of outstanding commodity derivative contracts as of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Unit of measure</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Contracted</w:t>
            </w:r>
          </w:p>
        </w:tc>
        <w:tc>
          <w:tcPr>
            <w:tcW w:w="1620" w:type="dxa"/>
            <w:vAlign w:val="bottom"/>
            <w:gridSpan w:val="2"/>
          </w:tcPr>
          <w:p>
            <w:pPr>
              <w:ind w:left="380"/>
              <w:spacing w:after="0"/>
              <w:rPr>
                <w:sz w:val="20"/>
                <w:szCs w:val="20"/>
                <w:color w:val="auto"/>
              </w:rPr>
            </w:pPr>
            <w:r>
              <w:rPr>
                <w:rFonts w:ascii="Arial" w:cs="Arial" w:eastAsia="Arial" w:hAnsi="Arial"/>
                <w:sz w:val="14"/>
                <w:szCs w:val="14"/>
                <w:b w:val="1"/>
                <w:bCs w:val="1"/>
                <w:color w:val="auto"/>
              </w:rPr>
              <w:t>Contracted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Contracted date</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volume</w:t>
            </w:r>
          </w:p>
        </w:tc>
        <w:tc>
          <w:tcPr>
            <w:tcW w:w="1620" w:type="dxa"/>
            <w:vAlign w:val="bottom"/>
            <w:gridSpan w:val="2"/>
          </w:tcPr>
          <w:p>
            <w:pPr>
              <w:ind w:left="380"/>
              <w:spacing w:after="0"/>
              <w:rPr>
                <w:sz w:val="20"/>
                <w:szCs w:val="20"/>
                <w:color w:val="auto"/>
              </w:rPr>
            </w:pPr>
            <w:r>
              <w:rPr>
                <w:rFonts w:ascii="Arial" w:cs="Arial" w:eastAsia="Arial" w:hAnsi="Arial"/>
                <w:sz w:val="14"/>
                <w:szCs w:val="14"/>
                <w:b w:val="1"/>
                <w:bCs w:val="1"/>
                <w:color w:val="auto"/>
              </w:rPr>
              <w:t>price range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Aluminum swaps</w:t>
            </w:r>
          </w:p>
        </w:tc>
        <w:tc>
          <w:tcPr>
            <w:tcW w:w="16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Metric tonne</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111</w:t>
            </w: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$1,953.50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 2020</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Aluminum Midwest Premium swaps</w:t>
            </w:r>
          </w:p>
        </w:tc>
        <w:tc>
          <w:tcPr>
            <w:tcW w:w="20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Metric tonne</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$395.36</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Jan 2020</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Benzene swaps</w:t>
            </w:r>
          </w:p>
        </w:tc>
        <w:tc>
          <w:tcPr>
            <w:tcW w:w="20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U.S. liquid gallon</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1,289,286</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$2.36 - $2.55</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Jan - Jun 2020</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Diesel swaps</w:t>
            </w:r>
          </w:p>
        </w:tc>
        <w:tc>
          <w:tcPr>
            <w:tcW w:w="20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U.S. liquid gallon</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3,474,126</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$3.00 - $3.30</w:t>
            </w: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Jan - Dec 2020</w:t>
            </w: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Multiemployer Defined Benefit Plan</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Prior to our separation from RGHL Group and IPO, certain of our employees participated in a defined benefit plan sponsored by RGHL Group, along with participants of RGHL Group's other businesses. This plan is accounted for as a multiemployer plan in these combined financial statements and as a result, no asset or liability was recorded by us to recognize the funded status of the plan. We recorded expense of $3 million in cost of sales for each of the years ended December 31, 2019, 2018 and 2017 relating to our employees' participation in the RGHL Group sponsored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We offer defined contribution plans to eligible employees in the United States as well as employees in certain other countries. Our expense relating to defined contribution plans was $20 million, $18 million and $17 million for the years ended December 31, 2019, 2018 and 2017,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24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left="208"/>
              <w:spacing w:after="0"/>
              <w:rPr>
                <w:sz w:val="20"/>
                <w:szCs w:val="20"/>
                <w:color w:val="auto"/>
              </w:rPr>
            </w:pPr>
            <w:r>
              <w:rPr>
                <w:rFonts w:ascii="Arial" w:cs="Arial" w:eastAsia="Arial" w:hAnsi="Arial"/>
                <w:sz w:val="14"/>
                <w:szCs w:val="14"/>
                <w:b w:val="1"/>
                <w:bCs w:val="1"/>
                <w:color w:val="auto"/>
                <w:w w:val="92"/>
              </w:rPr>
              <w:t>As of December 31,</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5"/>
          </w:tcPr>
          <w:p>
            <w:pPr>
              <w:jc w:val="center"/>
              <w:ind w:right="39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Accumulated postretirement benefit obligation as of January 1</w:t>
            </w:r>
          </w:p>
        </w:tc>
        <w:tc>
          <w:tcPr>
            <w:tcW w:w="760" w:type="dxa"/>
            <w:vAlign w:val="bottom"/>
            <w:gridSpan w:val="2"/>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Actuarial losses (gains)</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540" w:type="dxa"/>
            <w:vAlign w:val="bottom"/>
            <w:gridSpan w:val="2"/>
          </w:tcPr>
          <w:p>
            <w:pPr>
              <w:ind w:left="1180"/>
              <w:spacing w:after="0"/>
              <w:rPr>
                <w:sz w:val="20"/>
                <w:szCs w:val="20"/>
                <w:color w:val="auto"/>
              </w:rPr>
            </w:pPr>
            <w:r>
              <w:rPr>
                <w:rFonts w:ascii="Arial" w:cs="Arial" w:eastAsia="Arial" w:hAnsi="Arial"/>
                <w:sz w:val="18"/>
                <w:szCs w:val="18"/>
                <w:b w:val="1"/>
                <w:bCs w:val="1"/>
                <w:color w:val="auto"/>
                <w:w w:val="94"/>
              </w:rPr>
              <w:t>Accumulated postretirement benefit obligation as of December 31</w:t>
            </w:r>
          </w:p>
        </w:tc>
        <w:tc>
          <w:tcPr>
            <w:tcW w:w="760" w:type="dxa"/>
            <w:vAlign w:val="bottom"/>
            <w:tcBorders>
              <w:top w:val="single" w:sz="8" w:color="auto"/>
              <w:bottom w:val="single" w:sz="8" w:color="auto"/>
            </w:tcBorders>
            <w:gridSpan w:val="2"/>
          </w:tcPr>
          <w:p>
            <w:pPr>
              <w:jc w:val="right"/>
              <w:ind w:right="60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w w:val="93"/>
              </w:rPr>
              <w:t>The accrued benefit obligation was included in our combined balance sheets as follows:</w:t>
            </w: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auto"/>
            </w:tcBorders>
            <w:gridSpan w:val="6"/>
          </w:tcPr>
          <w:p>
            <w:pPr>
              <w:jc w:val="center"/>
              <w:ind w:left="208"/>
              <w:spacing w:after="0"/>
              <w:rPr>
                <w:sz w:val="20"/>
                <w:szCs w:val="20"/>
                <w:color w:val="auto"/>
              </w:rPr>
            </w:pPr>
            <w:r>
              <w:rPr>
                <w:rFonts w:ascii="Arial" w:cs="Arial" w:eastAsia="Arial" w:hAnsi="Arial"/>
                <w:sz w:val="14"/>
                <w:szCs w:val="14"/>
                <w:b w:val="1"/>
                <w:bCs w:val="1"/>
                <w:color w:val="auto"/>
                <w:w w:val="92"/>
              </w:rPr>
              <w:t>As of December 31,</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5"/>
          </w:tcPr>
          <w:p>
            <w:pPr>
              <w:jc w:val="center"/>
              <w:ind w:right="35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76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postretirement benefit obligation</w:t>
            </w:r>
          </w:p>
        </w:tc>
        <w:tc>
          <w:tcPr>
            <w:tcW w:w="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portion of our accrued benefit obligation has been recorded in accumulated other comprehensive income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Changes</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Changes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actuarial gain (loss)</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9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impact of the adoption of a new accounting principle on January 1, 2019.</w:t>
      </w:r>
    </w:p>
    <w:p>
      <w:pPr>
        <w:spacing w:after="0" w:line="26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We used the following weighted-average assumptions to determine our postretirement benefit obligations:</w:t>
      </w:r>
    </w:p>
    <w:p>
      <w:pPr>
        <w:spacing w:after="0" w:line="311"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526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3.24%</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w:t>
            </w: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7.20%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r>
      <w:tr>
        <w:trPr>
          <w:trHeight w:val="230"/>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Ultimate trend rate</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4.50%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2029</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20"/>
                <w:szCs w:val="20"/>
                <w:color w:val="auto"/>
              </w:rPr>
            </w:pPr>
          </w:p>
        </w:tc>
      </w:tr>
    </w:tbl>
    <w:p>
      <w:pPr>
        <w:spacing w:after="0" w:line="24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long-term expectations.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Assumed health care cost trend rates can impact the amounts reported for the health care plans. A one-percentage-point change in assumed health care cost trend rates would have less than a $1 million effect on the measurement of our postretirement benefit obligation and less than a $1 million effect on the annual service and interest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Postretirement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periodic postretirement benefit costs consisted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08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actuarial gain</w:t>
            </w:r>
          </w:p>
        </w:tc>
        <w:tc>
          <w:tcPr>
            <w:tcW w:w="14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Net periodic postretirement costs</w:t>
            </w:r>
          </w:p>
        </w:tc>
        <w:tc>
          <w:tcPr>
            <w:tcW w:w="1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service cost component of net periodic postretirement costs is recognized in cost of sales, while interest cost and amortization of actuarial gain are recognized in non-operating expense, net in the combined statements of income.</w:t>
      </w:r>
    </w:p>
    <w:p>
      <w:pPr>
        <w:spacing w:after="0" w:line="170"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December 31, 2019, we expect to amortize an actuarial gain of approximately $1 million from accumulated other comprehensive income into pre-tax net periodic postretirement costs during 2020.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311"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514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4.37%</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3.68%</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7.70%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r>
      <w:tr>
        <w:trPr>
          <w:trHeight w:val="229"/>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Ultimate trend rate</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4.50%</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4.50%</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2029</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contributions for the next fiscal year equal the estimated benefit payments of $3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estimated future benefit payments for our postretirement benefit plan as of December 31,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(in millions)</w:t>
            </w:r>
          </w:p>
        </w:tc>
        <w:tc>
          <w:tcPr>
            <w:tcW w:w="2260" w:type="dxa"/>
            <w:vAlign w:val="bottom"/>
          </w:tcPr>
          <w:p>
            <w:pPr>
              <w:spacing w:after="0"/>
              <w:rPr>
                <w:sz w:val="14"/>
                <w:szCs w:val="14"/>
                <w:color w:val="auto"/>
              </w:rPr>
            </w:pPr>
          </w:p>
        </w:tc>
      </w:tr>
      <w:tr>
        <w:trPr>
          <w:trHeight w:val="230"/>
        </w:trPr>
        <w:tc>
          <w:tcPr>
            <w:tcW w:w="226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2021</w:t>
            </w:r>
          </w:p>
        </w:tc>
        <w:tc>
          <w:tcPr>
            <w:tcW w:w="3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6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2023</w:t>
            </w:r>
          </w:p>
        </w:tc>
        <w:tc>
          <w:tcPr>
            <w:tcW w:w="3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6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2025-2029</w:t>
            </w:r>
          </w:p>
        </w:tc>
        <w:tc>
          <w:tcPr>
            <w:tcW w:w="3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260" w:type="dxa"/>
            <w:vAlign w:val="bottom"/>
          </w:tcPr>
          <w:p>
            <w:pPr>
              <w:spacing w:after="0"/>
              <w:rPr>
                <w:sz w:val="20"/>
                <w:szCs w:val="20"/>
                <w:color w:val="auto"/>
              </w:rPr>
            </w:pPr>
          </w:p>
        </w:tc>
      </w:tr>
      <w:tr>
        <w:trPr>
          <w:trHeight w:val="647"/>
        </w:trPr>
        <w:tc>
          <w:tcPr>
            <w:tcW w:w="2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jc w:val="right"/>
              <w:ind w:right="2110"/>
              <w:spacing w:after="0"/>
              <w:rPr>
                <w:sz w:val="20"/>
                <w:szCs w:val="20"/>
                <w:color w:val="auto"/>
              </w:rPr>
            </w:pPr>
            <w:r>
              <w:rPr>
                <w:rFonts w:ascii="Arial" w:cs="Arial" w:eastAsia="Arial" w:hAnsi="Arial"/>
                <w:sz w:val="18"/>
                <w:szCs w:val="18"/>
                <w:color w:val="auto"/>
              </w:rPr>
              <w:t>60</w:t>
            </w: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3"/>
              </w:rPr>
              <w:t>As of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Trade promotion allowances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b w:val="1"/>
                <w:bCs w:val="1"/>
                <w:color w:val="auto"/>
              </w:rPr>
              <w:t>Accrued and other current liabilities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11 - Other Expense, Net</w:t>
            </w: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6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3"/>
          </w:tcPr>
          <w:p>
            <w:pPr>
              <w:ind w:left="520"/>
              <w:spacing w:after="0"/>
              <w:rPr>
                <w:sz w:val="20"/>
                <w:szCs w:val="20"/>
                <w:color w:val="auto"/>
              </w:rPr>
            </w:pPr>
            <w:r>
              <w:rPr>
                <w:rFonts w:ascii="Arial" w:cs="Arial" w:eastAsia="Arial" w:hAnsi="Arial"/>
                <w:sz w:val="18"/>
                <w:szCs w:val="18"/>
                <w:color w:val="auto"/>
              </w:rPr>
              <w:t>Other expense, net consisted of the following:</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60" w:type="dxa"/>
            <w:vAlign w:val="bottom"/>
            <w:gridSpan w:val="14"/>
          </w:tcPr>
          <w:p>
            <w:pPr>
              <w:jc w:val="center"/>
              <w:ind w:right="72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Factoring discount </w:t>
            </w:r>
            <w:r>
              <w:rPr>
                <w:rFonts w:ascii="Arial" w:cs="Arial" w:eastAsia="Arial" w:hAnsi="Arial"/>
                <w:sz w:val="15"/>
                <w:szCs w:val="15"/>
                <w:color w:val="auto"/>
              </w:rPr>
              <w:t>(1)</w:t>
            </w:r>
          </w:p>
        </w:tc>
        <w:tc>
          <w:tcPr>
            <w:tcW w:w="12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 xml:space="preserve">Allocated related party Management Fee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15"/>
                <w:szCs w:val="15"/>
                <w:color w:val="auto"/>
              </w:rPr>
              <w:t>(3)</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Other expense, net</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00" w:hanging="492"/>
        <w:spacing w:after="0" w:line="25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discussed in Note 2 - Summary of Significant Accounting Policies, we participated in an accounts receivable factoring arrangement with RGHL Group whereby we transferred substantially all of our U.S. accounts receivable in their entirety to RGHL Group and satisfied all of the conditions to report the transfer of financial assets in their entirety as a sale. The fair value of assets received as proceeds in exchange for the transfer of accounts receivable under this factoring arrangement approximates the fair value of such receivables. We recognized losses of $25 million, $22 million and $19 million for the years ended December 31, 2019, 2018 and 2017, respectively, which represents the discount from book values at which these accounts receivable were sold to RGHL Group.</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RGHL Group’s financing agreements permit the payment to related parties of management, consulting, monitoring and advising fees (the “Management Fee”) of up to 1.5% of RGHL Group’s Adjusted EBITDA (as defined in RGHL Group's financing agreements) for the previous year. We had been allocated a portion of this Management Fee based on our portion of RGHL Group's Adjusted EBITDA.</w:t>
      </w:r>
    </w:p>
    <w:p>
      <w:pPr>
        <w:spacing w:after="0" w:line="1"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allocated costs during the year ended December 31, 2019 related to the IPO process that cannot be deferred and offset against the IPO proceeds, as well as costs related to our preparations to operate as a stand-alone public company.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are from time to time party to litigation, legal proceedings and tax examinations arising from our operations. Most of these matters involve allegations of damages against us relating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9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December 31, 2019, there were no legal proceedings pending other than those for which we have determined that the possibility of a material outflow is remote.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certain of our entities and other related entities within RGHL Group had guaranteed certain borrowings of RGHL Group.</w:t>
      </w:r>
    </w:p>
    <w:p>
      <w:pPr>
        <w:spacing w:after="0" w:line="24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Certain of our entities and other related entities within RGHL Group have granted security over their assets to support the secured obligations. The equity interests in certain of our entities had been pledged as collateral to support the secured obligations. We would only be liable under these guarantees in the event of default by RGHL Group on its obligations, the probability of which we believe is remote. As a result of these arrangements, substantially all of our assets were pledged as security for the secured obligations.</w:t>
      </w:r>
    </w:p>
    <w:p>
      <w:pPr>
        <w:spacing w:after="0" w:line="1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Under the RGHL Group Credit Agreement, all of the U.S. Term Loan borrowers are jointly and severally liable for the outstanding principal. The total principal balance outstanding for the U.S. Term Loan was $3,215 million and $3,248 million as of December 31, 2019 and 2018, respectively. These amounts include the $2,017 million and $2,037 million presented on our combined balance sheets as of December 31, 2019 and 2018, respectively. We have not recognized a liability for the additional outstanding principal as we would only be liable under the agreement in the event of default by RGHL Group on its obligations, which we believe is remote.</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detailed in Note 17 – Subsequent Events, as of February 4, 2020, we were fully and unconditionally released from the guarantees of RGHL Group borrowings and the security we granted was also released.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Accumulated Other Comprehensive Income</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 Amounts reclassified from accumulated other comprehensive income to net income (net of tax) were net gains of $2 million, $1 million and $2 million for the years ended December 31, 2019, 2018 and 2017,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60" w:type="dxa"/>
            <w:vAlign w:val="bottom"/>
          </w:tcPr>
          <w:p>
            <w:pPr>
              <w:spacing w:after="0"/>
              <w:rPr>
                <w:sz w:val="13"/>
                <w:szCs w:val="13"/>
                <w:color w:val="auto"/>
              </w:rPr>
            </w:pPr>
          </w:p>
        </w:tc>
        <w:tc>
          <w:tcPr>
            <w:tcW w:w="84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Balance as of beginning of period</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Currency translation adjustments</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40"/>
              <w:spacing w:after="0"/>
              <w:rPr>
                <w:sz w:val="20"/>
                <w:szCs w:val="20"/>
                <w:color w:val="auto"/>
              </w:rPr>
            </w:pPr>
            <w:r>
              <w:rPr>
                <w:rFonts w:ascii="Arial" w:cs="Arial" w:eastAsia="Arial" w:hAnsi="Arial"/>
                <w:sz w:val="18"/>
                <w:szCs w:val="18"/>
                <w:color w:val="auto"/>
              </w:rPr>
              <w:t>Other comprehensive income (loss)</w:t>
            </w: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as of end of period</w:t>
            </w: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Postretirement benefit plan: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as of beginning of period</w:t>
            </w:r>
          </w:p>
        </w:tc>
        <w:tc>
          <w:tcPr>
            <w:tcW w:w="840" w:type="dxa"/>
            <w:vAlign w:val="bottom"/>
            <w:shd w:val="clear" w:color="auto" w:fill="CFF0FC"/>
          </w:tcPr>
          <w:p>
            <w:pPr>
              <w:jc w:val="right"/>
              <w:ind w:right="653"/>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Adoption of new accounting principle</w:t>
            </w: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actuarial gain (loss) arising during period</w:t>
            </w: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Deferred tax (expense) benefit on net actuarial gain (loss)</w:t>
            </w: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(Gains) and losses reclassified into net income:</w:t>
            </w: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480"/>
              <w:spacing w:after="0"/>
              <w:rPr>
                <w:sz w:val="20"/>
                <w:szCs w:val="20"/>
                <w:color w:val="auto"/>
              </w:rPr>
            </w:pPr>
            <w:r>
              <w:rPr>
                <w:rFonts w:ascii="Arial" w:cs="Arial" w:eastAsia="Arial" w:hAnsi="Arial"/>
                <w:sz w:val="18"/>
                <w:szCs w:val="18"/>
                <w:color w:val="auto"/>
              </w:rPr>
              <w:t>Amortization of actuarial gain</w:t>
            </w:r>
          </w:p>
        </w:tc>
        <w:tc>
          <w:tcPr>
            <w:tcW w:w="8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Deferred tax benefit on reclassifications </w:t>
            </w:r>
            <w:r>
              <w:rPr>
                <w:rFonts w:ascii="Arial" w:cs="Arial" w:eastAsia="Arial" w:hAnsi="Arial"/>
                <w:sz w:val="15"/>
                <w:szCs w:val="15"/>
                <w:color w:val="auto"/>
              </w:rPr>
              <w:t>(1)</w:t>
            </w:r>
          </w:p>
        </w:tc>
        <w:tc>
          <w:tcPr>
            <w:tcW w:w="8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40"/>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end of period</w:t>
            </w:r>
          </w:p>
        </w:tc>
        <w:tc>
          <w:tcPr>
            <w:tcW w:w="840" w:type="dxa"/>
            <w:vAlign w:val="bottom"/>
            <w:tcBorders>
              <w:top w:val="single" w:sz="8" w:color="auto"/>
              <w:bottom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as of beginning of period</w:t>
            </w:r>
          </w:p>
        </w:tc>
        <w:tc>
          <w:tcPr>
            <w:tcW w:w="840" w:type="dxa"/>
            <w:vAlign w:val="bottom"/>
            <w:shd w:val="clear" w:color="auto" w:fill="CFF0FC"/>
          </w:tcPr>
          <w:p>
            <w:pPr>
              <w:jc w:val="right"/>
              <w:ind w:right="653"/>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Adoption of new accounting principle</w:t>
            </w: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Balance as of end of period</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right="5400" w:hanging="5532"/>
        <w:spacing w:after="0" w:line="835" w:lineRule="auto"/>
        <w:tabs>
          <w:tab w:leader="none" w:pos="51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Taxes reclassified to income are recorded in income tax (expense) benefit.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During the years presented, our U.S. operations were included in the consolidated U.S. federal, certain state and local tax returns filed by RGHL Group. We also file certain separate U.S. state and local and foreign income tax returns. The income tax (expense) benefit included in our combined statements of income has been calculated using the separate return basis. In the future, as a stand-alone entity, we will file tax returns on our own behalf, and our deferred taxes and effective tax rate may differ from those in the historical periods.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before income tax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8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income before income taxes</w:t>
            </w:r>
          </w:p>
        </w:tc>
        <w:tc>
          <w:tcPr>
            <w:tcW w:w="1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520"/>
              <w:spacing w:after="0"/>
              <w:rPr>
                <w:sz w:val="20"/>
                <w:szCs w:val="20"/>
                <w:color w:val="auto"/>
              </w:rPr>
            </w:pPr>
            <w:r>
              <w:rPr>
                <w:rFonts w:ascii="Arial" w:cs="Arial" w:eastAsia="Arial" w:hAnsi="Arial"/>
                <w:sz w:val="18"/>
                <w:szCs w:val="18"/>
                <w:color w:val="auto"/>
                <w:w w:val="94"/>
              </w:rPr>
              <w:t>Significant components of income tax expense were as follows:</w:t>
            </w:r>
          </w:p>
        </w:tc>
        <w:tc>
          <w:tcPr>
            <w:tcW w:w="1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Federal</w:t>
            </w:r>
          </w:p>
        </w:tc>
        <w:tc>
          <w:tcPr>
            <w:tcW w:w="18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current income tax expense (benefit)</w:t>
            </w: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w:t>
            </w:r>
          </w:p>
        </w:tc>
        <w:tc>
          <w:tcPr>
            <w:tcW w:w="1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Federal</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deferred income tax expense (benefit)</w:t>
            </w:r>
          </w:p>
        </w:tc>
        <w:tc>
          <w:tcPr>
            <w:tcW w:w="1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20" w:type="dxa"/>
            <w:vAlign w:val="bottom"/>
            <w:vMerge w:val="restart"/>
          </w:tcPr>
          <w:p>
            <w:pPr>
              <w:jc w:val="right"/>
              <w:ind w:right="637"/>
              <w:spacing w:after="0"/>
              <w:rPr>
                <w:sz w:val="20"/>
                <w:szCs w:val="20"/>
                <w:color w:val="auto"/>
              </w:rPr>
            </w:pPr>
            <w:r>
              <w:rPr>
                <w:rFonts w:ascii="Arial" w:cs="Arial" w:eastAsia="Arial" w:hAnsi="Arial"/>
                <w:sz w:val="18"/>
                <w:szCs w:val="18"/>
                <w:color w:val="auto"/>
              </w:rPr>
              <w:t>63</w:t>
            </w: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9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 reconciliation of income taxes computed at the U.S. Federal statutory income tax rate of 21% for 2019 and 2018, and 35% for 2017, to our income tax expense (benefit) was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5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11"/>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9"/>
                <w:szCs w:val="19"/>
                <w:color w:val="auto"/>
              </w:rPr>
            </w:pPr>
          </w:p>
        </w:tc>
      </w:tr>
      <w:tr>
        <w:trPr>
          <w:trHeight w:val="223"/>
        </w:trPr>
        <w:tc>
          <w:tcPr>
            <w:tcW w:w="4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expense at the statutory rate</w:t>
            </w:r>
          </w:p>
        </w:tc>
        <w:tc>
          <w:tcPr>
            <w:tcW w:w="144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U.S. State income tax expense</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Tax differential on foreign earnings</w:t>
            </w: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Non-deductible stewardship costs</w:t>
            </w: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Non-deductible transaction costs</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U.S. tax reform</w:t>
            </w: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Manufacturing tax benefits</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Return to provision adjustments</w:t>
            </w: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7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While our foreign activities are conducted through corporations, in these combined financial statements, these foreign corporations are not foreign controlled subsidiaries. Accordingly, there are no undistributed earnings of foreign subsidiaries.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"Act"), which included the reduction of the U.S. federal tax rate from a maximum of 35% to a flat rate of 21%, effective January 1, 2018. The reduction in the tax rate resulted in a tax benefit of $172 million related to the remeasurement of net deferred tax liabilities that is recognized in the combined statements of income for the year ended December 31,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The components of our net deferred income tax liability were as follows: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040" w:type="dxa"/>
            <w:vAlign w:val="bottom"/>
            <w:tcBorders>
              <w:bottom w:val="single" w:sz="8" w:color="auto"/>
            </w:tcBorders>
            <w:gridSpan w:val="5"/>
          </w:tcPr>
          <w:p>
            <w:pPr>
              <w:jc w:val="right"/>
              <w:ind w:right="167"/>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gridSpan w:val="4"/>
          </w:tcPr>
          <w:p>
            <w:pPr>
              <w:jc w:val="right"/>
              <w:ind w:right="407"/>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740" w:type="dxa"/>
            <w:vAlign w:val="bottom"/>
            <w:gridSpan w:val="2"/>
          </w:tcPr>
          <w:p>
            <w:pPr>
              <w:jc w:val="right"/>
              <w:ind w:right="567"/>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Derivatives</w:t>
            </w:r>
          </w:p>
        </w:tc>
        <w:tc>
          <w:tcPr>
            <w:tcW w:w="72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Reserves</w:t>
            </w: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Tax losses</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credits</w:t>
            </w: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15"/>
                <w:szCs w:val="15"/>
                <w:color w:val="auto"/>
              </w:rPr>
              <w:t>(1)</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 after valuation allowance</w:t>
            </w:r>
          </w:p>
        </w:tc>
        <w:tc>
          <w:tcPr>
            <w:tcW w:w="7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(287)</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(288)</w:t>
            </w: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7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(357)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(348)</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Net deferred tax liabilities</w:t>
            </w: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(296)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result of the Act, $95 million and $36 million of interest expense was not deductible for the years ended December 31, 2018 and 2019, respectively, and has been deferred.</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State and foreign net operating loss and tax credit carryforwards, presented on a gross basis,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4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State and foreign net operating loss carryforwards</w:t>
            </w: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Expires within 5 years</w:t>
            </w:r>
          </w:p>
        </w:tc>
        <w:tc>
          <w:tcPr>
            <w:tcW w:w="1640" w:type="dxa"/>
            <w:vAlign w:val="bottom"/>
            <w:gridSpan w:val="2"/>
          </w:tcPr>
          <w:p>
            <w:pPr>
              <w:jc w:val="right"/>
              <w:ind w:right="57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9"/>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Expires after 5 years or no expiration</w:t>
            </w:r>
          </w:p>
        </w:tc>
        <w:tc>
          <w:tcPr>
            <w:tcW w:w="8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r>
      <w:tr>
        <w:trPr>
          <w:trHeight w:val="26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net operating loss carryforwards</w:t>
            </w:r>
          </w:p>
        </w:tc>
        <w:tc>
          <w:tcPr>
            <w:tcW w:w="88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8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80" w:type="dxa"/>
            <w:vAlign w:val="bottom"/>
            <w:tcBorders>
              <w:bottom w:val="single" w:sz="8" w:color="CFF0FC"/>
            </w:tcBorders>
          </w:tcPr>
          <w:p>
            <w:pPr>
              <w:spacing w:after="0"/>
              <w:rPr>
                <w:sz w:val="22"/>
                <w:szCs w:val="22"/>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Tax credit carryforwards</w:t>
            </w:r>
          </w:p>
        </w:tc>
        <w:tc>
          <w:tcPr>
            <w:tcW w:w="8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Expires within 5 years</w:t>
            </w:r>
          </w:p>
        </w:tc>
        <w:tc>
          <w:tcPr>
            <w:tcW w:w="1640" w:type="dxa"/>
            <w:vAlign w:val="bottom"/>
            <w:gridSpan w:val="2"/>
          </w:tcPr>
          <w:p>
            <w:pPr>
              <w:jc w:val="right"/>
              <w:ind w:right="57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tax credit carryforwards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Deferred tax assets related to state and foreign net operating loss carryovers and state tax credit carryovers are available to offset future state taxable earnings. We have provided a valuation allowance to reduce the carrying value of certain of these deferred tax assets, as we have concluded that, based on the available evidence, it is more likely than not that the deferred tax assets will not be fully realized. Valuation allowances were $3 million as of both December 31, 2019 and 2018. There were no material changes in valuation allowances in any of the years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our gross unrecognized tax benefits: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6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15"/>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9"/>
                <w:szCs w:val="19"/>
                <w:color w:val="auto"/>
              </w:rPr>
            </w:pPr>
          </w:p>
        </w:tc>
      </w:tr>
      <w:tr>
        <w:trPr>
          <w:trHeight w:val="223"/>
        </w:trPr>
        <w:tc>
          <w:tcPr>
            <w:tcW w:w="4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the year</w:t>
            </w:r>
          </w:p>
        </w:tc>
        <w:tc>
          <w:tcPr>
            <w:tcW w:w="138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Increase associated with tax positions taken during the</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year</w:t>
            </w:r>
          </w:p>
        </w:tc>
        <w:tc>
          <w:tcPr>
            <w:tcW w:w="7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20"/>
                <w:szCs w:val="20"/>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unrecognized tax benefits</w:t>
            </w:r>
          </w:p>
        </w:tc>
        <w:tc>
          <w:tcPr>
            <w:tcW w:w="7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Accrued interest and penalties related to unrecognized tax benefits have been recorded in income tax expense. No expense for accrued interest and penalties was recognized during the years ended December 31, 2019, 2018 and 2017.</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Each year we file income tax returns in the various national, state and local income taxing jurisdictions in which we operate. Foreign jurisdictions comprise Canada and China.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22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period through to December 31, 2019, we were part of consolidated U.S. federal tax returns filed by RGHL Group. Under a Tax Matters Agreement, entered into as part of our corporate reorganization prior to our IPO, RGHL Group has retained responsibility for all U.S. federal tax matters for periods through to and including December 31, 2019.</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We are currently subject to a separate company New Jersey state income tax audit for the years 2013 through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open tax years for our Canadian income taxes are 2014 and forward. The open tax years for our Chinese income taxes are 2015 and forward.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 current or recent tax audits in either Canada or China.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Paid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Taxes paid were $4 million, $8 million and $7 million for the years ended December 31, 2019, 2018 and 2017, respectively.</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U.S. entities were members of a consolidated U.S. tax entity group for federal and certain state tax returns. The current U.S. federal and state tax liabilities of our U.S. entities was aggregated with the other members of the consolidated U.S. tax entity group and settled on a net basis by a related party. There was no formal tax sharing agreement. The settlement of our current U.S. federal and state taxes was recognized directly as a movement in Net Parent deficit.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12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Our Chief Executive Officer, who has been identified as our Chief Operating Decision Maker ("CODM"), has evaluated how he views and measures our performance.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establishes the standards for reporting information about segments in financial statements. In applying the criteria set forth in ASC 280, and in conjunction with a management realignment in June 2019,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Reynolds Cooking &amp; Baking segment produces branded and store brand foil, disposable 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products are sold under the Hefty Ultra Strong, Hefty Strong Trash Bags, Hefty Renew and Hefty Slider Bags brands.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and compostable plates, bowls, platters, cups and cutlery. Our Hefty branded products include dishes and party cups.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by Segment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Adjusted EBITDA represents each segment's earnings before interest, tax, depreciation and amortization and is further adjusted to exclude unrealized gains and losses on derivatives, costs associated with rationalizing operations and administrative functions, factoring discounts, amortization of actuarial gains, the allocated related party Management Fee and transaction-related costs.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accounting policies applied by our segments are the same as those described in Note 2 - Summary of Significant Accounting Policies.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are at negotiated prices.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Reynolds</w:t>
            </w:r>
          </w:p>
        </w:tc>
        <w:tc>
          <w:tcPr>
            <w:tcW w:w="140" w:type="dxa"/>
            <w:vAlign w:val="bottom"/>
          </w:tcPr>
          <w:p>
            <w:pPr>
              <w:spacing w:after="0"/>
              <w:rPr>
                <w:sz w:val="13"/>
                <w:szCs w:val="13"/>
                <w:color w:val="auto"/>
              </w:rPr>
            </w:pPr>
          </w:p>
        </w:tc>
        <w:tc>
          <w:tcPr>
            <w:tcW w:w="76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Hefty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Cooking</w:t>
            </w:r>
          </w:p>
        </w:tc>
        <w:tc>
          <w:tcPr>
            <w:tcW w:w="140" w:type="dxa"/>
            <w:vAlign w:val="bottom"/>
          </w:tcPr>
          <w:p>
            <w:pPr>
              <w:spacing w:after="0"/>
              <w:rPr>
                <w:sz w:val="12"/>
                <w:szCs w:val="12"/>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Hefty</w:t>
            </w:r>
          </w:p>
        </w:tc>
        <w:tc>
          <w:tcPr>
            <w:tcW w:w="100" w:type="dxa"/>
            <w:vAlign w:val="bottom"/>
          </w:tcPr>
          <w:p>
            <w:pPr>
              <w:spacing w:after="0"/>
              <w:rPr>
                <w:sz w:val="12"/>
                <w:szCs w:val="12"/>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Presto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&amp; Baking</w:t>
            </w:r>
          </w:p>
        </w:tc>
        <w:tc>
          <w:tcPr>
            <w:tcW w:w="14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Storage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Tableware</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Products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total</w:t>
            </w:r>
          </w:p>
        </w:tc>
        <w:tc>
          <w:tcPr>
            <w:tcW w:w="10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6"/>
              </w:rPr>
              <w:t>Unallocated</w:t>
            </w:r>
            <w:r>
              <w:rPr>
                <w:rFonts w:ascii="Arial" w:cs="Arial" w:eastAsia="Arial" w:hAnsi="Arial"/>
                <w:sz w:val="11"/>
                <w:szCs w:val="11"/>
                <w:b w:val="1"/>
                <w:bCs w:val="1"/>
                <w:color w:val="auto"/>
                <w:w w:val="96"/>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20"/>
                <w:szCs w:val="20"/>
                <w:color w:val="auto"/>
              </w:rPr>
            </w:pPr>
            <w:r>
              <w:rPr>
                <w:rFonts w:ascii="Arial" w:cs="Arial" w:eastAsia="Arial" w:hAnsi="Arial"/>
                <w:sz w:val="13"/>
                <w:szCs w:val="13"/>
                <w:b w:val="1"/>
                <w:bCs w:val="1"/>
                <w:color w:val="auto"/>
              </w:rPr>
              <w:t>2019</w:t>
            </w:r>
          </w:p>
        </w:tc>
        <w:tc>
          <w:tcPr>
            <w:tcW w:w="6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Intersegment revenues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3,047</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Adjusted EBITDA</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Reynolds</w:t>
            </w:r>
          </w:p>
        </w:tc>
        <w:tc>
          <w:tcPr>
            <w:tcW w:w="140" w:type="dxa"/>
            <w:vAlign w:val="bottom"/>
          </w:tcPr>
          <w:p>
            <w:pPr>
              <w:spacing w:after="0"/>
              <w:rPr>
                <w:sz w:val="24"/>
                <w:szCs w:val="24"/>
                <w:color w:val="auto"/>
              </w:rPr>
            </w:pPr>
          </w:p>
        </w:tc>
        <w:tc>
          <w:tcPr>
            <w:tcW w:w="76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Cooking</w:t>
            </w:r>
          </w:p>
        </w:tc>
        <w:tc>
          <w:tcPr>
            <w:tcW w:w="140" w:type="dxa"/>
            <w:vAlign w:val="bottom"/>
          </w:tcPr>
          <w:p>
            <w:pPr>
              <w:spacing w:after="0"/>
              <w:rPr>
                <w:sz w:val="12"/>
                <w:szCs w:val="12"/>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Hefty</w:t>
            </w:r>
          </w:p>
        </w:tc>
        <w:tc>
          <w:tcPr>
            <w:tcW w:w="100" w:type="dxa"/>
            <w:vAlign w:val="bottom"/>
          </w:tcPr>
          <w:p>
            <w:pPr>
              <w:spacing w:after="0"/>
              <w:rPr>
                <w:sz w:val="12"/>
                <w:szCs w:val="12"/>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Presto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&amp; Baking</w:t>
            </w:r>
          </w:p>
        </w:tc>
        <w:tc>
          <w:tcPr>
            <w:tcW w:w="14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Storage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Tableware</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Products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total</w:t>
            </w:r>
          </w:p>
        </w:tc>
        <w:tc>
          <w:tcPr>
            <w:tcW w:w="10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6"/>
              </w:rPr>
              <w:t>Unallocated</w:t>
            </w:r>
            <w:r>
              <w:rPr>
                <w:rFonts w:ascii="Arial" w:cs="Arial" w:eastAsia="Arial" w:hAnsi="Arial"/>
                <w:sz w:val="11"/>
                <w:szCs w:val="11"/>
                <w:b w:val="1"/>
                <w:bCs w:val="1"/>
                <w:color w:val="auto"/>
                <w:w w:val="96"/>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20"/>
                <w:szCs w:val="20"/>
                <w:color w:val="auto"/>
              </w:rPr>
            </w:pPr>
            <w:r>
              <w:rPr>
                <w:rFonts w:ascii="Arial" w:cs="Arial" w:eastAsia="Arial" w:hAnsi="Arial"/>
                <w:sz w:val="13"/>
                <w:szCs w:val="13"/>
                <w:b w:val="1"/>
                <w:bCs w:val="1"/>
                <w:color w:val="auto"/>
              </w:rPr>
              <w:t>2018</w:t>
            </w:r>
          </w:p>
        </w:tc>
        <w:tc>
          <w:tcPr>
            <w:tcW w:w="6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Intersegment revenues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Adjusted EBITDA</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Reynolds</w:t>
            </w:r>
          </w:p>
        </w:tc>
        <w:tc>
          <w:tcPr>
            <w:tcW w:w="140" w:type="dxa"/>
            <w:vAlign w:val="bottom"/>
          </w:tcPr>
          <w:p>
            <w:pPr>
              <w:spacing w:after="0"/>
              <w:rPr>
                <w:sz w:val="24"/>
                <w:szCs w:val="24"/>
                <w:color w:val="auto"/>
              </w:rPr>
            </w:pPr>
          </w:p>
        </w:tc>
        <w:tc>
          <w:tcPr>
            <w:tcW w:w="76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Cooking</w:t>
            </w:r>
          </w:p>
        </w:tc>
        <w:tc>
          <w:tcPr>
            <w:tcW w:w="140" w:type="dxa"/>
            <w:vAlign w:val="bottom"/>
          </w:tcPr>
          <w:p>
            <w:pPr>
              <w:spacing w:after="0"/>
              <w:rPr>
                <w:sz w:val="12"/>
                <w:szCs w:val="12"/>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Hefty</w:t>
            </w:r>
          </w:p>
        </w:tc>
        <w:tc>
          <w:tcPr>
            <w:tcW w:w="100" w:type="dxa"/>
            <w:vAlign w:val="bottom"/>
          </w:tcPr>
          <w:p>
            <w:pPr>
              <w:spacing w:after="0"/>
              <w:rPr>
                <w:sz w:val="12"/>
                <w:szCs w:val="12"/>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Presto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Segment</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&amp; Baking</w:t>
            </w:r>
          </w:p>
        </w:tc>
        <w:tc>
          <w:tcPr>
            <w:tcW w:w="14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Storage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Tableware</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Products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total</w:t>
            </w:r>
          </w:p>
        </w:tc>
        <w:tc>
          <w:tcPr>
            <w:tcW w:w="10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6"/>
              </w:rPr>
              <w:t>Unallocated</w:t>
            </w:r>
            <w:r>
              <w:rPr>
                <w:rFonts w:ascii="Arial" w:cs="Arial" w:eastAsia="Arial" w:hAnsi="Arial"/>
                <w:sz w:val="11"/>
                <w:szCs w:val="11"/>
                <w:b w:val="1"/>
                <w:bCs w:val="1"/>
                <w:color w:val="auto"/>
                <w:w w:val="96"/>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20"/>
                <w:szCs w:val="20"/>
                <w:color w:val="auto"/>
              </w:rPr>
            </w:pPr>
            <w:r>
              <w:rPr>
                <w:rFonts w:ascii="Arial" w:cs="Arial" w:eastAsia="Arial" w:hAnsi="Arial"/>
                <w:sz w:val="13"/>
                <w:szCs w:val="13"/>
                <w:b w:val="1"/>
                <w:bCs w:val="1"/>
                <w:color w:val="auto"/>
              </w:rPr>
              <w:t>2017</w:t>
            </w:r>
          </w:p>
        </w:tc>
        <w:tc>
          <w:tcPr>
            <w:tcW w:w="6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Intersegment revenues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6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2,968</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Adjusted EBITDA</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500" w:hanging="492"/>
        <w:spacing w:after="0" w:line="255"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Unallocated includes eliminations of intersegment revenues, unallocated depreciation and amortization and unallocated assets, which are comprised of cash, accounts receivable, other receivables, entity-wide property, plant and equipment, entity-wide operating lease right-of-use assets, goodwill, intangible assets, related party receivables and other assets.</w:t>
      </w:r>
    </w:p>
    <w:p>
      <w:pPr>
        <w:spacing w:after="0" w:line="2"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Until October 31, 2019, the property, plant and equipment included in our Hefty Tableware segment was contributed to us from RGHL Group. No capital expenditures were incurred by us in relation to these items. Refer to Note 16 - Related Party Transactions for additional information. On November 1, 2019, as part of our separation from RGHL Group, we acquired the legal title to these assets.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segment Adjusted EBITDA to combined GAAP income before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center"/>
              <w:ind w:left="394"/>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w:t>
            </w:r>
          </w:p>
        </w:tc>
        <w:tc>
          <w:tcPr>
            <w:tcW w:w="8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Adjustments to reconcile to GAAP income before income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i w:val="1"/>
                <w:iCs w:val="1"/>
                <w:color w:val="auto"/>
              </w:rPr>
              <w:t>taxes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Factoring discount</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Allocated related party Management Fee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Unrealized gains (losses) on derivatives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Business rationalization costs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Combined GAAP income before income taxes</w:t>
            </w: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Information in Relation to Products</w:t>
            </w: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2"/>
          </w:tcPr>
          <w:p>
            <w:pPr>
              <w:ind w:left="520"/>
              <w:spacing w:after="0"/>
              <w:rPr>
                <w:sz w:val="20"/>
                <w:szCs w:val="20"/>
                <w:color w:val="auto"/>
              </w:rPr>
            </w:pPr>
            <w:r>
              <w:rPr>
                <w:rFonts w:ascii="Arial" w:cs="Arial" w:eastAsia="Arial" w:hAnsi="Arial"/>
                <w:sz w:val="18"/>
                <w:szCs w:val="18"/>
                <w:color w:val="auto"/>
              </w:rPr>
              <w:t>Net revenues by product line are as follows: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center"/>
              <w:ind w:left="394"/>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Waste and storage products </w:t>
            </w:r>
            <w:r>
              <w:rPr>
                <w:rFonts w:ascii="Arial" w:cs="Arial" w:eastAsia="Arial" w:hAnsi="Arial"/>
                <w:sz w:val="15"/>
                <w:szCs w:val="15"/>
                <w:color w:val="auto"/>
              </w:rPr>
              <w:t>(1)</w:t>
            </w:r>
          </w:p>
        </w:tc>
        <w:tc>
          <w:tcPr>
            <w:tcW w:w="8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Cooking products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Tableware</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1140"/>
              <w:spacing w:after="0"/>
              <w:rPr>
                <w:sz w:val="20"/>
                <w:szCs w:val="20"/>
                <w:color w:val="auto"/>
              </w:rPr>
            </w:pPr>
            <w:r>
              <w:rPr>
                <w:rFonts w:ascii="Arial" w:cs="Arial" w:eastAsia="Arial" w:hAnsi="Arial"/>
                <w:sz w:val="18"/>
                <w:szCs w:val="18"/>
                <w:b w:val="1"/>
                <w:bCs w:val="1"/>
                <w:color w:val="auto"/>
              </w:rPr>
              <w:t>Net revenues</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3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Geographic data for net revenues (recognized based on location of our business operations) and long-lived assets (representing property, plant and equipment)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center"/>
              <w:ind w:left="397"/>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8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7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3,079</w:t>
            </w:r>
          </w:p>
        </w:tc>
        <w:tc>
          <w:tcPr>
            <w:tcW w:w="5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1140"/>
              <w:spacing w:after="0"/>
              <w:rPr>
                <w:sz w:val="20"/>
                <w:szCs w:val="20"/>
                <w:color w:val="auto"/>
              </w:rPr>
            </w:pPr>
            <w:r>
              <w:rPr>
                <w:rFonts w:ascii="Arial" w:cs="Arial" w:eastAsia="Arial" w:hAnsi="Arial"/>
                <w:sz w:val="18"/>
                <w:szCs w:val="18"/>
                <w:b w:val="1"/>
                <w:bCs w:val="1"/>
                <w:color w:val="auto"/>
              </w:rPr>
              <w:t>Net revenues</w:t>
            </w:r>
          </w:p>
        </w:tc>
        <w:tc>
          <w:tcPr>
            <w:tcW w:w="25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500" w:type="dxa"/>
            <w:vAlign w:val="bottom"/>
            <w:vMerge w:val="restart"/>
          </w:tcPr>
          <w:p>
            <w:pPr>
              <w:jc w:val="right"/>
              <w:ind w:right="630"/>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6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gridSpan w:val="4"/>
          </w:tcPr>
          <w:p>
            <w:pPr>
              <w:jc w:val="right"/>
              <w:ind w:right="407"/>
              <w:spacing w:after="0" w:line="155"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assets</w:t>
            </w:r>
          </w:p>
        </w:tc>
        <w:tc>
          <w:tcPr>
            <w:tcW w:w="20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780" w:type="dxa"/>
            <w:vAlign w:val="bottom"/>
            <w:gridSpan w:val="2"/>
          </w:tcPr>
          <w:p>
            <w:pPr>
              <w:jc w:val="right"/>
              <w:ind w:right="58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9"/>
                <w:szCs w:val="19"/>
                <w:color w:val="auto"/>
              </w:rPr>
            </w:pPr>
          </w:p>
        </w:tc>
        <w:tc>
          <w:tcPr>
            <w:tcW w:w="760" w:type="dxa"/>
            <w:vAlign w:val="bottom"/>
            <w:gridSpan w:val="2"/>
          </w:tcPr>
          <w:p>
            <w:pPr>
              <w:jc w:val="right"/>
              <w:ind w:right="58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r>
      <w:tr>
        <w:trPr>
          <w:trHeight w:val="230"/>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020" w:type="dxa"/>
            <w:vAlign w:val="bottom"/>
          </w:tcPr>
          <w:p>
            <w:pPr>
              <w:spacing w:after="0"/>
              <w:rPr>
                <w:sz w:val="19"/>
                <w:szCs w:val="19"/>
                <w:color w:val="auto"/>
              </w:rPr>
            </w:pPr>
          </w:p>
        </w:tc>
        <w:tc>
          <w:tcPr>
            <w:tcW w:w="760" w:type="dxa"/>
            <w:vAlign w:val="bottom"/>
            <w:tcBorders>
              <w:bottom w:val="single" w:sz="8" w:color="auto"/>
            </w:tcBorders>
          </w:tcPr>
          <w:p>
            <w:pPr>
              <w:jc w:val="right"/>
              <w:ind w:right="582"/>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Entity-wide Disclosures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Net revenues from our largest customer and its affiliates were 43%, 40% and 39% of total net revenues for the years ended December 31, 2019, 2018 and 2017, respectively. The net revenues from our largest customer were recognized across all of our segments. No other customers accounted for 10% or more of our total net revenues in any of the periods presented. As a result of our participation in RGHL Group's factoring arrangement, there were no outstanding receivables with this customer as of December 31, 2019 and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parent is RGHL, the ultimate parent is Packaging Holdings Limited, and the ultimate shareholder is Mr. Graeme Hart.</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to the allocation of expenses for certain services related to group wide functions provided by RGHL Group discussed in Note 1 - Description of Business and Basis of Presentation, other transactions between us and RGHL Group are described below. As indicated, certain transactions are reflected in equity (deficit) in our combined balance sheets as Net Parent deficit and in our combined statements of cash flows as a financing activity in net transfers from Parent.</w:t>
      </w:r>
    </w:p>
    <w:p>
      <w:pPr>
        <w:spacing w:after="0" w:line="18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For the years ended December 31, 2019, 2018 and 2017, revenues from product sold to RGHL Group were $149 million, $161 million and $148 million, respectively, and the related costs of sales were $145 million, $155 million and $144 million, respectively. For each of the years ended December 31, 2019, 2018 and 2017, we charged RGHL Group $2 million of our warehousing costs, which were included in cost of sales. Current related party receivables were $14 million and $30 million as of December 31, 2019 and 2018, respectively. For the years ended December 31, 2019, 2018 and 2017, products purchased from RGHL Group were $438 million, $511 million and $492 million, respectively. For the years ended December 31, 2019, 2018 and 2017, RGHL Group charged us $134 million, $143 million and $120 million, respectively, of their freight and warehousing costs, which were included in cost of sales. Current related party payables were $72 million and $268 million as of December 31, 2019 and 2018, respectively. These related party receivables and payables are settled regularly with RGHL Group in the normal course of business.</w:t>
      </w:r>
    </w:p>
    <w:p>
      <w:pPr>
        <w:spacing w:after="0" w:line="17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November 1, 2019, as part of our separation from RGHL Group, we acquired the legal title to certain property, plant and equipment and inventories from RGHL Group for cash consideration of $112 million which represented fair market value and is presented within net transfers from (to) Parent in our combined statements of cash flows. These assets are directly attributable to our business and have been historically reflected in our combined financial statements, at their respective net book values, within our Hefty Tableware segment. During the periods presented up until October 31, 2019, RGHL Group incurred capital expenditures on property, plant and equipment related to our Hefty Tableware segment of $14 million, $17 million and $5 million, respectively. We acquired the legal title to these assets on November 1, 2019.</w:t>
      </w:r>
    </w:p>
    <w:p>
      <w:pPr>
        <w:spacing w:after="0" w:line="17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have written interest-bearing loan agreements in place with RGHL Group which are presented as related party long-term receivables and related party borrowings on our combined balance sheets. Prior to our separation from RGHL Group, these balances were expected to be settled in cash. In June 2019, our non-current related party receivables and a portion of current related party receivables were used to reduce the balances outstanding of various related party borrowings, related party accrued interest payable and related party payables. As a result of this process, we net settled related party borrowings of $1,714 million, related party accrued interest payable of $655 million and related party payables of $94 million. Accordingly, we had no related party long-term receivables as of December 31, 2019. Related party long-term receivables were $2,401 million as of December 31, 2018. During the year ended December 31, 2017, $162 million of related party long-term receivables from RGHL Group were offset against current income taxes payable. Related party borrowings were $2,214 million and $3,950 million as of December 31, 2019 and 2018, respectively. Related party accrued interest payable was $18 million and $576 million as of December 31, 2019 and 2018, respectively. We remit accrued interest payable to RGHL Group as and when requested in conjunction with its cash management activities. Interest expense and income related to these loan agreements are discussed in Note 6 - Debt and Borrowing Arrangements and are accrued based on the written loan agreements. During the years ended December 31, 2019, 2018 and 2017 we borrowed $98 million ($31 million non-cash), $338 million and $416 million, respectively, from RGHL Group and repaid borrowings of $141 million, $314 million and $456 million ($3 million non-cash), respectively. In addition, during the year ended December 31, 2019, $36 million of accrued interest was capitalized into related party borrowings. During the years ended December 31, 2019, 2018 and 2017 we advanced loans of $170 million, $537 million and $508 million, respectively, to RGHL Group and received repayments of $151 million, $65 million and $200 million,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7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weighted average contractual interest rate related to our related party borrowings as of December 31, 2019, 2018 and 2017, was 2.20%, 6.00% and 6.28%, respectively. Below is a schedule of maturity of our related party borrowings as of December 31, 2019. The fair value of our related party borrowings as of December 31, 2019 and 2018, which is a Level 2 fair value measurement, approximates the carrying value.</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80" w:type="dxa"/>
            <w:vAlign w:val="bottom"/>
            <w:shd w:val="clear" w:color="auto" w:fill="CFF0FC"/>
          </w:tcPr>
          <w:p>
            <w:pPr>
              <w:spacing w:after="0"/>
              <w:rPr>
                <w:sz w:val="19"/>
                <w:szCs w:val="19"/>
                <w:color w:val="auto"/>
              </w:rPr>
            </w:pPr>
          </w:p>
        </w:tc>
      </w:tr>
      <w:tr>
        <w:trPr>
          <w:trHeight w:val="229"/>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Related party borrowings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discussed in Note 2 - Summary of Significant Accounting Policies, we also participated in RGHL Group's accounts receivable factoring arrangement whereby certain of our accounts receivable were sold at a discount to RGHL Group. Costs for participating in the factoring arrangement are disclosed in Note 11 - Other Expense, Net.</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our U.S. entities were members of a consolidated U.S. tax entity group for federal and certain state tax returns. The current U.S. federal and state tax liabilities of our U.S. entities was aggregated with the other members of the consolidated U.S. tax entity group and settled on a net basis by a related party. There was no formal tax sharing agreement. The settlement of our current U.S. federal and state taxes was recognized directly as a movement in Net Parent deficit.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13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February 4, 2020 we completed our separation from RGHL Group and an IPO of our common stock pursuant to a Registration Statement on Form S-1. In the IPO, we sold an aggregate of 54,245,500 shares of common stock, including 7,075,500 shares of common stock purchased by the underwriters on February 7, 2020 pursuant to their option to purchase additional shares, under the Registration Statement at a public offering price of $26.00 per share. We received net proceeds of $1,336 million in the IPO, after deducting underwriting discounts and commissions of $67 million and other expenses of $7 million.</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conjunction with our separation from RGHL Group and IPO, subsequent to December 31, 2019, we entered into the following transactions: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entity reorganization</w:t>
      </w:r>
    </w:p>
    <w:p>
      <w:pPr>
        <w:spacing w:after="0" w:line="117"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We reorganized the legal structure of our entities so they are all under a single parent entity, Reynolds Consumer Products Inc. In conjunction with this, we acquired from RGHL Group the issued capital of certain non-U.S. entities that are part of Reynolds Consumer Products for $15 million in cash.</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Net Parent investment to additional paid-in capital and establishment of share capital</w:t>
      </w:r>
    </w:p>
    <w:p>
      <w:pPr>
        <w:spacing w:after="0" w:line="11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We reclassified RGHL Group’s historical net investment in us to additional paid-in capital and established share capital consisting of shares of common stock. Each share of our outstanding common stock, immediately prior to our IPO, was exchanged into 155,455 shares of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accounts receivables previously sold to RGHL Group</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As detailed in Note 2 – Summary of Significant Accounting Policies, we have historically sold all of our U.S. accounts receivable to an entity within RGHL Group. These factoring arrangements with RGHL Group ceased upon our separation from RGHL Group and IPO. On January 30, 2020, we repurchased all of the U.S. accounts receivable that we previously sold through RGHL Group’s securitization facility for $264 million, $240 million of which was settled in cash and the remaining amount used to settle certain current related party receivables. The cash to purchase these receivables was provided by an increase in related party borrowings, which was subsequently settled, as discussed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Reallocation of borrowings under the RGHL Group Credit Agreement</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detailed in Note 6 – Debt and Borrowing Arrangements, as of December 31, 2019, we had incurred $2,017 million of borrowings under the RGHL Group Credit Agreement. On January 30, 2020, our outstanding borrowings, net of deferred financing transaction costs and original issue discounts plus accrued interest incurred under the RGHL Group Credit Agreement were reallocated to an entity within RGHL Group and on February 4, 2020, we were fully and unconditionally released from the security and guarantee arrangements relating to RGHL Group’s borrowings as discussed in Note 12 – Commitments and Contingencies. This reallocation resulted in a payment to RGHL Group of $8 million for accrued interest and an increase in related party borrowings, which was subsequently settled as discussed below.</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external debt</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February 4, 2020, we entered into new external debt facilities (“External Debt Facilities”), which consist of (i) a $2,475 million senior secured term loan facility (“Term Loan Facility”); (ii) a $250 million senior secured revolving credit facility (“Revolving Facility”); and (iii) a $1,168 million facility which was drawn and repaid on February 4, 2020 (“IPO Settlement Facility”).</w:t>
      </w:r>
    </w:p>
    <w:p>
      <w:pPr>
        <w:spacing w:after="0" w:line="22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Term Loan Facility matures in February 2027. The Revolving Facility matures in February 2025, is undrawn and includes a sub-facility for letters of credit. Borrowings under the External Debt Facilities bear interest at a rate per annum equal to, at our option, either a base rate or a LIBO rate plus an applicable margin of 1.75%. The Term Loan Facility amortizes in equal quarterly installments in an aggregate annual amount equal to 1.00% of the original principal amount thereon, with the balance being payable on maturity.</w:t>
      </w:r>
    </w:p>
    <w:p>
      <w:pPr>
        <w:spacing w:after="0" w:line="22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proceeds from the Term Loan Facility and the IPO Settlement Facility, net of transaction costs, together with available cash, were used to repay accrued related party interest and a portion of the related party loans payable.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related party borrowings and accrued interest</w:t>
      </w:r>
    </w:p>
    <w:p>
      <w:pPr>
        <w:spacing w:after="0" w:line="11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On February 4, 2020, we repaid related party borrowings and accrued interest owing to RGHL Group of $1,375 million and capitalized, as additional paid-in capital without the issuance of any additional shares, the remaining balance of the related party borrowings owing to RGHL Group.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February 4, 2020, in conjunction with our separation from RGHL Group, we entered into a transition services agreement with Reynolds Group Holdings Inc. whereby RGHL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entered into a transition services agreement with Rank Group Limited whereby, upon our request, Rank Group Limited will provide certain administrative services to us, including financial reporting, consulting and compliance services, insurance procurement and human resources support, legal and corporate secretarial support, and related services for up to 24 months.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and diluted earnings per share</w:t>
      </w:r>
    </w:p>
    <w:p>
      <w:pPr>
        <w:spacing w:after="0" w:line="13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Basic and diluted earnings per share is computed by dividing the net income for the year by the weighted average number of common shares outstanding during the year. The weighted average number of shares outstanding for the basic and diluted earnings per share for the year is based on the number of shares of common stock outstanding on February 4, 2020, immediately prior to our IPO.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Reynolds Consumer Group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earnings per share information for each of the three years in the period ended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center"/>
              <w:ind w:left="697"/>
              <w:spacing w:after="0"/>
              <w:rPr>
                <w:sz w:val="20"/>
                <w:szCs w:val="20"/>
                <w:color w:val="auto"/>
              </w:rPr>
            </w:pPr>
            <w:r>
              <w:rPr>
                <w:rFonts w:ascii="Arial" w:cs="Arial" w:eastAsia="Arial" w:hAnsi="Arial"/>
                <w:sz w:val="14"/>
                <w:szCs w:val="14"/>
                <w:b w:val="1"/>
                <w:bCs w:val="1"/>
                <w:color w:val="auto"/>
                <w:w w:val="92"/>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13"/>
              <w:spacing w:after="0" w:line="15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5"/>
        </w:trPr>
        <w:tc>
          <w:tcPr>
            <w:tcW w:w="4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40" w:type="dxa"/>
            <w:vAlign w:val="bottom"/>
            <w:gridSpan w:val="5"/>
          </w:tcPr>
          <w:p>
            <w:pPr>
              <w:jc w:val="center"/>
              <w:ind w:right="153"/>
              <w:spacing w:after="0" w:line="155" w:lineRule="exact"/>
              <w:rPr>
                <w:sz w:val="20"/>
                <w:szCs w:val="20"/>
                <w:color w:val="auto"/>
              </w:rPr>
            </w:pPr>
            <w:r>
              <w:rPr>
                <w:rFonts w:ascii="Arial" w:cs="Arial" w:eastAsia="Arial" w:hAnsi="Arial"/>
                <w:sz w:val="14"/>
                <w:szCs w:val="14"/>
                <w:b w:val="1"/>
                <w:bCs w:val="1"/>
                <w:color w:val="auto"/>
                <w:w w:val="91"/>
              </w:rPr>
              <w:t>(in millions, except share and per share data)</w:t>
            </w:r>
          </w:p>
        </w:tc>
        <w:tc>
          <w:tcPr>
            <w:tcW w:w="10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Earnings per share</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1.45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1.13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Basic</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155,455,000</w:t>
            </w:r>
          </w:p>
        </w:tc>
        <w:tc>
          <w:tcPr>
            <w:tcW w:w="38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155,455,000</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155,455,000</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155,455,000</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155,455,000</w:t>
            </w: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155,455,000</w:t>
            </w:r>
          </w:p>
        </w:tc>
        <w:tc>
          <w:tcPr>
            <w:tcW w:w="10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cash dividend</w:t>
      </w:r>
    </w:p>
    <w:p>
      <w:pPr>
        <w:spacing w:after="0" w:line="22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On March 5, 2020, the Company declared a cash dividend for the first quarter of 2020 of $0.15 per common share, which will be paid on April 30, 2020 to shareholders of record as of March 16, 2020.</w:t>
      </w:r>
    </w:p>
    <w:p>
      <w:pPr>
        <w:spacing w:after="0" w:line="251"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Except as described above, there have been no events subsequent to December 31, 2019 which would require accrual or disclosure in these combined financial statements.</w:t>
      </w: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selected quarterly financial data for the years ended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2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1st</w:t>
            </w:r>
          </w:p>
        </w:tc>
        <w:tc>
          <w:tcPr>
            <w:tcW w:w="220" w:type="dxa"/>
            <w:vAlign w:val="bottom"/>
          </w:tcPr>
          <w:p>
            <w:pPr>
              <w:spacing w:after="0"/>
              <w:rPr>
                <w:sz w:val="11"/>
                <w:szCs w:val="11"/>
                <w:color w:val="auto"/>
              </w:rPr>
            </w:pPr>
          </w:p>
        </w:tc>
        <w:tc>
          <w:tcPr>
            <w:tcW w:w="78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2nd</w:t>
            </w:r>
          </w:p>
        </w:tc>
        <w:tc>
          <w:tcPr>
            <w:tcW w:w="240" w:type="dxa"/>
            <w:vAlign w:val="bottom"/>
          </w:tcPr>
          <w:p>
            <w:pPr>
              <w:spacing w:after="0"/>
              <w:rPr>
                <w:sz w:val="11"/>
                <w:szCs w:val="11"/>
                <w:color w:val="auto"/>
              </w:rPr>
            </w:pPr>
          </w:p>
        </w:tc>
        <w:tc>
          <w:tcPr>
            <w:tcW w:w="74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rPr>
              <w:t>3rd</w:t>
            </w:r>
          </w:p>
        </w:tc>
        <w:tc>
          <w:tcPr>
            <w:tcW w:w="280" w:type="dxa"/>
            <w:vAlign w:val="bottom"/>
          </w:tcPr>
          <w:p>
            <w:pPr>
              <w:spacing w:after="0"/>
              <w:rPr>
                <w:sz w:val="11"/>
                <w:szCs w:val="11"/>
                <w:color w:val="auto"/>
              </w:rPr>
            </w:pPr>
          </w:p>
        </w:tc>
        <w:tc>
          <w:tcPr>
            <w:tcW w:w="70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4th</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rPr>
              <w:t>1st</w:t>
            </w:r>
          </w:p>
        </w:tc>
        <w:tc>
          <w:tcPr>
            <w:tcW w:w="160" w:type="dxa"/>
            <w:vAlign w:val="bottom"/>
          </w:tcPr>
          <w:p>
            <w:pPr>
              <w:spacing w:after="0"/>
              <w:rPr>
                <w:sz w:val="11"/>
                <w:szCs w:val="11"/>
                <w:color w:val="auto"/>
              </w:rPr>
            </w:pPr>
          </w:p>
        </w:tc>
        <w:tc>
          <w:tcPr>
            <w:tcW w:w="78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2nd</w:t>
            </w:r>
          </w:p>
        </w:tc>
        <w:tc>
          <w:tcPr>
            <w:tcW w:w="24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11"/>
                <w:szCs w:val="11"/>
                <w:color w:val="auto"/>
              </w:rPr>
            </w:pPr>
          </w:p>
        </w:tc>
        <w:tc>
          <w:tcPr>
            <w:tcW w:w="74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4th</w:t>
            </w:r>
          </w:p>
        </w:tc>
        <w:tc>
          <w:tcPr>
            <w:tcW w:w="100" w:type="dxa"/>
            <w:vAlign w:val="bottom"/>
          </w:tcPr>
          <w:p>
            <w:pPr>
              <w:spacing w:after="0"/>
              <w:rPr>
                <w:sz w:val="11"/>
                <w:szCs w:val="11"/>
                <w:color w:val="auto"/>
              </w:rPr>
            </w:pPr>
          </w:p>
        </w:tc>
      </w:tr>
      <w:tr>
        <w:trPr>
          <w:trHeight w:val="171"/>
        </w:trPr>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4"/>
                <w:szCs w:val="14"/>
                <w:color w:val="auto"/>
              </w:rPr>
            </w:pPr>
          </w:p>
        </w:tc>
        <w:tc>
          <w:tcPr>
            <w:tcW w:w="74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4"/>
                <w:szCs w:val="14"/>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55"/>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w:t>
            </w:r>
          </w:p>
        </w:tc>
      </w:tr>
      <w:tr>
        <w:trPr>
          <w:trHeight w:val="156"/>
        </w:trPr>
        <w:tc>
          <w:tcPr>
            <w:tcW w:w="2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Total net revenues</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Gross profit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FF0FC"/>
          </w:tcPr>
          <w:p>
            <w:pPr>
              <w:spacing w:after="0"/>
              <w:rPr>
                <w:sz w:val="19"/>
                <w:szCs w:val="19"/>
                <w:color w:val="auto"/>
              </w:rPr>
            </w:pPr>
          </w:p>
        </w:tc>
      </w:tr>
      <w:tr>
        <w:trPr>
          <w:trHeight w:val="230"/>
        </w:trPr>
        <w:tc>
          <w:tcPr>
            <w:tcW w:w="2460" w:type="dxa"/>
            <w:vAlign w:val="bottom"/>
          </w:tcPr>
          <w:p>
            <w:pPr>
              <w:ind w:left="24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the Chief Executive Officer and Chief Financial Officer, as appropriate, to allow timely discussions regarding required disclosure. We, under the supervision of and with the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December 31, 2019.</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Internal Control over Financial Reporting</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December 31, 2019 that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names of our executive officers and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9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960" w:type="dxa"/>
            <w:vAlign w:val="bottom"/>
            <w:tcBorders>
              <w:top w:val="single" w:sz="8" w:color="auto"/>
            </w:tcBorders>
            <w:shd w:val="clear" w:color="auto" w:fill="CFF0FC"/>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Graham</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FF0FC"/>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Francis Arseneault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 Hefty Waste &amp; Storage</w:t>
            </w:r>
          </w:p>
        </w:tc>
      </w:tr>
      <w:tr>
        <w:trPr>
          <w:trHeight w:val="216"/>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FF0FC"/>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President, Hefty Tableware</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Judith Buckner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 Presto Products</w:t>
            </w:r>
          </w:p>
        </w:tc>
      </w:tr>
      <w:tr>
        <w:trPr>
          <w:trHeight w:val="216"/>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Craig Cappel</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FF0FC"/>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President, Reynolds Cooking &amp; Baking</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President, Sales and Chief Customer Officer</w:t>
            </w:r>
          </w:p>
        </w:tc>
      </w:tr>
      <w:tr>
        <w:trPr>
          <w:trHeight w:val="216"/>
        </w:trPr>
        <w:tc>
          <w:tcPr>
            <w:tcW w:w="3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96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16"/>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Richard Noll</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FF0FC"/>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Director and Chairman of the Board of Directors</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Gregory Cole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Thomas Degnan</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shd w:val="clear" w:color="auto" w:fill="CFF0FC"/>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Helen Golding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Marla Gottschalk</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FF0FC"/>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Mitchell (Class III Director)</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Mr. Mitchell has served as RCP’s President and Chief Executive Officer since 2011 and as a member of RCP’s board of directors since October 2019. From 2006 to 2011, Mr. Mitchell served as President of Closure Systems International (part of RGHL Group from 2008 to 2019). Mr. Mitchell worked at Owens Corning Fiberglass Corporation from 1981 to 1986 in a variety of sales and marketing positions and from 1986 to 2005 he served in a variety of management positions at Avery Dennison Corporation, BF Goodrich, The Geon Company and PolyOne Corporation. Mr. Mitchell received a B.S. in Business from Bowling Green State University.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Graham</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Mr. Graham has served as RCP’s Chief Financial Officer since 2016. Mr. Graham joined RCP after serving as the CFO of Graham Packaging (part of RGHL Group) from 2011 to 2016. Prior to joining Graham Packaging, Mr. Graham led and managed several merger and integration activities for RGHL and served as CFO of Reynolds Packaging from 2008 to 2010, collaboratively leading the integration of Reynolds Packaging into RGHL. Mr. Graham served as Group Controller and CFO of Alcoa’s Flat Rolled &amp; Extruded Aluminum Group from 2004 to 2007. From 1986 to 2003 Mr. Graham served in a variety of management positions at Honeywell International Inc. and AlliedSignal, Avaya Communications and General Mills, Inc. Mr. Graham received a B.A. in Finance from Howard University.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Francis Arseneault</w:t>
      </w:r>
    </w:p>
    <w:p>
      <w:pPr>
        <w:spacing w:after="0" w:line="12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Mr. Arseneault has served as RCP’s President of Hefty Waste &amp; Storage since 2019. Prior to this role, he served as President of Presto Products from 2014 to 2019. Mr. Arseneault’s previous experience includes roles of increasing responsibility in sales and marketing in the Canadian division of Alcoa Reynolds from 2001 to 2004 and from 2006 to 2010, and as General Manager of RCP’s international business from 2010 until joining Presto Products in 2014. Mr. Arseneault received a B.Sc. in Marketing and International Business from the HEC Montreal business school of the University of Montreal.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Rachel Bishop</w:t>
      </w:r>
    </w:p>
    <w:p>
      <w:pPr>
        <w:spacing w:after="0" w:line="12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Ms. Bishop has served as RCP’s President of Hefty Tableware since 2019. Prior to joining RCP, she served as Chief Strategy Officer from 2014 to 2017 and President, Snacks from 2017 to 2019 at TreeHouse Foods, Inc. Ms. Bishop was at The Walgreen Company from 2009 to 2014 where she most recently served as Group Vice President of Retail Strategy. From 2001 to 2009, Ms. Bishop was at McKinsey &amp; Company, where she worked with consumer businesses on a broad range of sales, marketing, and operational topics with a focus on growth strategy development and implementation. Ms. Bishop earned a B.S. degrees in Materials Science and Engineering and in Geophysics from Brown University and a Ph.D. in Materials Science and Engineering with a minor in Technology Management from Northwestern University.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Judith Buckner</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Ms. Buckner has served as RCP’s President of Presto Products since 2019. She previously served as Senior Vice President, Business Transformation of RCP from 2017 to 2019. Ms. Buckner first joined RCP in 2000 as an Engineering Manager and has held various other leadership roles including Director of Manufacturing, Plant Manager, Director of Engineering and New Product Development and Vice President of Operations and Engineering. Her prior experience includes various engineering and leadership roles in product development and operations at Hoechst-Celanese/Invista from 1991 to 2000. Ms. Buckner earned a B.S. in Chemical Engineering from Purdue University.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Cappel</w:t>
      </w:r>
    </w:p>
    <w:p>
      <w:pPr>
        <w:spacing w:after="0" w:line="12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Mr. Cappel has served as RCP’s President of Reynolds Cooking &amp; Baking since 2018. From 2015 to 2018, he served as President of Hefty Tableware. From 2013 to 2015, Mr. Cappel served as the Chief Procurement and Technology Officer for RGHL Group, leading global sourcing and technology across multiple businesses. From 1997 to 2013, Mr. Cappel was with Pactiv as Vice President of Business Development and Innovation and various other leadership roles across innovation, engineering technology, new business development and business management. From 1994 to 1997, he served as an engineer at TE Connectivity, Ltd. (formerly Amp Incorporated). Mr. Cappel received a B.S. from the College of Engineering Technology at the Rochester Institute of Technology and an M.S. in Product Design and Development Management from Northwestern University.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Stephan Pace</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Mr. Pace has served as RCP’s President, Sales and Chief Customer Officer since 2020. Prior to this role, he served as RCP’s President of Walmart/Sam’s and eCommerce since 2015 and RCP’s Chief Customer Officer and Senior Vice President of Sales beginning in 2010. He served as Vice President of Sales for Pactiv’s Consumer Products Division prior to RGHL’s acquisition of Pactiv in 2010. Mr. Pace joined Pactiv in 2001 and held several senior management positions. Prior to joining Pactiv, he served in a variety of sales and marketing roles at Unilever plc and Procter &amp; Gamble Company. Mr. Pace received a B.A. in Economics from Wesleyan University. He serves on the Board of Advisors for Tierra Nueva Fine Cocoa, d/b/a The Whole Coffee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 are not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Noll (Class III Director)</w:t>
      </w:r>
    </w:p>
    <w:p>
      <w:pPr>
        <w:spacing w:after="0" w:line="1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Mr. Noll has been a member of RCP’s board of directors since January 2020 and is Chairman of the Board and serves on the Audit Committee and Compensation, Nominating and Corporate Governance (“CNG”) Committee. Mr. Noll served as Chairman of the Board of Directors of Hanesbrands Inc. from 2009 to 2019, as Executive Chairman from 2016 to 2017 and Chief Executive Officer from 2006 to 2016. Mr. Noll joined Hanesbrands Inc. from Sara Lee Corporation where he worked for 14 years in various management positions, including President and Chief Operating Officer of Branded Apparel and Chief Executive Officer and Chief Operating Officer of Sara Lee Bakery Group, and led the turnarounds of several Sara Lee Corporation bakery and apparel businesses. Mr. Noll is currently a member of the board of directors of Carter’s Inc., where he serves as a member of its compensation committee. Mr. Noll previously served as a director of Fresh Market Inc. from 2011 to 2016. Mr. Noll received a B.A. in Business Administration from Pennsylvania State University and an M.B.A. from Carnegie Mellon University.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Gregory Cole (Class II Director)</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Mr. Cole has been a member of RCP’s board of directors since October 2019 and is a member of the Audit Committee and CNG Committee. He has served as a senior executive of Rank Group since 2004. From 1994 to 2004, Mr. Cole was a partner with Deloitte Touche Tohmatsu, which he joined in 1986. Mr. Cole received a Bachelor of Commerce from the University of Auckland.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Thomas Degnan (Class I Director)</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Mr. Degnan has been a member of RCP’s board of directors since October 2019 and is Chair of the CNG Committee. He has served as a director and the Chief Executive Officer of RGHL since 2007. Mr. Degnan previously served as the President and Chief Executive Officer of UCI International LLC from 2012 to 2016. Mr. Degnan serves as a director of other entities owned by Mr. Graeme Hart. Mr. Degnan received a B.A. from Loyola University of Chicago.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Helen Golding (Class I Director)</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Ms. Golding has been a member of RCP’s board of directors since October 2019. She has served as Group Legal Counsel of Rank Group since 2006. Ms. Golding joined Rank Group from Burns, Philp &amp; Company Pty Limited where she served as Company Secretary and Group Legal Counsel from 1998 to 2006. Prior to that, she was a private practitioner in a Sydney-based law firm. Ms. Golding received a Bachelor of Economics and Master of Laws from the University of Sydney.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Marla Gottschalk (Class III Director)</w:t>
      </w:r>
    </w:p>
    <w:p>
      <w:pPr>
        <w:spacing w:after="0" w:line="12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Ms. Gottschalk has been a member of RCP’s board of directors since January 2020 and is Chair of the Audit Committee. Ms. Gottschalk previously served as the Chief Executive Officer of The Pampered Chef Ltd. from 2006 to 2013 and as Chief Operating Officer from 2003 to 2006. Ms. Gottschalk joined Pampered Chef from Kraft Foods, Inc., where she worked for 14 years in various management positions, including as Senior Vice President of Financial Planning and Investor Relations for Kraft, Executive Vice President and General Manager of Post Cereal Division and Vice President of Marketing and Strategy of the Kraft Cheese Division. Ms. Gottschalk is currently a member of the board of directors of Potbelly Corporation and Big Lots, Inc., where she serves as the chair of their Audit Committees and as a member of their compensation committees. She also serves as a strategic board advisor for Ocean Spray Cranberries, Inc. and as a member of the board of directors of Underwriters Laboratories. Ms. Gottschalk received a B.S. in Business from Indiana University and an M.S. in Management Studies from Northwestern University’s J.L. Kellogg Graduate School of Management. Ms. Gottschalk served as a member of the Kelly School of Business Dean’s Advisory Council and a member of the Academy of Alumni Fellows.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Structure</w:t>
      </w:r>
    </w:p>
    <w:p>
      <w:pPr>
        <w:spacing w:after="0" w:line="22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have entered into a Stockholder Agreement with PFL which, among other things, provides that PFL has the right to nominate all of our directors so long as the Hart Entities (as defined in the Stockholders Agreement) beneficially own at least 50% of the outstanding shares of our common stock; a majority of our directors so long as they own at least 40% of our stock; and at least one director so long as they own at least 10% of our stock. Currently, PFL has the right to nominate all of our directors, and all of our directors were nominated by, and may be removed by, PFL.</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board of directors is divided into three classes serving staggered three-year terms. Class I, Class II and Class III directors will serve until our annual meetings of stockholders in 2021, 2022 and 2023, respectively. At each annual meeting of stockholders, directors will be elected to succeed the class of directors whose terms have expired. Our board has two standing committees, the Audit Committee and the CNG Committee, which are discussed below.</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we were an indirectly wholly-owned subsidiary of RGHL in 2019 we did not have any board or committee meetings in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members of our Audit Committee are Ms. Gottschalk (Chair), Mr. Cole and Mr. Noll. The composition of our Audit Committee meets the requirements for independence under the current Nasdaq listing standards and SEC rules and regulations. Each member of our Audit Committee is financially literate. In addition, our board of directors has determined that Ms. Gottschalk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84" w:lineRule="exact"/>
        <w:rPr>
          <w:sz w:val="20"/>
          <w:szCs w:val="20"/>
          <w:color w:val="auto"/>
        </w:rPr>
      </w:pPr>
    </w:p>
    <w:p>
      <w:pPr>
        <w:ind w:left="760" w:hanging="253"/>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17"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approving the planned scope and timing, and discussing the findings, of the audit with the independent registered public accounting firm, and reviewing, with management and that firm, our interim and year-end operating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left="760" w:hanging="253"/>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auditing matters;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 and those that require disclosure;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provided by the independent registered public accounting firm.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Nominating and Corporate Governance Committee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members of our CNG Committee are Mr. Degnan (Chair), Mr. Cole, and Mr. Noll. Our CNG Committee is responsible for, among other things:</w:t>
      </w:r>
    </w:p>
    <w:p>
      <w:pPr>
        <w:spacing w:after="0" w:line="140" w:lineRule="exact"/>
        <w:rPr>
          <w:sz w:val="20"/>
          <w:szCs w:val="20"/>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recommending to our board of directors for determination, the compensation of our executive officers;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reviewing and evaluating, or making recommendations to our board of directors with respect to, incentive compensation and equity plans;</w:t>
      </w:r>
    </w:p>
    <w:p>
      <w:pPr>
        <w:spacing w:after="0" w:line="142" w:lineRule="exact"/>
        <w:rPr>
          <w:rFonts w:ascii="Arial" w:cs="Arial" w:eastAsia="Arial" w:hAnsi="Arial"/>
          <w:sz w:val="17"/>
          <w:szCs w:val="17"/>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17" w:lineRule="exact"/>
        <w:rPr>
          <w:rFonts w:ascii="Arial" w:cs="Arial" w:eastAsia="Arial" w:hAnsi="Arial"/>
          <w:sz w:val="18"/>
          <w:szCs w:val="18"/>
          <w:color w:val="auto"/>
        </w:rPr>
      </w:pPr>
    </w:p>
    <w:p>
      <w:pPr>
        <w:ind w:left="760" w:right="20" w:hanging="253"/>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considering proposed waivers of the code of conduct for directors and executive officers and making recommendations to our board of directors;</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all of our employees, officers and directors, including our Chief Executive Officer, Chief Financial Officer and other executive and senior financial officers, the full text of which is posted on the investor relations section of our website at www.reynoldsconsumerproducts.com. We intend to disclose future amendments to our code of business conduct and ethics, or any waivers of such code, on our website or in public filings.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This section describes our compensation approach and programs for our named executive officers (“NEOs”), which include our Chief Executive Officer, Chief Financial Officer, and our three other most highly compensated executive officers for the year ended December 31, 2019. Except as otherwise indicated, the information in this section relates to the compensation of our NEOs, and the principles underlying our executive compensation policies, during and for 2019. Our NEOs for 2019 were:</w:t>
      </w:r>
    </w:p>
    <w:p>
      <w:pPr>
        <w:spacing w:after="0" w:line="79" w:lineRule="exact"/>
        <w:rPr>
          <w:sz w:val="20"/>
          <w:szCs w:val="20"/>
          <w:color w:val="auto"/>
        </w:rPr>
      </w:pPr>
    </w:p>
    <w:p>
      <w:pPr>
        <w:ind w:left="760" w:hanging="253"/>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Lance Mitchell, President and Chief Executive Officer</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Michael Graham, Chief Financial Officer</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Stephan Pace, President, Sales and Chief Customer Officer</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Craig Cappel, President, Reynolds Cooking &amp; Baking</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Rachel Bishop, President, Hefty Tableware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following discussion relates to the compensation of our NEOs whose compensation is disclosed below, as well as the overall principles underlying our executive compensation policies. Except as otherwise indicated below, the compensation objectives, strategy, and decisions that were applicable to us and our NEOs for 2019 were consistent with the compensation objectives, strategy, and decisions that were generally applicable to RGHL for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Our Compensation Objectives and Philosophy</w:t>
      </w:r>
    </w:p>
    <w:p>
      <w:pPr>
        <w:spacing w:after="0" w:line="229"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Throughout 2019, we were a wholly-owned business of RGHL Group and we shared the compensation objectives of RGHL. These objectives included attracting and retaining top talent, motivating and rewarding the performance of senior executives in support of achievement of strategic, financial and operating performance objectives and ensuring that our total compensation packages are competitive in comparison to those offered by our peers. Our NEOs, as well as our employees generally, have participated in compensation and benefits plans and programs which have included other businesses of RGHL, and we replicated a number of these plans and programs as RCP plans following the public offering. These plans and programs are intended to align our compensation programs with our business objectives, promote good corporate governance and seek to achieve our compensation objectives.</w:t>
      </w:r>
    </w:p>
    <w:p>
      <w:pPr>
        <w:spacing w:after="0" w:line="16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To ensure that management’s interests are aligned with those of our stockholders and to motivate and reward individual initiative and effort, our executive compensation program emphasizes a pay-for-performance compensation philosophy so that attainment of enterprise-wide, business unit and individual performance goals are rewarded. Through the use of performance-based plans that emphasize attainment of enterprise-wide and/or business unit goals, we seek to foster teamwork and commitment to performance. The introduction of tools such as equity ownership and long-term equity-based incentive compensation programs, discussed below, which were not available to us as part of RGHL Group, is important to ensure that the efforts of management are consistent with the objectives of our 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Assessment of Compensation Programs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CNG Committee does not believe that our compensation arrangements, including financial performance measures used to determine short-term and long-term incentive payout amounts, provide our executives with an incentive to engage in business activities or other behavior that would expose us or our stockholders to excessive risks that are reasonably likely to have a material adverse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RGHL Executives and RCP’s CNG Committee</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Prior to our public offering, we were a wholly-owned business of RGHL Group and RGHL executives were primarily responsible for determining our compensation strategy and philosophy.</w:t>
      </w:r>
    </w:p>
    <w:p>
      <w:pPr>
        <w:spacing w:after="0" w:line="170"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connection with our public offering, RGHL executives established our initial compensation and benefits programs as a stand-alone company and approved initial compensation for our executive officers and senior executives, including our NEOs. To assist in this task, RGHL engaged Pearl Meyer &amp; Partners, LLC (“Pearl Meyer”), an independent compensation consultant, to provide an analysis of base salary, short-term incentive (“STI”) compensation and long-term incentive (“LTI”) compensation for senior executives with similar responsibilities, including positions within business groups, within the companies in the Benchmark Comparison Group. RGHL also directed Pearl Meyer to compare RCP executive officers’ compensation by percentile ranking to the compensation received by officers in comparable positions at Benchmark Comparison Group companies, discussed below.</w:t>
      </w:r>
    </w:p>
    <w:p>
      <w:pPr>
        <w:spacing w:after="0" w:line="16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Following our public company offering, our CNG Committee has assumed responsibility for determining our compensation philosophy, structuring our compensation and benefits programs and determining appropriate payments and awards to our executive officers, including our NEOs. The CNG Committee is also responsible for implementing, monitoring and evaluating our executive compensation philosophy and objectives and overseeing the compensation program for senior executives. The CNG Committee’s responsibilities and authority are described fully in its charter. Our CNG Committee has engaged Pearl Meyer to advise on compensation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Role of the Independent Compensation Consultant and Our Peer Group</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CNG Committee has identified a group of peer companies which we will use as our benchmark for compensation matters (“Benchmark Comparison Group”). The Benchmark Comparison Group will be reviewed from time to time by our CNG Committee. The Benchmark Comparison Group currently includes the following companies:</w:t>
      </w:r>
    </w:p>
    <w:p>
      <w:pPr>
        <w:spacing w:after="0" w:line="40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00"/>
              <w:spacing w:after="0"/>
              <w:rPr>
                <w:sz w:val="20"/>
                <w:szCs w:val="20"/>
                <w:color w:val="auto"/>
              </w:rPr>
            </w:pPr>
            <w:r>
              <w:rPr>
                <w:rFonts w:ascii="Arial" w:cs="Arial" w:eastAsia="Arial" w:hAnsi="Arial"/>
                <w:sz w:val="18"/>
                <w:szCs w:val="18"/>
                <w:color w:val="auto"/>
              </w:rPr>
              <w:t>AptarGroup, Inc.</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Owens-Illinois, Inc.</w:t>
            </w:r>
          </w:p>
        </w:tc>
      </w:tr>
      <w:tr>
        <w:trPr>
          <w:trHeight w:val="338"/>
        </w:trPr>
        <w:tc>
          <w:tcPr>
            <w:tcW w:w="3620" w:type="dxa"/>
            <w:vAlign w:val="bottom"/>
            <w:gridSpan w:val="2"/>
          </w:tcPr>
          <w:p>
            <w:pPr>
              <w:spacing w:after="0"/>
              <w:rPr>
                <w:sz w:val="20"/>
                <w:szCs w:val="20"/>
                <w:color w:val="auto"/>
              </w:rPr>
            </w:pPr>
            <w:r>
              <w:rPr>
                <w:rFonts w:ascii="Arial" w:cs="Arial" w:eastAsia="Arial" w:hAnsi="Arial"/>
                <w:sz w:val="18"/>
                <w:szCs w:val="18"/>
                <w:color w:val="auto"/>
              </w:rPr>
              <w:t>•   Church &amp; Dwight Co., Inc.</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Sealed Air Corporation</w:t>
            </w:r>
          </w:p>
        </w:tc>
      </w:tr>
      <w:tr>
        <w:trPr>
          <w:trHeight w:val="338"/>
        </w:trPr>
        <w:tc>
          <w:tcPr>
            <w:tcW w:w="3620" w:type="dxa"/>
            <w:vAlign w:val="bottom"/>
            <w:gridSpan w:val="2"/>
          </w:tcPr>
          <w:p>
            <w:pPr>
              <w:spacing w:after="0"/>
              <w:rPr>
                <w:sz w:val="20"/>
                <w:szCs w:val="20"/>
                <w:color w:val="auto"/>
              </w:rPr>
            </w:pPr>
            <w:r>
              <w:rPr>
                <w:rFonts w:ascii="Arial" w:cs="Arial" w:eastAsia="Arial" w:hAnsi="Arial"/>
                <w:sz w:val="18"/>
                <w:szCs w:val="18"/>
                <w:color w:val="auto"/>
              </w:rPr>
              <w:t>•   Edgewell Personal Care Company</w:t>
            </w:r>
          </w:p>
        </w:tc>
        <w:tc>
          <w:tcPr>
            <w:tcW w:w="3560" w:type="dxa"/>
            <w:vAlign w:val="bottom"/>
            <w:gridSpan w:val="2"/>
          </w:tcPr>
          <w:p>
            <w:pPr>
              <w:ind w:left="860"/>
              <w:spacing w:after="0"/>
              <w:rPr>
                <w:sz w:val="20"/>
                <w:szCs w:val="20"/>
                <w:color w:val="auto"/>
              </w:rPr>
            </w:pPr>
            <w:r>
              <w:rPr>
                <w:rFonts w:ascii="Arial" w:cs="Arial" w:eastAsia="Arial" w:hAnsi="Arial"/>
                <w:sz w:val="18"/>
                <w:szCs w:val="18"/>
                <w:color w:val="auto"/>
                <w:w w:val="94"/>
              </w:rPr>
              <w:t>•  The Scotts Miracle-Gro Company</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20"/>
              <w:spacing w:after="0"/>
              <w:rPr>
                <w:sz w:val="20"/>
                <w:szCs w:val="20"/>
                <w:color w:val="auto"/>
              </w:rPr>
            </w:pPr>
            <w:r>
              <w:rPr>
                <w:rFonts w:ascii="Arial" w:cs="Arial" w:eastAsia="Arial" w:hAnsi="Arial"/>
                <w:sz w:val="18"/>
                <w:szCs w:val="18"/>
                <w:color w:val="auto"/>
              </w:rPr>
              <w:t>Energizer Holdings, Inc.</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Silgan Holdings Inc.</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20"/>
              <w:spacing w:after="0"/>
              <w:rPr>
                <w:sz w:val="20"/>
                <w:szCs w:val="20"/>
                <w:color w:val="auto"/>
              </w:rPr>
            </w:pPr>
            <w:r>
              <w:rPr>
                <w:rFonts w:ascii="Arial" w:cs="Arial" w:eastAsia="Arial" w:hAnsi="Arial"/>
                <w:sz w:val="18"/>
                <w:szCs w:val="18"/>
                <w:color w:val="auto"/>
              </w:rPr>
              <w:t>Greif, Inc.</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Snap-on Incorporated</w:t>
            </w:r>
          </w:p>
        </w:tc>
      </w:tr>
      <w:tr>
        <w:trPr>
          <w:trHeight w:val="33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120"/>
              <w:spacing w:after="0"/>
              <w:rPr>
                <w:sz w:val="20"/>
                <w:szCs w:val="20"/>
                <w:color w:val="auto"/>
              </w:rPr>
            </w:pPr>
            <w:r>
              <w:rPr>
                <w:rFonts w:ascii="Arial" w:cs="Arial" w:eastAsia="Arial" w:hAnsi="Arial"/>
                <w:sz w:val="18"/>
                <w:szCs w:val="18"/>
                <w:color w:val="auto"/>
              </w:rPr>
              <w:t>Hasbro, Inc.</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Spectrum Brands Holdings</w:t>
            </w:r>
          </w:p>
        </w:tc>
      </w:tr>
      <w:tr>
        <w:trPr>
          <w:trHeight w:val="338"/>
        </w:trPr>
        <w:tc>
          <w:tcPr>
            <w:tcW w:w="3620" w:type="dxa"/>
            <w:vAlign w:val="bottom"/>
            <w:gridSpan w:val="2"/>
          </w:tcPr>
          <w:p>
            <w:pPr>
              <w:spacing w:after="0"/>
              <w:rPr>
                <w:sz w:val="20"/>
                <w:szCs w:val="20"/>
                <w:color w:val="auto"/>
              </w:rPr>
            </w:pPr>
            <w:r>
              <w:rPr>
                <w:rFonts w:ascii="Arial" w:cs="Arial" w:eastAsia="Arial" w:hAnsi="Arial"/>
                <w:sz w:val="18"/>
                <w:szCs w:val="18"/>
                <w:color w:val="auto"/>
              </w:rPr>
              <w:t>•   Helen of Troy Limited</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The Clorox Company</w:t>
            </w:r>
          </w:p>
        </w:tc>
      </w:tr>
      <w:tr>
        <w:trPr>
          <w:trHeight w:val="338"/>
        </w:trPr>
        <w:tc>
          <w:tcPr>
            <w:tcW w:w="3620" w:type="dxa"/>
            <w:vAlign w:val="bottom"/>
            <w:gridSpan w:val="2"/>
          </w:tcPr>
          <w:p>
            <w:pPr>
              <w:spacing w:after="0"/>
              <w:rPr>
                <w:sz w:val="20"/>
                <w:szCs w:val="20"/>
                <w:color w:val="auto"/>
              </w:rPr>
            </w:pPr>
            <w:r>
              <w:rPr>
                <w:rFonts w:ascii="Arial" w:cs="Arial" w:eastAsia="Arial" w:hAnsi="Arial"/>
                <w:sz w:val="18"/>
                <w:szCs w:val="18"/>
                <w:color w:val="auto"/>
              </w:rPr>
              <w:t>•   Nu Skin Enterprises, Inc.</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w w:val="94"/>
              </w:rPr>
              <w:t>Tupperware Brands Corporation</w:t>
            </w: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criteria considered in selecting peer companies for the Benchmark Comparison Group include the following:</w:t>
      </w:r>
    </w:p>
    <w:p>
      <w:pPr>
        <w:spacing w:after="0" w:line="117" w:lineRule="exact"/>
        <w:rPr>
          <w:sz w:val="20"/>
          <w:szCs w:val="20"/>
          <w:color w:val="auto"/>
        </w:rPr>
      </w:pPr>
    </w:p>
    <w:p>
      <w:pPr>
        <w:ind w:left="760" w:hanging="253"/>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size, as measured by revenue, market capitalization and enterprise value;</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industry category, including consumer household and personal products, household appliances, containers and packaging;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competition for sources of talent.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CEO makes recommendations to the CNG Committee for base salary, STI, LTI and any other elements of our compensation program for each NEO (other than the CEO, whose compensation is determined solely by the CNG Committee). Our CEO will also provide recommendations to the CNG Committee on other elements of our compensation program for senior executives, including, for example, the design and metrics under our STI and LTI programs. While the CNG Committee will consider the CEO’s recommendations with respect to the compensation of the NEOs, the CNG Committee independently evaluates the recommendations and makes all final compensation decisions relating to the NEOs.</w:t>
      </w:r>
    </w:p>
    <w:p>
      <w:pPr>
        <w:spacing w:after="0" w:line="1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the case of compensation for employees below the most senior level, the CNG Committee will delegate certain authority to our management to make determinations in accordance with guidelines established by the CNG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executive compensation for our NEOs, and the primary objectives of each, are summarized in the chart below:</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27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c>
          <w:tcPr>
            <w:tcW w:w="3000" w:type="dxa"/>
            <w:vAlign w:val="bottom"/>
            <w:gridSpan w:val="2"/>
          </w:tcPr>
          <w:p>
            <w:pPr>
              <w:ind w:left="140"/>
              <w:spacing w:after="0"/>
              <w:rPr>
                <w:sz w:val="20"/>
                <w:szCs w:val="20"/>
                <w:color w:val="auto"/>
              </w:rPr>
            </w:pPr>
            <w:r>
              <w:rPr>
                <w:rFonts w:ascii="Arial" w:cs="Arial" w:eastAsia="Arial" w:hAnsi="Arial"/>
                <w:sz w:val="14"/>
                <w:szCs w:val="14"/>
                <w:b w:val="1"/>
                <w:bCs w:val="1"/>
                <w:color w:val="auto"/>
              </w:rPr>
              <w:t>Form</w:t>
            </w:r>
          </w:p>
        </w:tc>
        <w:tc>
          <w:tcPr>
            <w:tcW w:w="2760" w:type="dxa"/>
            <w:vAlign w:val="bottom"/>
          </w:tcPr>
          <w:p>
            <w:pPr>
              <w:ind w:left="140"/>
              <w:spacing w:after="0"/>
              <w:rPr>
                <w:sz w:val="20"/>
                <w:szCs w:val="20"/>
                <w:color w:val="auto"/>
              </w:rPr>
            </w:pPr>
            <w:r>
              <w:rPr>
                <w:rFonts w:ascii="Arial" w:cs="Arial" w:eastAsia="Arial" w:hAnsi="Arial"/>
                <w:sz w:val="14"/>
                <w:szCs w:val="14"/>
                <w:b w:val="1"/>
                <w:bCs w:val="1"/>
                <w:color w:val="auto"/>
              </w:rPr>
              <w:t>Objective</w:t>
            </w:r>
          </w:p>
        </w:tc>
        <w:tc>
          <w:tcPr>
            <w:tcW w:w="0" w:type="dxa"/>
            <w:vAlign w:val="bottom"/>
          </w:tcPr>
          <w:p>
            <w:pPr>
              <w:spacing w:after="0"/>
              <w:rPr>
                <w:sz w:val="1"/>
                <w:szCs w:val="1"/>
                <w:color w:val="auto"/>
              </w:rPr>
            </w:pPr>
          </w:p>
        </w:tc>
      </w:tr>
      <w:tr>
        <w:trPr>
          <w:trHeight w:val="123"/>
        </w:trPr>
        <w:tc>
          <w:tcPr>
            <w:tcW w:w="26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b w:val="1"/>
                <w:bCs w:val="1"/>
                <w:color w:val="auto"/>
              </w:rPr>
              <w:t>Base salary</w:t>
            </w:r>
          </w:p>
        </w:tc>
        <w:tc>
          <w:tcPr>
            <w:tcW w:w="100" w:type="dxa"/>
            <w:vAlign w:val="bottom"/>
          </w:tcPr>
          <w:p>
            <w:pPr>
              <w:spacing w:after="0"/>
              <w:rPr>
                <w:sz w:val="10"/>
                <w:szCs w:val="10"/>
                <w:color w:val="auto"/>
              </w:rPr>
            </w:pPr>
          </w:p>
        </w:tc>
        <w:tc>
          <w:tcPr>
            <w:tcW w:w="2640" w:type="dxa"/>
            <w:vAlign w:val="bottom"/>
            <w:tcBorders>
              <w:top w:val="single" w:sz="8" w:color="auto"/>
            </w:tcBorders>
          </w:tcPr>
          <w:p>
            <w:pPr>
              <w:ind w:left="140"/>
              <w:spacing w:after="0" w:line="123" w:lineRule="exact"/>
              <w:rPr>
                <w:sz w:val="20"/>
                <w:szCs w:val="20"/>
                <w:color w:val="auto"/>
              </w:rPr>
            </w:pPr>
            <w:r>
              <w:rPr>
                <w:rFonts w:ascii="Arial" w:cs="Arial" w:eastAsia="Arial" w:hAnsi="Arial"/>
                <w:sz w:val="14"/>
                <w:szCs w:val="14"/>
                <w:color w:val="auto"/>
              </w:rPr>
              <w:t>Fixed based on level of responsibility,</w:t>
            </w:r>
          </w:p>
        </w:tc>
        <w:tc>
          <w:tcPr>
            <w:tcW w:w="100" w:type="dxa"/>
            <w:vAlign w:val="bottom"/>
          </w:tcPr>
          <w:p>
            <w:pPr>
              <w:spacing w:after="0"/>
              <w:rPr>
                <w:sz w:val="10"/>
                <w:szCs w:val="10"/>
                <w:color w:val="auto"/>
              </w:rPr>
            </w:pPr>
          </w:p>
        </w:tc>
        <w:tc>
          <w:tcPr>
            <w:tcW w:w="2640" w:type="dxa"/>
            <w:vAlign w:val="bottom"/>
            <w:tcBorders>
              <w:top w:val="single" w:sz="8" w:color="auto"/>
            </w:tcBorders>
          </w:tcPr>
          <w:p>
            <w:pPr>
              <w:ind w:left="140"/>
              <w:spacing w:after="0" w:line="123" w:lineRule="exact"/>
              <w:rPr>
                <w:sz w:val="20"/>
                <w:szCs w:val="20"/>
                <w:color w:val="auto"/>
              </w:rPr>
            </w:pPr>
            <w:r>
              <w:rPr>
                <w:rFonts w:ascii="Arial" w:cs="Arial" w:eastAsia="Arial" w:hAnsi="Arial"/>
                <w:sz w:val="14"/>
                <w:szCs w:val="14"/>
                <w:color w:val="auto"/>
              </w:rPr>
              <w:t>Cash</w:t>
            </w:r>
          </w:p>
        </w:tc>
        <w:tc>
          <w:tcPr>
            <w:tcW w:w="360" w:type="dxa"/>
            <w:vAlign w:val="bottom"/>
          </w:tcPr>
          <w:p>
            <w:pPr>
              <w:spacing w:after="0"/>
              <w:rPr>
                <w:sz w:val="10"/>
                <w:szCs w:val="10"/>
                <w:color w:val="auto"/>
              </w:rPr>
            </w:pPr>
          </w:p>
        </w:tc>
        <w:tc>
          <w:tcPr>
            <w:tcW w:w="2760" w:type="dxa"/>
            <w:vAlign w:val="bottom"/>
            <w:tcBorders>
              <w:top w:val="single" w:sz="8" w:color="auto"/>
            </w:tcBorders>
          </w:tcPr>
          <w:p>
            <w:pPr>
              <w:ind w:left="140"/>
              <w:spacing w:after="0" w:line="123" w:lineRule="exact"/>
              <w:rPr>
                <w:sz w:val="20"/>
                <w:szCs w:val="20"/>
                <w:color w:val="auto"/>
              </w:rPr>
            </w:pPr>
            <w:r>
              <w:rPr>
                <w:rFonts w:ascii="Arial" w:cs="Arial" w:eastAsia="Arial" w:hAnsi="Arial"/>
                <w:sz w:val="14"/>
                <w:szCs w:val="14"/>
                <w:color w:val="auto"/>
              </w:rPr>
              <w:t>•  Support talent attraction and retention</w:t>
            </w:r>
          </w:p>
        </w:tc>
        <w:tc>
          <w:tcPr>
            <w:tcW w:w="0" w:type="dxa"/>
            <w:vAlign w:val="bottom"/>
          </w:tcPr>
          <w:p>
            <w:pPr>
              <w:spacing w:after="0"/>
              <w:rPr>
                <w:sz w:val="1"/>
                <w:szCs w:val="1"/>
                <w:color w:val="auto"/>
              </w:rPr>
            </w:pPr>
          </w:p>
        </w:tc>
      </w:tr>
      <w:tr>
        <w:trPr>
          <w:trHeight w:val="182"/>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2"/>
          </w:tcPr>
          <w:p>
            <w:pPr>
              <w:ind w:left="140"/>
              <w:spacing w:after="0"/>
              <w:rPr>
                <w:sz w:val="20"/>
                <w:szCs w:val="20"/>
                <w:color w:val="auto"/>
              </w:rPr>
            </w:pPr>
            <w:r>
              <w:rPr>
                <w:rFonts w:ascii="Arial" w:cs="Arial" w:eastAsia="Arial" w:hAnsi="Arial"/>
                <w:sz w:val="14"/>
                <w:szCs w:val="14"/>
                <w:color w:val="auto"/>
              </w:rPr>
              <w:t>experience, tenure and qualifications</w:t>
            </w:r>
          </w:p>
        </w:tc>
        <w:tc>
          <w:tcPr>
            <w:tcW w:w="2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STI Compensation (Annual Incentive</w:t>
            </w:r>
          </w:p>
        </w:tc>
        <w:tc>
          <w:tcPr>
            <w:tcW w:w="2740" w:type="dxa"/>
            <w:vAlign w:val="bottom"/>
            <w:gridSpan w:val="2"/>
          </w:tcPr>
          <w:p>
            <w:pPr>
              <w:ind w:left="140"/>
              <w:spacing w:after="0"/>
              <w:rPr>
                <w:sz w:val="20"/>
                <w:szCs w:val="20"/>
                <w:color w:val="auto"/>
              </w:rPr>
            </w:pPr>
            <w:r>
              <w:rPr>
                <w:rFonts w:ascii="Arial" w:cs="Arial" w:eastAsia="Arial" w:hAnsi="Arial"/>
                <w:sz w:val="14"/>
                <w:szCs w:val="14"/>
                <w:color w:val="auto"/>
              </w:rPr>
              <w:t>Variable based on the achievement of</w:t>
            </w:r>
          </w:p>
        </w:tc>
        <w:tc>
          <w:tcPr>
            <w:tcW w:w="3000" w:type="dxa"/>
            <w:vAlign w:val="bottom"/>
            <w:gridSpan w:val="2"/>
          </w:tcPr>
          <w:p>
            <w:pPr>
              <w:ind w:left="140"/>
              <w:spacing w:after="0"/>
              <w:rPr>
                <w:sz w:val="20"/>
                <w:szCs w:val="20"/>
                <w:color w:val="auto"/>
              </w:rPr>
            </w:pPr>
            <w:r>
              <w:rPr>
                <w:rFonts w:ascii="Arial" w:cs="Arial" w:eastAsia="Arial" w:hAnsi="Arial"/>
                <w:sz w:val="14"/>
                <w:szCs w:val="14"/>
                <w:color w:val="auto"/>
              </w:rPr>
              <w:t>Cash</w:t>
            </w:r>
          </w:p>
        </w:tc>
        <w:tc>
          <w:tcPr>
            <w:tcW w:w="2760" w:type="dxa"/>
            <w:vAlign w:val="bottom"/>
          </w:tcPr>
          <w:p>
            <w:pPr>
              <w:ind w:left="140"/>
              <w:spacing w:after="0"/>
              <w:rPr>
                <w:sz w:val="20"/>
                <w:szCs w:val="20"/>
                <w:color w:val="auto"/>
              </w:rPr>
            </w:pPr>
            <w:r>
              <w:rPr>
                <w:rFonts w:ascii="Arial" w:cs="Arial" w:eastAsia="Arial" w:hAnsi="Arial"/>
                <w:sz w:val="14"/>
                <w:szCs w:val="14"/>
                <w:color w:val="auto"/>
              </w:rPr>
              <w:t>•  Link pay and performance</w:t>
            </w:r>
          </w:p>
        </w:tc>
        <w:tc>
          <w:tcPr>
            <w:tcW w:w="0" w:type="dxa"/>
            <w:vAlign w:val="bottom"/>
          </w:tcPr>
          <w:p>
            <w:pPr>
              <w:spacing w:after="0"/>
              <w:rPr>
                <w:sz w:val="1"/>
                <w:szCs w:val="1"/>
                <w:color w:val="auto"/>
              </w:rPr>
            </w:pPr>
          </w:p>
        </w:tc>
      </w:tr>
      <w:tr>
        <w:trPr>
          <w:trHeight w:val="186"/>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Program)</w:t>
            </w:r>
          </w:p>
        </w:tc>
        <w:tc>
          <w:tcPr>
            <w:tcW w:w="2740" w:type="dxa"/>
            <w:vAlign w:val="bottom"/>
            <w:gridSpan w:val="2"/>
          </w:tcPr>
          <w:p>
            <w:pPr>
              <w:ind w:left="140"/>
              <w:spacing w:after="0"/>
              <w:rPr>
                <w:sz w:val="20"/>
                <w:szCs w:val="20"/>
                <w:color w:val="auto"/>
              </w:rPr>
            </w:pPr>
            <w:r>
              <w:rPr>
                <w:rFonts w:ascii="Arial" w:cs="Arial" w:eastAsia="Arial" w:hAnsi="Arial"/>
                <w:sz w:val="14"/>
                <w:szCs w:val="14"/>
                <w:color w:val="auto"/>
              </w:rPr>
              <w:t>annual financial metrics</w:t>
            </w:r>
          </w:p>
        </w:tc>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vMerge w:val="restart"/>
          </w:tcPr>
          <w:p>
            <w:pPr>
              <w:ind w:left="140"/>
              <w:spacing w:after="0"/>
              <w:rPr>
                <w:sz w:val="20"/>
                <w:szCs w:val="20"/>
                <w:color w:val="auto"/>
              </w:rPr>
            </w:pPr>
            <w:r>
              <w:rPr>
                <w:rFonts w:ascii="Arial" w:cs="Arial" w:eastAsia="Arial" w:hAnsi="Arial"/>
                <w:sz w:val="14"/>
                <w:szCs w:val="14"/>
                <w:color w:val="auto"/>
              </w:rPr>
              <w:t>•  Drive the achievement of short-term</w:t>
            </w:r>
          </w:p>
        </w:tc>
        <w:tc>
          <w:tcPr>
            <w:tcW w:w="0" w:type="dxa"/>
            <w:vAlign w:val="bottom"/>
          </w:tcPr>
          <w:p>
            <w:pPr>
              <w:spacing w:after="0"/>
              <w:rPr>
                <w:sz w:val="1"/>
                <w:szCs w:val="1"/>
                <w:color w:val="auto"/>
              </w:rPr>
            </w:pPr>
          </w:p>
        </w:tc>
      </w:tr>
      <w:tr>
        <w:trPr>
          <w:trHeight w:val="88"/>
        </w:trPr>
        <w:tc>
          <w:tcPr>
            <w:tcW w:w="2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tcPr>
          <w:p>
            <w:pPr>
              <w:ind w:left="360"/>
              <w:spacing w:after="0"/>
              <w:rPr>
                <w:sz w:val="20"/>
                <w:szCs w:val="20"/>
                <w:color w:val="auto"/>
              </w:rPr>
            </w:pPr>
            <w:r>
              <w:rPr>
                <w:rFonts w:ascii="Arial" w:cs="Arial" w:eastAsia="Arial" w:hAnsi="Arial"/>
                <w:sz w:val="14"/>
                <w:szCs w:val="14"/>
                <w:color w:val="auto"/>
              </w:rPr>
              <w:t>business objectives</w:t>
            </w: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tabs>
          <w:tab w:leader="none" w:pos="2860" w:val="left"/>
        </w:tabs>
        <w:rPr>
          <w:sz w:val="20"/>
          <w:szCs w:val="20"/>
          <w:color w:val="auto"/>
        </w:rPr>
      </w:pPr>
      <w:r>
        <w:rPr>
          <w:rFonts w:ascii="Arial" w:cs="Arial" w:eastAsia="Arial" w:hAnsi="Arial"/>
          <w:sz w:val="14"/>
          <w:szCs w:val="14"/>
          <w:b w:val="1"/>
          <w:bCs w:val="1"/>
          <w:color w:val="auto"/>
        </w:rPr>
        <w:t>LTI Compensation</w:t>
      </w:r>
      <w:r>
        <w:rPr>
          <w:sz w:val="20"/>
          <w:szCs w:val="20"/>
          <w:color w:val="auto"/>
        </w:rPr>
        <w:tab/>
      </w:r>
      <w:r>
        <w:rPr>
          <w:rFonts w:ascii="Arial" w:cs="Arial" w:eastAsia="Arial" w:hAnsi="Arial"/>
          <w:sz w:val="12"/>
          <w:szCs w:val="12"/>
          <w:color w:val="auto"/>
        </w:rPr>
        <w:t>Variable based on the achievement of</w:t>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3"/>
          <w:szCs w:val="13"/>
          <w:color w:val="auto"/>
        </w:rPr>
        <w:t>longer-term goals and stockholder value</w:t>
      </w:r>
    </w:p>
    <w:p>
      <w:pPr>
        <w:ind w:left="2880"/>
        <w:spacing w:after="0"/>
        <w:rPr>
          <w:sz w:val="20"/>
          <w:szCs w:val="20"/>
          <w:color w:val="auto"/>
        </w:rPr>
      </w:pPr>
      <w:r>
        <w:rPr>
          <w:rFonts w:ascii="Arial" w:cs="Arial" w:eastAsia="Arial" w:hAnsi="Arial"/>
          <w:sz w:val="14"/>
          <w:szCs w:val="14"/>
          <w:color w:val="auto"/>
        </w:rPr>
        <w:t>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b w:val="1"/>
          <w:bCs w:val="1"/>
          <w:color w:val="auto"/>
        </w:rPr>
        <w:t>Other Compensation and Benefits</w:t>
      </w:r>
      <w:r>
        <w:rPr>
          <w:sz w:val="20"/>
          <w:szCs w:val="20"/>
          <w:color w:val="auto"/>
        </w:rPr>
        <w:tab/>
      </w:r>
      <w:r>
        <w:rPr>
          <w:rFonts w:ascii="Arial" w:cs="Arial" w:eastAsia="Arial" w:hAnsi="Arial"/>
          <w:sz w:val="13"/>
          <w:szCs w:val="13"/>
          <w:color w:val="auto"/>
        </w:rPr>
        <w:t>Employee health, welfare and retirement</w:t>
      </w:r>
    </w:p>
    <w:p>
      <w:pPr>
        <w:spacing w:after="0" w:line="4"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b w:val="1"/>
          <w:bCs w:val="1"/>
          <w:color w:val="auto"/>
        </w:rPr>
        <w:t>Programs</w:t>
      </w:r>
      <w:r>
        <w:rPr>
          <w:sz w:val="20"/>
          <w:szCs w:val="20"/>
          <w:color w:val="auto"/>
        </w:rPr>
        <w:tab/>
      </w:r>
      <w:r>
        <w:rPr>
          <w:rFonts w:ascii="Arial" w:cs="Arial" w:eastAsia="Arial" w:hAnsi="Arial"/>
          <w:sz w:val="14"/>
          <w:szCs w:val="14"/>
          <w:color w:val="auto"/>
        </w:rPr>
        <w:t>benefits</w:t>
      </w:r>
    </w:p>
    <w:p>
      <w:pPr>
        <w:spacing w:after="0" w:line="20" w:lineRule="exact"/>
        <w:rPr>
          <w:sz w:val="20"/>
          <w:szCs w:val="20"/>
          <w:color w:val="auto"/>
        </w:rPr>
      </w:pPr>
      <w:r>
        <w:rPr>
          <w:sz w:val="20"/>
          <w:szCs w:val="20"/>
          <w:color w:val="auto"/>
        </w:rPr>
        <w:br w:type="column"/>
      </w:r>
    </w:p>
    <w:p>
      <w:pPr>
        <w:ind w:right="220"/>
        <w:spacing w:after="0" w:line="238" w:lineRule="auto"/>
        <w:rPr>
          <w:sz w:val="20"/>
          <w:szCs w:val="20"/>
          <w:color w:val="auto"/>
        </w:rPr>
      </w:pPr>
      <w:r>
        <w:rPr>
          <w:rFonts w:ascii="Arial" w:cs="Arial" w:eastAsia="Arial" w:hAnsi="Arial"/>
          <w:sz w:val="14"/>
          <w:szCs w:val="14"/>
          <w:color w:val="auto"/>
        </w:rPr>
        <w:t>Cash and equity (for 2019, LTI compensation was in the form of cash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Group medical benefits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Life and disability insurance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401(k) plan participation</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Nonqualified deferred compensation plan</w:t>
      </w:r>
    </w:p>
    <w:p>
      <w:pPr>
        <w:spacing w:after="0" w:line="20" w:lineRule="exact"/>
        <w:rPr>
          <w:sz w:val="20"/>
          <w:szCs w:val="20"/>
          <w:color w:val="auto"/>
        </w:rPr>
      </w:pPr>
      <w:r>
        <w:rPr>
          <w:sz w:val="20"/>
          <w:szCs w:val="20"/>
          <w:color w:val="auto"/>
        </w:rPr>
        <w:br w:type="column"/>
      </w:r>
    </w:p>
    <w:p>
      <w:pPr>
        <w:ind w:left="193" w:hanging="193"/>
        <w:spacing w:after="0"/>
        <w:tabs>
          <w:tab w:leader="none" w:pos="193" w:val="left"/>
        </w:tabs>
        <w:numPr>
          <w:ilvl w:val="0"/>
          <w:numId w:val="38"/>
        </w:numPr>
        <w:rPr>
          <w:rFonts w:ascii="Arial" w:cs="Arial" w:eastAsia="Arial" w:hAnsi="Arial"/>
          <w:sz w:val="13"/>
          <w:szCs w:val="13"/>
          <w:color w:val="auto"/>
        </w:rPr>
      </w:pPr>
      <w:r>
        <w:rPr>
          <w:rFonts w:ascii="Arial" w:cs="Arial" w:eastAsia="Arial" w:hAnsi="Arial"/>
          <w:sz w:val="13"/>
          <w:szCs w:val="13"/>
          <w:color w:val="auto"/>
        </w:rPr>
        <w:t>Support talent attraction and retention</w:t>
      </w:r>
    </w:p>
    <w:p>
      <w:pPr>
        <w:spacing w:after="0" w:line="120" w:lineRule="exact"/>
        <w:rPr>
          <w:rFonts w:ascii="Arial" w:cs="Arial" w:eastAsia="Arial" w:hAnsi="Arial"/>
          <w:sz w:val="13"/>
          <w:szCs w:val="13"/>
          <w:color w:val="auto"/>
        </w:rPr>
      </w:pPr>
    </w:p>
    <w:p>
      <w:pPr>
        <w:ind w:left="193" w:hanging="193"/>
        <w:spacing w:after="0"/>
        <w:tabs>
          <w:tab w:leader="none" w:pos="193" w:val="left"/>
        </w:tabs>
        <w:numPr>
          <w:ilvl w:val="0"/>
          <w:numId w:val="38"/>
        </w:numPr>
        <w:rPr>
          <w:rFonts w:ascii="Arial" w:cs="Arial" w:eastAsia="Arial" w:hAnsi="Arial"/>
          <w:sz w:val="14"/>
          <w:szCs w:val="14"/>
          <w:color w:val="auto"/>
        </w:rPr>
      </w:pPr>
      <w:r>
        <w:rPr>
          <w:rFonts w:ascii="Arial" w:cs="Arial" w:eastAsia="Arial" w:hAnsi="Arial"/>
          <w:sz w:val="14"/>
          <w:szCs w:val="14"/>
          <w:color w:val="auto"/>
        </w:rPr>
        <w:t>Link pay and performance</w:t>
      </w:r>
    </w:p>
    <w:p>
      <w:pPr>
        <w:spacing w:after="0" w:line="109" w:lineRule="exact"/>
        <w:rPr>
          <w:rFonts w:ascii="Arial" w:cs="Arial" w:eastAsia="Arial" w:hAnsi="Arial"/>
          <w:sz w:val="14"/>
          <w:szCs w:val="14"/>
          <w:color w:val="auto"/>
        </w:rPr>
      </w:pPr>
    </w:p>
    <w:p>
      <w:pPr>
        <w:ind w:left="213" w:right="240" w:hanging="213"/>
        <w:spacing w:after="0" w:line="253" w:lineRule="auto"/>
        <w:tabs>
          <w:tab w:leader="none" w:pos="191" w:val="left"/>
        </w:tabs>
        <w:numPr>
          <w:ilvl w:val="0"/>
          <w:numId w:val="38"/>
        </w:numPr>
        <w:rPr>
          <w:rFonts w:ascii="Arial" w:cs="Arial" w:eastAsia="Arial" w:hAnsi="Arial"/>
          <w:sz w:val="14"/>
          <w:szCs w:val="14"/>
          <w:color w:val="auto"/>
        </w:rPr>
      </w:pPr>
      <w:r>
        <w:rPr>
          <w:rFonts w:ascii="Arial" w:cs="Arial" w:eastAsia="Arial" w:hAnsi="Arial"/>
          <w:sz w:val="14"/>
          <w:szCs w:val="14"/>
          <w:color w:val="auto"/>
        </w:rPr>
        <w:t>Drive the achievement of longer-term goals</w:t>
      </w:r>
    </w:p>
    <w:p>
      <w:pPr>
        <w:spacing w:after="0" w:line="146" w:lineRule="exact"/>
        <w:rPr>
          <w:rFonts w:ascii="Arial" w:cs="Arial" w:eastAsia="Arial" w:hAnsi="Arial"/>
          <w:sz w:val="14"/>
          <w:szCs w:val="14"/>
          <w:color w:val="auto"/>
        </w:rPr>
      </w:pPr>
    </w:p>
    <w:p>
      <w:pPr>
        <w:ind w:left="193" w:hanging="193"/>
        <w:spacing w:after="0"/>
        <w:tabs>
          <w:tab w:leader="none" w:pos="193" w:val="left"/>
        </w:tabs>
        <w:numPr>
          <w:ilvl w:val="0"/>
          <w:numId w:val="38"/>
        </w:numPr>
        <w:rPr>
          <w:rFonts w:ascii="Arial" w:cs="Arial" w:eastAsia="Arial" w:hAnsi="Arial"/>
          <w:sz w:val="14"/>
          <w:szCs w:val="14"/>
          <w:color w:val="auto"/>
        </w:rPr>
      </w:pPr>
      <w:r>
        <w:rPr>
          <w:rFonts w:ascii="Arial" w:cs="Arial" w:eastAsia="Arial" w:hAnsi="Arial"/>
          <w:sz w:val="14"/>
          <w:szCs w:val="14"/>
          <w:color w:val="auto"/>
        </w:rPr>
        <w:t>Align with shareholder interests</w:t>
      </w:r>
    </w:p>
    <w:p>
      <w:pPr>
        <w:spacing w:after="0" w:line="217" w:lineRule="exact"/>
        <w:rPr>
          <w:rFonts w:ascii="Arial" w:cs="Arial" w:eastAsia="Arial" w:hAnsi="Arial"/>
          <w:sz w:val="14"/>
          <w:szCs w:val="14"/>
          <w:color w:val="auto"/>
        </w:rPr>
      </w:pPr>
    </w:p>
    <w:p>
      <w:pPr>
        <w:ind w:left="193" w:hanging="193"/>
        <w:spacing w:after="0"/>
        <w:tabs>
          <w:tab w:leader="none" w:pos="193" w:val="left"/>
        </w:tabs>
        <w:numPr>
          <w:ilvl w:val="0"/>
          <w:numId w:val="38"/>
        </w:numPr>
        <w:rPr>
          <w:rFonts w:ascii="Arial" w:cs="Arial" w:eastAsia="Arial" w:hAnsi="Arial"/>
          <w:sz w:val="13"/>
          <w:szCs w:val="13"/>
          <w:color w:val="auto"/>
        </w:rPr>
      </w:pPr>
      <w:r>
        <w:rPr>
          <w:rFonts w:ascii="Arial" w:cs="Arial" w:eastAsia="Arial" w:hAnsi="Arial"/>
          <w:sz w:val="13"/>
          <w:szCs w:val="13"/>
          <w:color w:val="auto"/>
        </w:rPr>
        <w:t>Support talent attraction and retention</w:t>
      </w:r>
    </w:p>
    <w:p>
      <w:pPr>
        <w:spacing w:after="0" w:line="1002" w:lineRule="exact"/>
        <w:rPr>
          <w:sz w:val="20"/>
          <w:szCs w:val="20"/>
          <w:color w:val="auto"/>
        </w:rPr>
      </w:pPr>
    </w:p>
    <w:p>
      <w:pPr>
        <w:sectPr>
          <w:pgSz w:w="11900" w:h="16838" w:orient="portrait"/>
          <w:cols w:equalWidth="0" w:num="3">
            <w:col w:w="5220" w:space="400"/>
            <w:col w:w="2400" w:space="607"/>
            <w:col w:w="2613"/>
          </w:cols>
          <w:pgMar w:left="320" w:top="769" w:right="339" w:bottom="1440" w:gutter="0" w:footer="0" w:header="0"/>
          <w:type w:val="continuous"/>
        </w:sectPr>
      </w:pPr>
    </w:p>
    <w:p>
      <w:pPr>
        <w:jc w:val="both"/>
        <w:ind w:firstLine="510"/>
        <w:spacing w:after="0" w:line="279" w:lineRule="auto"/>
        <w:rPr>
          <w:sz w:val="20"/>
          <w:szCs w:val="20"/>
          <w:color w:val="auto"/>
        </w:rPr>
      </w:pPr>
      <w:r>
        <w:rPr>
          <w:rFonts w:ascii="Arial" w:cs="Arial" w:eastAsia="Arial" w:hAnsi="Arial"/>
          <w:sz w:val="17"/>
          <w:szCs w:val="17"/>
          <w:color w:val="auto"/>
        </w:rPr>
        <w:t>Prior to our public offering, RCP had been a wholly-owned business of RGHL Group, and executive compensation has been set with this in mind. RCP has adopted programs that it feels, considering the advice from its consultants, are appropriate for a stand-alone publicly-traded company. Comparisons with the Benchmark Comparison Group (and compensation survey data where applicable) have been undertaken to recognize the increased independence of the NEOs and to adopt compensation programs that are more consistent with the public company market.</w:t>
      </w:r>
    </w:p>
    <w:p>
      <w:pPr>
        <w:spacing w:after="0" w:line="17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Because of the ability of our NEOs to directly influence our overall performance, and consistent with our philosophy of linking pay to performance, the compensation programs will allocate a significant portion of compensation paid to our NEOs to both short-term and long-term performance-based incentive programs. In addition, as an employee’s responsibility and ability to affect our financial results of RCP increases, base salary becomes a relatively smaller component of total compensation while long-term and at-risk incentive compensation becomes a larger component of total compensation.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Base salaries are set at competitive levels necessary to attract and retain top-performing senior executives, including our NEOs, and are intended to compensate senior executives for their job responsibilities and level of experience. RGHL has set a total compensation goal at approximately the 50</w:t>
      </w:r>
      <w:r>
        <w:rPr>
          <w:rFonts w:ascii="Arial" w:cs="Arial" w:eastAsia="Arial" w:hAnsi="Arial"/>
          <w:sz w:val="15"/>
          <w:szCs w:val="15"/>
          <w:color w:val="auto"/>
        </w:rPr>
        <w:t>th</w:t>
      </w:r>
      <w:r>
        <w:rPr>
          <w:rFonts w:ascii="Arial" w:cs="Arial" w:eastAsia="Arial" w:hAnsi="Arial"/>
          <w:sz w:val="18"/>
          <w:szCs w:val="18"/>
          <w:color w:val="auto"/>
        </w:rPr>
        <w:t xml:space="preserve"> percentile of the Benchmark Comparison Group (and, for our Business Unit Presidents, the overall general industry), adjusted to reflect each executive’s individual performance and contributions. Additionally, going forward the CNG Committee will attempt to set each of the elements of total compensation at or around the 50</w:t>
      </w:r>
      <w:r>
        <w:rPr>
          <w:rFonts w:ascii="Arial" w:cs="Arial" w:eastAsia="Arial" w:hAnsi="Arial"/>
          <w:sz w:val="15"/>
          <w:szCs w:val="15"/>
          <w:color w:val="auto"/>
        </w:rPr>
        <w:t>th</w:t>
      </w:r>
      <w:r>
        <w:rPr>
          <w:rFonts w:ascii="Arial" w:cs="Arial" w:eastAsia="Arial" w:hAnsi="Arial"/>
          <w:sz w:val="18"/>
          <w:szCs w:val="18"/>
          <w:color w:val="auto"/>
        </w:rPr>
        <w:t xml:space="preserve"> percentile of the Benchmark Comparison Group. However, as there were certain elements of compensation not available to RCP when it was wholly-owned by RGHL, such as equity-based compensation, the CNG Committee recognizes that it will take time before all of the individual elements of total compensation can reach the 50</w:t>
      </w:r>
      <w:r>
        <w:rPr>
          <w:rFonts w:ascii="Arial" w:cs="Arial" w:eastAsia="Arial" w:hAnsi="Arial"/>
          <w:sz w:val="15"/>
          <w:szCs w:val="15"/>
          <w:color w:val="auto"/>
        </w:rPr>
        <w:t>th</w:t>
      </w:r>
      <w:r>
        <w:rPr>
          <w:rFonts w:ascii="Arial" w:cs="Arial" w:eastAsia="Arial" w:hAnsi="Arial"/>
          <w:sz w:val="18"/>
          <w:szCs w:val="18"/>
          <w:color w:val="auto"/>
        </w:rPr>
        <w:t xml:space="preserve"> percentile goal. In certain cases, including when an executive is recruited from another company or where it is otherwise appropriate to retain or incentivize an executive, the base salary may exceed the levels indicated in order to attract, and ultimately retain, the executive.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Annual Incentive Compensation</w:t>
      </w:r>
    </w:p>
    <w:p>
      <w:pPr>
        <w:spacing w:after="0" w:line="229"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Our 2019 annual incentive program (“2019 AIP”) was designed to provide an opportunity for our senior executives, including our NEOs, to earn an annual incentive, paid in cash, based on the achievement of certain financial targets and strategic priorities. An executive’s incentive target is a percentage of his or her base salary.</w:t>
      </w:r>
    </w:p>
    <w:p>
      <w:pPr>
        <w:spacing w:after="0" w:line="18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2019 AIP was designed to motivate our senior executives to achieve annual financial and other business goals based on our strategic, financial, and operating performance objectives. For our senior executives, including our NEOs, 90% of the payout under the 2019 AIP was determined by Adjusted EBITDA year over year growth (“Adjusted EBITDA Growth”). The remaining 10% was measured by working capital achievements. Based on the combined Adjusted EBITDA Growth and working capital results, a participant could earn up to 200% of the target value. Additionally, an individual’s calculated payout amount could be increased or decreased at management’s discretion to take into account their performance and contribution to RCP. These 2019 Adjusted EBITDA Growth and working capital results reflect amounts that were reported by RCP as part of RGHL Group’s IFRS reporting.</w:t>
      </w:r>
    </w:p>
    <w:p>
      <w:pPr>
        <w:spacing w:after="0" w:line="16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Adjusted EBITDA Growth component was calculated on a scale where the threshold payout was 25% of the incentive target upon achievement of 90% Adjusted EBITDA Growth. The percentage payout increases on a non-linear scale with award payouts capped at 200% of target upon achievement of 108% Adjusted EBITDA Growth. The working capital achievements component was based on the achievement of discrete projects.</w:t>
      </w:r>
    </w:p>
    <w:p>
      <w:pPr>
        <w:spacing w:after="0" w:line="14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Based on Adjusted EBITDA Growth and achievement of working capital targets in 2019, the calculated payment was 122% of target, based on the following factors: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Adjusted</w:t>
            </w: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Payout Attainment</w:t>
            </w: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Final Payout</w:t>
            </w:r>
          </w:p>
        </w:tc>
        <w:tc>
          <w:tcPr>
            <w:tcW w:w="0" w:type="dxa"/>
            <w:vAlign w:val="bottom"/>
          </w:tcPr>
          <w:p>
            <w:pPr>
              <w:spacing w:after="0"/>
              <w:rPr>
                <w:sz w:val="1"/>
                <w:szCs w:val="1"/>
                <w:color w:val="auto"/>
              </w:rPr>
            </w:pPr>
          </w:p>
        </w:tc>
      </w:tr>
      <w:tr>
        <w:trPr>
          <w:trHeight w:val="148"/>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Metric</w:t>
            </w:r>
          </w:p>
        </w:tc>
        <w:tc>
          <w:tcPr>
            <w:tcW w:w="100" w:type="dxa"/>
            <w:vAlign w:val="bottom"/>
            <w:vMerge w:val="restart"/>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EBITDA</w:t>
            </w:r>
          </w:p>
        </w:tc>
        <w:tc>
          <w:tcPr>
            <w:tcW w:w="164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Actual ($m)</w:t>
            </w:r>
          </w:p>
        </w:tc>
        <w:tc>
          <w:tcPr>
            <w:tcW w:w="1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Growth</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900" w:type="dxa"/>
            <w:vAlign w:val="bottom"/>
          </w:tcPr>
          <w:p>
            <w:pPr>
              <w:spacing w:after="0"/>
              <w:rPr>
                <w:sz w:val="19"/>
                <w:szCs w:val="19"/>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122%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Compensation</w:t>
      </w:r>
    </w:p>
    <w:p>
      <w:pPr>
        <w:spacing w:after="0" w:line="22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 small number of key executives, including our NEOs, participated in a cash-based long-term incentive program (“RGHL LTIP”) designed to provide the participants an opportunity to earn incentive awards tied to sustained Adjusted EBITDA Growth over a three-year term. Pursuant to the RGHL LTIP, participants receive a grant at the beginning of a three-year performance period that can be earned over such period in annual instalments based upon the attainment of certain Adjusted EBITDA Growth metrics set at the beginning of the period. Each grant will provide for a “Target Opportunity Award” (based on a percentage of base salary) that can be achieved over the three-year period. The performance results achieved in the first year of the three-year period will establish the total amount of the award (which is expressed as a percentage of the Target Opportunity Award) that can be payable over the specified three-year period. If the business does not meet the performance threshold level in the first year, the participant is no longer eligible to earn any amount over the three-year period. If the business meets the threshold in the first year, the participant will receive the first payment, but the second and third payments depend on business results in the second and third years.</w:t>
      </w:r>
    </w:p>
    <w:p>
      <w:pPr>
        <w:spacing w:after="0" w:line="18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2019 grant, covering the years 2019-2021, was based on Adjusted EBITDA Growth and potential payouts ranged from an award of 25% of the target value for 90% Adjusted EBITDA Growth up to 125% of the target value for 108% Adjusted EBITDA Growth. The actual result of 103% Adjusted EBITDA Growth translated to a payout equal to 101% of the target value. Therefore, a participant’s Target Opportunity Award for the 2019 grant is multiplied by 101%, and the result is the maximum that can be earned for the 2019 grant over the three-year period. One-third of such amount was paid in early 2020 in respect of 2019, and one-third will be available to be earned in respect of each of 2020 and 2021 contingent on the company meeting its performance targets in such years. See the “Summary Compensation Table” section below for the amounts earned in 2019 under grants made in 2017, 2018 and 2019 under the RGHL LTIP.</w:t>
      </w:r>
    </w:p>
    <w:p>
      <w:pPr>
        <w:spacing w:after="0" w:line="19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will not be issuing any new grants under the RGHL LTIP after our IPO. A participant is not eligible to receive any award if they are not employed by RCP at the time the award is paid.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Other Compensation—Retirement and Welfare Benefits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Retirement and welfare benefit programs are a necessary element of the total compensation package to ensure a competitive position in attracting and retaining a committed workforce. Participation in these programs is not tied to performance.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specific contribution levels to these programs are adjusted annually to maintain a competitive position while considering costs.</w:t>
      </w:r>
    </w:p>
    <w:p>
      <w:pPr>
        <w:spacing w:after="0" w:line="117" w:lineRule="exact"/>
        <w:rPr>
          <w:sz w:val="20"/>
          <w:szCs w:val="20"/>
          <w:color w:val="auto"/>
        </w:rPr>
      </w:pPr>
    </w:p>
    <w:p>
      <w:pPr>
        <w:jc w:val="both"/>
        <w:ind w:left="760" w:hanging="253"/>
        <w:spacing w:after="0" w:line="26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Savings Plan. All non-union employees in the United States, including our NEOs, are eligible to participate in a tax-qualified retirement savings plan under Section 401(k) of the Code. RCP makes a 2% non-elective contribution and matching contributions of 100% of the first 6% of an employee’s elective deferral contribution.</w:t>
      </w:r>
    </w:p>
    <w:p>
      <w:pPr>
        <w:spacing w:after="0" w:line="75" w:lineRule="exact"/>
        <w:rPr>
          <w:rFonts w:ascii="Arial" w:cs="Arial" w:eastAsia="Arial" w:hAnsi="Arial"/>
          <w:sz w:val="18"/>
          <w:szCs w:val="18"/>
          <w:color w:val="auto"/>
        </w:rPr>
      </w:pPr>
    </w:p>
    <w:p>
      <w:pPr>
        <w:ind w:left="760" w:right="20" w:hanging="253"/>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Welfare Plans. Our executives are also eligible to participate in our broad-based health and welfare plans (including medical, dental, vision, life insurance and disability plans) upon the same terms and conditions as other employees.</w:t>
      </w:r>
    </w:p>
    <w:p>
      <w:pPr>
        <w:spacing w:after="0" w:line="62"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Reynolds Group Pension Plan (formerly known as the Pactiv Retirement Plan). Certain employees, including Messrs. Pace and Cappel, have frozen benefits under the Reynolds Group Pension Plan.</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RCP employees who are at a designated salary grade or above may defer a portion of their salary and bonus each year into a nonqualified deferred compensation plan, which is a tax-deferred plan. RCP also makes contributions to this plan mirroring percentage contributions made to the 401(k) plan. This program is intended to promote retention by providing a long-term savings opportunity on a tax-efficient basis. The amounts deferred are unsecured obligations of RCP, receive no preferential standing, and are subject to the same risks as any of RCP’s other unsecured obligations.</w:t>
      </w:r>
    </w:p>
    <w:p>
      <w:pPr>
        <w:spacing w:after="0" w:line="15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RGHL provides the NEOs with limited perquisites and other personal benefits, including reimbursement of relocation costs. Additionally, RCP purchases tickets to various cultural, charitable, civic, entertainment and sporting events for business development and relationship building purposes, and to maintain its involvement in communities in which RCP operates and its employees live. Occasionally, its employees, including its NEOs, make personal use of tickets that would not otherwise be used for business purposes. The CNG Committee will periodically review the levels of perquisites and other personal benefits provided to our NEOs. The CNG Committee intends to maintain only those perquisites and other benefits that it determines to be necessary components of total compensation and that are not inconsistent with stockholder interests.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wholly-owned subsidiary Reynolds Consumer Products LLC has entered into employment agreements in 2019 with each of our NEOs. Key elements of these agreements are outlined below.</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280" w:type="dxa"/>
            <w:vAlign w:val="bottom"/>
            <w:tcBorders>
              <w:right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Employee</w:t>
            </w:r>
          </w:p>
        </w:tc>
        <w:tc>
          <w:tcPr>
            <w:tcW w:w="240" w:type="dxa"/>
            <w:vAlign w:val="bottom"/>
          </w:tcPr>
          <w:p>
            <w:pPr>
              <w:spacing w:after="0"/>
              <w:rPr>
                <w:sz w:val="14"/>
                <w:szCs w:val="14"/>
                <w:color w:val="auto"/>
              </w:rPr>
            </w:pPr>
          </w:p>
        </w:tc>
        <w:tc>
          <w:tcPr>
            <w:tcW w:w="102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Base Salary</w:t>
            </w:r>
          </w:p>
        </w:tc>
        <w:tc>
          <w:tcPr>
            <w:tcW w:w="186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4"/>
                <w:szCs w:val="14"/>
                <w:b w:val="1"/>
                <w:bCs w:val="1"/>
                <w:color w:val="auto"/>
              </w:rPr>
              <w:t xml:space="preserve">Incentive Target </w:t>
            </w:r>
            <w:r>
              <w:rPr>
                <w:rFonts w:ascii="Arial" w:cs="Arial" w:eastAsia="Arial" w:hAnsi="Arial"/>
                <w:sz w:val="12"/>
                <w:szCs w:val="12"/>
                <w:b w:val="1"/>
                <w:bCs w:val="1"/>
                <w:color w:val="auto"/>
              </w:rPr>
              <w:t>(1)</w:t>
            </w:r>
          </w:p>
        </w:tc>
        <w:tc>
          <w:tcPr>
            <w:tcW w:w="5360" w:type="dxa"/>
            <w:vAlign w:val="bottom"/>
            <w:tcBorders>
              <w:right w:val="single" w:sz="8" w:color="auto"/>
            </w:tcBorders>
            <w:gridSpan w:val="3"/>
            <w:vMerge w:val="restart"/>
          </w:tcPr>
          <w:p>
            <w:pPr>
              <w:ind w:left="234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Restrictive</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5360" w:type="dxa"/>
            <w:vAlign w:val="bottom"/>
            <w:tcBorders>
              <w:right w:val="single" w:sz="8" w:color="auto"/>
            </w:tcBorders>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Covenants</w:t>
            </w:r>
            <w:r>
              <w:rPr>
                <w:rFonts w:ascii="Arial" w:cs="Arial" w:eastAsia="Arial" w:hAnsi="Arial"/>
                <w:sz w:val="12"/>
                <w:szCs w:val="12"/>
                <w:b w:val="1"/>
                <w:bCs w:val="1"/>
                <w:color w:val="auto"/>
                <w:w w:val="90"/>
              </w:rPr>
              <w:t>(2)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150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i w:val="1"/>
                <w:iCs w:val="1"/>
                <w:color w:val="auto"/>
                <w:w w:val="93"/>
              </w:rPr>
              <w:t>Lance Mitchell</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$1,550,000</w:t>
            </w:r>
          </w:p>
        </w:tc>
        <w:tc>
          <w:tcPr>
            <w:tcW w:w="280" w:type="dxa"/>
            <w:vAlign w:val="bottom"/>
            <w:tcBorders>
              <w:right w:val="single" w:sz="8" w:color="auto"/>
            </w:tcBorders>
          </w:tcPr>
          <w:p>
            <w:pPr>
              <w:spacing w:after="0"/>
              <w:rPr>
                <w:sz w:val="21"/>
                <w:szCs w:val="21"/>
                <w:color w:val="auto"/>
              </w:rPr>
            </w:pPr>
          </w:p>
        </w:tc>
        <w:tc>
          <w:tcPr>
            <w:tcW w:w="1640" w:type="dxa"/>
            <w:vAlign w:val="bottom"/>
            <w:gridSpan w:val="2"/>
          </w:tcPr>
          <w:p>
            <w:pPr>
              <w:jc w:val="center"/>
              <w:ind w:left="368"/>
              <w:spacing w:after="0"/>
              <w:rPr>
                <w:sz w:val="20"/>
                <w:szCs w:val="20"/>
                <w:color w:val="auto"/>
              </w:rPr>
            </w:pPr>
            <w:r>
              <w:rPr>
                <w:rFonts w:ascii="Arial" w:cs="Arial" w:eastAsia="Arial" w:hAnsi="Arial"/>
                <w:sz w:val="14"/>
                <w:szCs w:val="14"/>
                <w:color w:val="auto"/>
                <w:w w:val="89"/>
              </w:rPr>
              <w:t>115%</w:t>
            </w:r>
          </w:p>
        </w:tc>
        <w:tc>
          <w:tcPr>
            <w:tcW w:w="220" w:type="dxa"/>
            <w:vAlign w:val="bottom"/>
            <w:tcBorders>
              <w:right w:val="single" w:sz="8" w:color="auto"/>
            </w:tcBorders>
          </w:tcPr>
          <w:p>
            <w:pPr>
              <w:spacing w:after="0"/>
              <w:rPr>
                <w:sz w:val="21"/>
                <w:szCs w:val="21"/>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base salary plus a prorated target annual incentive</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  24 months base salary plus a prorated target annual incentive if following a Sale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560"/>
              <w:spacing w:after="0" w:line="149" w:lineRule="exact"/>
              <w:rPr>
                <w:sz w:val="20"/>
                <w:szCs w:val="20"/>
                <w:color w:val="auto"/>
              </w:rPr>
            </w:pPr>
            <w:r>
              <w:rPr>
                <w:rFonts w:ascii="Arial" w:cs="Arial" w:eastAsia="Arial" w:hAnsi="Arial"/>
                <w:sz w:val="14"/>
                <w:szCs w:val="14"/>
                <w:color w:val="auto"/>
              </w:rPr>
              <w:t>of Business (3)</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COBRA premium assistance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50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i w:val="1"/>
                <w:iCs w:val="1"/>
                <w:color w:val="auto"/>
                <w:w w:val="94"/>
              </w:rPr>
              <w:t>Michael Graham</w:t>
            </w:r>
          </w:p>
        </w:tc>
        <w:tc>
          <w:tcPr>
            <w:tcW w:w="980" w:type="dxa"/>
            <w:vAlign w:val="bottom"/>
            <w:gridSpan w:val="2"/>
          </w:tcPr>
          <w:p>
            <w:pPr>
              <w:jc w:val="center"/>
              <w:ind w:left="168"/>
              <w:spacing w:after="0"/>
              <w:rPr>
                <w:sz w:val="20"/>
                <w:szCs w:val="20"/>
                <w:color w:val="auto"/>
              </w:rPr>
            </w:pPr>
            <w:r>
              <w:rPr>
                <w:rFonts w:ascii="Arial" w:cs="Arial" w:eastAsia="Arial" w:hAnsi="Arial"/>
                <w:sz w:val="14"/>
                <w:szCs w:val="14"/>
                <w:color w:val="auto"/>
                <w:w w:val="92"/>
              </w:rPr>
              <w:t>$798,716</w:t>
            </w:r>
          </w:p>
        </w:tc>
        <w:tc>
          <w:tcPr>
            <w:tcW w:w="280" w:type="dxa"/>
            <w:vAlign w:val="bottom"/>
            <w:tcBorders>
              <w:right w:val="single" w:sz="8" w:color="auto"/>
            </w:tcBorders>
          </w:tcPr>
          <w:p>
            <w:pPr>
              <w:spacing w:after="0"/>
              <w:rPr>
                <w:sz w:val="20"/>
                <w:szCs w:val="20"/>
                <w:color w:val="auto"/>
              </w:rPr>
            </w:pPr>
          </w:p>
        </w:tc>
        <w:tc>
          <w:tcPr>
            <w:tcW w:w="1640" w:type="dxa"/>
            <w:vAlign w:val="bottom"/>
            <w:gridSpan w:val="2"/>
          </w:tcPr>
          <w:p>
            <w:pPr>
              <w:jc w:val="center"/>
              <w:ind w:left="388"/>
              <w:spacing w:after="0"/>
              <w:rPr>
                <w:sz w:val="20"/>
                <w:szCs w:val="20"/>
                <w:color w:val="auto"/>
              </w:rPr>
            </w:pPr>
            <w:r>
              <w:rPr>
                <w:rFonts w:ascii="Arial" w:cs="Arial" w:eastAsia="Arial" w:hAnsi="Arial"/>
                <w:sz w:val="14"/>
                <w:szCs w:val="14"/>
                <w:color w:val="auto"/>
                <w:w w:val="92"/>
              </w:rPr>
              <w:t>60%</w:t>
            </w:r>
          </w:p>
        </w:tc>
        <w:tc>
          <w:tcPr>
            <w:tcW w:w="220" w:type="dxa"/>
            <w:vAlign w:val="bottom"/>
            <w:tcBorders>
              <w:right w:val="single" w:sz="8" w:color="auto"/>
            </w:tcBorders>
          </w:tcPr>
          <w:p>
            <w:pPr>
              <w:spacing w:after="0"/>
              <w:rPr>
                <w:sz w:val="20"/>
                <w:szCs w:val="20"/>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base salary</w:t>
            </w:r>
          </w:p>
        </w:tc>
        <w:tc>
          <w:tcPr>
            <w:tcW w:w="1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  24 months base salary plus a prorated target annual incentive if following a Sale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560"/>
              <w:spacing w:after="0" w:line="149" w:lineRule="exact"/>
              <w:rPr>
                <w:sz w:val="20"/>
                <w:szCs w:val="20"/>
                <w:color w:val="auto"/>
              </w:rPr>
            </w:pPr>
            <w:r>
              <w:rPr>
                <w:rFonts w:ascii="Arial" w:cs="Arial" w:eastAsia="Arial" w:hAnsi="Arial"/>
                <w:sz w:val="14"/>
                <w:szCs w:val="14"/>
                <w:color w:val="auto"/>
              </w:rPr>
              <w:t>of Business (3)</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COBRA premium assistance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50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i w:val="1"/>
                <w:iCs w:val="1"/>
                <w:color w:val="auto"/>
                <w:w w:val="87"/>
              </w:rPr>
              <w:t>Stephan Pace</w:t>
            </w:r>
          </w:p>
        </w:tc>
        <w:tc>
          <w:tcPr>
            <w:tcW w:w="980" w:type="dxa"/>
            <w:vAlign w:val="bottom"/>
            <w:gridSpan w:val="2"/>
          </w:tcPr>
          <w:p>
            <w:pPr>
              <w:jc w:val="center"/>
              <w:ind w:left="168"/>
              <w:spacing w:after="0"/>
              <w:rPr>
                <w:sz w:val="20"/>
                <w:szCs w:val="20"/>
                <w:color w:val="auto"/>
              </w:rPr>
            </w:pPr>
            <w:r>
              <w:rPr>
                <w:rFonts w:ascii="Arial" w:cs="Arial" w:eastAsia="Arial" w:hAnsi="Arial"/>
                <w:sz w:val="14"/>
                <w:szCs w:val="14"/>
                <w:color w:val="auto"/>
                <w:w w:val="92"/>
              </w:rPr>
              <w:t>$450,204</w:t>
            </w:r>
          </w:p>
        </w:tc>
        <w:tc>
          <w:tcPr>
            <w:tcW w:w="280" w:type="dxa"/>
            <w:vAlign w:val="bottom"/>
            <w:tcBorders>
              <w:right w:val="single" w:sz="8" w:color="auto"/>
            </w:tcBorders>
          </w:tcPr>
          <w:p>
            <w:pPr>
              <w:spacing w:after="0"/>
              <w:rPr>
                <w:sz w:val="24"/>
                <w:szCs w:val="24"/>
                <w:color w:val="auto"/>
              </w:rPr>
            </w:pPr>
          </w:p>
        </w:tc>
        <w:tc>
          <w:tcPr>
            <w:tcW w:w="1640" w:type="dxa"/>
            <w:vAlign w:val="bottom"/>
            <w:gridSpan w:val="2"/>
          </w:tcPr>
          <w:p>
            <w:pPr>
              <w:jc w:val="center"/>
              <w:ind w:left="388"/>
              <w:spacing w:after="0"/>
              <w:rPr>
                <w:sz w:val="20"/>
                <w:szCs w:val="20"/>
                <w:color w:val="auto"/>
              </w:rPr>
            </w:pPr>
            <w:r>
              <w:rPr>
                <w:rFonts w:ascii="Arial" w:cs="Arial" w:eastAsia="Arial" w:hAnsi="Arial"/>
                <w:sz w:val="14"/>
                <w:szCs w:val="14"/>
                <w:color w:val="auto"/>
                <w:w w:val="92"/>
              </w:rPr>
              <w:t>60%</w:t>
            </w:r>
          </w:p>
        </w:tc>
        <w:tc>
          <w:tcPr>
            <w:tcW w:w="22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base salary</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  24 months base salary plus a prorated target annual incentive if following a Sale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560"/>
              <w:spacing w:after="0" w:line="149" w:lineRule="exact"/>
              <w:rPr>
                <w:sz w:val="20"/>
                <w:szCs w:val="20"/>
                <w:color w:val="auto"/>
              </w:rPr>
            </w:pPr>
            <w:r>
              <w:rPr>
                <w:rFonts w:ascii="Arial" w:cs="Arial" w:eastAsia="Arial" w:hAnsi="Arial"/>
                <w:sz w:val="14"/>
                <w:szCs w:val="14"/>
                <w:color w:val="auto"/>
              </w:rPr>
              <w:t>of Business (3)</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COBRA premium assistance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50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i w:val="1"/>
                <w:iCs w:val="1"/>
                <w:color w:val="auto"/>
                <w:w w:val="92"/>
              </w:rPr>
              <w:t>Craig Cappel</w:t>
            </w:r>
          </w:p>
        </w:tc>
        <w:tc>
          <w:tcPr>
            <w:tcW w:w="980" w:type="dxa"/>
            <w:vAlign w:val="bottom"/>
            <w:gridSpan w:val="2"/>
          </w:tcPr>
          <w:p>
            <w:pPr>
              <w:jc w:val="center"/>
              <w:ind w:left="168"/>
              <w:spacing w:after="0"/>
              <w:rPr>
                <w:sz w:val="20"/>
                <w:szCs w:val="20"/>
                <w:color w:val="auto"/>
              </w:rPr>
            </w:pPr>
            <w:r>
              <w:rPr>
                <w:rFonts w:ascii="Arial" w:cs="Arial" w:eastAsia="Arial" w:hAnsi="Arial"/>
                <w:sz w:val="14"/>
                <w:szCs w:val="14"/>
                <w:color w:val="auto"/>
                <w:w w:val="92"/>
              </w:rPr>
              <w:t>$463,500</w:t>
            </w:r>
          </w:p>
        </w:tc>
        <w:tc>
          <w:tcPr>
            <w:tcW w:w="280" w:type="dxa"/>
            <w:vAlign w:val="bottom"/>
            <w:tcBorders>
              <w:right w:val="single" w:sz="8" w:color="auto"/>
            </w:tcBorders>
          </w:tcPr>
          <w:p>
            <w:pPr>
              <w:spacing w:after="0"/>
              <w:rPr>
                <w:sz w:val="24"/>
                <w:szCs w:val="24"/>
                <w:color w:val="auto"/>
              </w:rPr>
            </w:pPr>
          </w:p>
        </w:tc>
        <w:tc>
          <w:tcPr>
            <w:tcW w:w="1640" w:type="dxa"/>
            <w:vAlign w:val="bottom"/>
            <w:gridSpan w:val="2"/>
          </w:tcPr>
          <w:p>
            <w:pPr>
              <w:jc w:val="center"/>
              <w:ind w:left="388"/>
              <w:spacing w:after="0"/>
              <w:rPr>
                <w:sz w:val="20"/>
                <w:szCs w:val="20"/>
                <w:color w:val="auto"/>
              </w:rPr>
            </w:pPr>
            <w:r>
              <w:rPr>
                <w:rFonts w:ascii="Arial" w:cs="Arial" w:eastAsia="Arial" w:hAnsi="Arial"/>
                <w:sz w:val="14"/>
                <w:szCs w:val="14"/>
                <w:color w:val="auto"/>
                <w:w w:val="92"/>
              </w:rPr>
              <w:t>60%</w:t>
            </w:r>
          </w:p>
        </w:tc>
        <w:tc>
          <w:tcPr>
            <w:tcW w:w="22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base salary</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  24 months base salary plus a prorated target annual incentive if following a Sale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560"/>
              <w:spacing w:after="0" w:line="149" w:lineRule="exact"/>
              <w:rPr>
                <w:sz w:val="20"/>
                <w:szCs w:val="20"/>
                <w:color w:val="auto"/>
              </w:rPr>
            </w:pPr>
            <w:r>
              <w:rPr>
                <w:rFonts w:ascii="Arial" w:cs="Arial" w:eastAsia="Arial" w:hAnsi="Arial"/>
                <w:sz w:val="14"/>
                <w:szCs w:val="14"/>
                <w:color w:val="auto"/>
              </w:rPr>
              <w:t>of Business (3)</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COBRA premium assistance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50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i w:val="1"/>
                <w:iCs w:val="1"/>
                <w:color w:val="auto"/>
                <w:w w:val="90"/>
              </w:rPr>
              <w:t>Rachel Bishop</w:t>
            </w:r>
          </w:p>
        </w:tc>
        <w:tc>
          <w:tcPr>
            <w:tcW w:w="980" w:type="dxa"/>
            <w:vAlign w:val="bottom"/>
            <w:gridSpan w:val="2"/>
          </w:tcPr>
          <w:p>
            <w:pPr>
              <w:jc w:val="center"/>
              <w:ind w:left="168"/>
              <w:spacing w:after="0"/>
              <w:rPr>
                <w:sz w:val="20"/>
                <w:szCs w:val="20"/>
                <w:color w:val="auto"/>
              </w:rPr>
            </w:pPr>
            <w:r>
              <w:rPr>
                <w:rFonts w:ascii="Arial" w:cs="Arial" w:eastAsia="Arial" w:hAnsi="Arial"/>
                <w:sz w:val="14"/>
                <w:szCs w:val="14"/>
                <w:color w:val="auto"/>
                <w:w w:val="92"/>
              </w:rPr>
              <w:t>$412,000</w:t>
            </w:r>
          </w:p>
        </w:tc>
        <w:tc>
          <w:tcPr>
            <w:tcW w:w="280" w:type="dxa"/>
            <w:vAlign w:val="bottom"/>
            <w:tcBorders>
              <w:right w:val="single" w:sz="8" w:color="auto"/>
            </w:tcBorders>
          </w:tcPr>
          <w:p>
            <w:pPr>
              <w:spacing w:after="0"/>
              <w:rPr>
                <w:sz w:val="24"/>
                <w:szCs w:val="24"/>
                <w:color w:val="auto"/>
              </w:rPr>
            </w:pPr>
          </w:p>
        </w:tc>
        <w:tc>
          <w:tcPr>
            <w:tcW w:w="1640" w:type="dxa"/>
            <w:vAlign w:val="bottom"/>
            <w:gridSpan w:val="2"/>
          </w:tcPr>
          <w:p>
            <w:pPr>
              <w:jc w:val="center"/>
              <w:ind w:left="388"/>
              <w:spacing w:after="0"/>
              <w:rPr>
                <w:sz w:val="20"/>
                <w:szCs w:val="20"/>
                <w:color w:val="auto"/>
              </w:rPr>
            </w:pPr>
            <w:r>
              <w:rPr>
                <w:rFonts w:ascii="Arial" w:cs="Arial" w:eastAsia="Arial" w:hAnsi="Arial"/>
                <w:sz w:val="14"/>
                <w:szCs w:val="14"/>
                <w:color w:val="auto"/>
                <w:w w:val="92"/>
              </w:rPr>
              <w:t>60%</w:t>
            </w:r>
          </w:p>
        </w:tc>
        <w:tc>
          <w:tcPr>
            <w:tcW w:w="22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base salary</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Yes</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220"/>
              <w:spacing w:after="0" w:line="149" w:lineRule="exact"/>
              <w:rPr>
                <w:sz w:val="20"/>
                <w:szCs w:val="20"/>
                <w:color w:val="auto"/>
              </w:rPr>
            </w:pPr>
            <w:r>
              <w:rPr>
                <w:rFonts w:ascii="Arial" w:cs="Arial" w:eastAsia="Arial" w:hAnsi="Arial"/>
                <w:sz w:val="14"/>
                <w:szCs w:val="14"/>
                <w:color w:val="auto"/>
              </w:rPr>
              <w:t>•  24 months base salary plus a prorated target annual incentive if following a Sale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360" w:type="dxa"/>
            <w:vAlign w:val="bottom"/>
            <w:tcBorders>
              <w:right w:val="single" w:sz="8" w:color="auto"/>
            </w:tcBorders>
            <w:gridSpan w:val="3"/>
          </w:tcPr>
          <w:p>
            <w:pPr>
              <w:ind w:left="560"/>
              <w:spacing w:after="0" w:line="149" w:lineRule="exact"/>
              <w:rPr>
                <w:sz w:val="20"/>
                <w:szCs w:val="20"/>
                <w:color w:val="auto"/>
              </w:rPr>
            </w:pPr>
            <w:r>
              <w:rPr>
                <w:rFonts w:ascii="Arial" w:cs="Arial" w:eastAsia="Arial" w:hAnsi="Arial"/>
                <w:sz w:val="14"/>
                <w:szCs w:val="14"/>
                <w:color w:val="auto"/>
              </w:rPr>
              <w:t>of Business (3)</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360" w:type="dxa"/>
            <w:vAlign w:val="bottom"/>
            <w:tcBorders>
              <w:right w:val="single" w:sz="8" w:color="auto"/>
            </w:tcBorders>
            <w:gridSpan w:val="3"/>
          </w:tcPr>
          <w:p>
            <w:pPr>
              <w:ind w:left="220"/>
              <w:spacing w:after="0"/>
              <w:rPr>
                <w:sz w:val="20"/>
                <w:szCs w:val="20"/>
                <w:color w:val="auto"/>
              </w:rPr>
            </w:pPr>
            <w:r>
              <w:rPr>
                <w:rFonts w:ascii="Arial" w:cs="Arial" w:eastAsia="Arial" w:hAnsi="Arial"/>
                <w:sz w:val="14"/>
                <w:szCs w:val="14"/>
                <w:color w:val="auto"/>
              </w:rPr>
              <w:t>•  12 months COBRA premium assistance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Incentive target is percentage of base salary.</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Restrictive covenants include non-competition and non-solicitation covenants during employment and for one year following termination of employment for any reason.</w:t>
      </w:r>
    </w:p>
    <w:p>
      <w:pPr>
        <w:ind w:left="500" w:right="20" w:hanging="492"/>
        <w:spacing w:after="0" w:line="26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severance provided if within 12 months following a Sale of Business, the employee is terminated without cause or resigns following a material reduction in his or her remuneration or scope of duties.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Compensation Programs</w:t>
      </w:r>
    </w:p>
    <w:p>
      <w:pPr>
        <w:spacing w:after="0" w:line="229"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believe that a significant portion of each senior executive’s compensation should be dependent on long-term value created for our stockholders. In connection with our IPO we adopted the Reynolds Consumer Products Equity Incentive Plan, described below, which provides greater opportunities to offer different types of incentive compensation. For 2020, RGHL has established STI and LTI programs for RCP.</w:t>
      </w:r>
    </w:p>
    <w:p>
      <w:pPr>
        <w:spacing w:after="0" w:line="57" w:lineRule="exact"/>
        <w:rPr>
          <w:sz w:val="20"/>
          <w:szCs w:val="20"/>
          <w:color w:val="auto"/>
        </w:rPr>
      </w:pPr>
    </w:p>
    <w:p>
      <w:pPr>
        <w:jc w:val="both"/>
        <w:ind w:left="760" w:hanging="253"/>
        <w:spacing w:after="0" w:line="263"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STI program will allow participants, including the NEOs, to earn cash awards (determined as a percentage of the participant’s base salary) based on RCP’s attainment of Adjusted EBITDA (90%) and working capital (10%) goals in fiscal year 2020. The targets and threshold levels for these performance metrics were set by the CNG Committee in the first fiscal quarter of 2020.</w:t>
      </w:r>
    </w:p>
    <w:p>
      <w:pPr>
        <w:spacing w:after="0" w:line="75" w:lineRule="exact"/>
        <w:rPr>
          <w:rFonts w:ascii="Arial" w:cs="Arial" w:eastAsia="Arial" w:hAnsi="Arial"/>
          <w:sz w:val="18"/>
          <w:szCs w:val="18"/>
          <w:color w:val="auto"/>
        </w:rPr>
      </w:pPr>
    </w:p>
    <w:p>
      <w:pPr>
        <w:jc w:val="both"/>
        <w:ind w:left="760" w:hanging="253"/>
        <w:spacing w:after="0" w:line="301"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LTI program for 2020 consists of restricted stock unit (“RSU”) awards and performance share awards. The restricted stock or restricted stock units will generally vest over a three-year period, with 1/3 vesting each year. The performance shares will be earned at the end of a three-year period based on the attainment of specified performance metrics, which include earnings per share and Adjusted EBITDA, over the three-year period. The target and threshold levels for these performance metrics were set by the CNG Committee in the first fiscal quarter of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purpose of the Equity Incentive Plan is to motivate and reward our employees, directors, consultants and advisors to perform at the highest level and to further our best interests and those of our shareholders.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3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CNG Committee will administer the Equity Incentive Plan. To the extent not inconsistent with applicable law, our CNG Committee may delegate to one or more of our officers some or all of the authority under the Equity Incentive Plan, including the authority to grant all types of awards authorized under the Equity Incentive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Generally, all employees, directors, consultants or other advisors of RCP or any of our affiliates will be eligible to receive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Repricing</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Except as provided in the adjustment provision of the Equity Incentive Plan, no action will directly or indirectly, through cancellation and regrant or any other method, reduce, or have the effect of reducing, the exercise price of any option or an SAR established at the time of grant thereof without approval of our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Pay Cap</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Subject to the adjustment provision of the Equity Incentive Plan, an individual who is a non-employee director may not receive awards, in cash or otherwise, for any calendar year that total more than $750,000 in the aggregate.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Retention Plan</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our IPO, we entered into cash and equity retention agreements with our NEOs and certain other key executives. The retention plan was implemented to further ensure leadership continuity, and its objectives are to retain executives through the IPO and beyond. Awards under the retention plan are payable in cash and equity based on the criteria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Retention Plan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retention plan is paid in one, two or three instalments. If the executive resigns or is terminated for cause before the end of the retention period, the executive must repay any instalments which have already been paid to him or her.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February 4, 2020, RCP issued restricted stock units to the NEOs and certain other persons. The RSUs vest over a three year period, with 1/3 vesting after 12 months, 1/3 vesting after 24 months and 1/3 vesting after 36 months. Each of these executives must be an employee of RCP or one of its affiliates on the applicable vesting date to receive these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Considerations of Our Executive Compensation</w:t>
      </w:r>
    </w:p>
    <w:p>
      <w:pPr>
        <w:spacing w:after="0" w:line="11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Section 162(m) of the Code generally limits the tax deductibility of annual compensation paid by public companies for certain executive officers to $1 million. Although our CNG Committee is mindful of the benefits of tax deductibility when determining executive compensation, the CNG Committee may approve compensation that will not be fully-deductible in order to ensure competitive levels of total compensation for its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Our Stock-Based Compensation</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will account for stock-based payments, including grants under each of our equity compensation plans, in accordance with the requirements of FASB ASC Topic 718.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concerning the compensation paid to our NEOs during our fiscal years ended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Changes in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and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Salary</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2"/>
                <w:szCs w:val="12"/>
                <w:b w:val="1"/>
                <w:bCs w:val="1"/>
                <w:color w:val="auto"/>
              </w:rPr>
              <w:t>(2)</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(3)</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r>
              <w:rPr>
                <w:rFonts w:ascii="Arial" w:cs="Arial" w:eastAsia="Arial" w:hAnsi="Arial"/>
                <w:sz w:val="12"/>
                <w:szCs w:val="12"/>
                <w:b w:val="1"/>
                <w:bCs w:val="1"/>
                <w:color w:val="auto"/>
                <w:w w:val="93"/>
              </w:rPr>
              <w:t>(4)</w:t>
            </w: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(5)</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Lance Mitchell</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1,550,000</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1,550,000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3,429,903</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201,821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168,564</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1,458,333</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2,645,687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122,322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4,226,342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Michael Graham</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789,023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798,716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1,076,503</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228,991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95,634</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766,042</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984,818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92,632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Stephan Pace</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444,740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225,102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606,781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159,911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62,947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140"/>
              <w:spacing w:after="0"/>
              <w:rPr>
                <w:sz w:val="20"/>
                <w:szCs w:val="20"/>
                <w:color w:val="auto"/>
              </w:rPr>
            </w:pPr>
            <w:r>
              <w:rPr>
                <w:rFonts w:ascii="Arial" w:cs="Arial" w:eastAsia="Arial" w:hAnsi="Arial"/>
                <w:sz w:val="18"/>
                <w:szCs w:val="18"/>
                <w:color w:val="auto"/>
                <w:w w:val="99"/>
              </w:rPr>
              <w:t>President, Sales and Chief Customer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431,786</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559,731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62,524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Craig Cappel</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457,875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463,500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602,882</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100,151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55,009</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President, Reynolds Cooking &amp; Baking</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401,172</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445,961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50,230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 xml:space="preserve">Rachel Bishop </w:t>
            </w:r>
            <w:r>
              <w:rPr>
                <w:rFonts w:ascii="Arial" w:cs="Arial" w:eastAsia="Arial" w:hAnsi="Arial"/>
                <w:sz w:val="15"/>
                <w:szCs w:val="15"/>
                <w:b w:val="1"/>
                <w:bCs w:val="1"/>
                <w:color w:val="auto"/>
              </w:rPr>
              <w:t>(1)</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372,152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412,000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373,415</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30,578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President, Hefty Tableware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Bishop joined RCP in February 2019.</w:t>
      </w:r>
    </w:p>
    <w:p>
      <w:pPr>
        <w:spacing w:after="0" w:line="144"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values reflected in this column represent amounts awarded pursuant to one-time retention bonuses as more fully described in the section entitled “—Executive Retention Plan – </w:t>
      </w:r>
      <w:r>
        <w:rPr>
          <w:rFonts w:ascii="Arial" w:cs="Arial" w:eastAsia="Arial" w:hAnsi="Arial"/>
          <w:sz w:val="18"/>
          <w:szCs w:val="18"/>
          <w:i w:val="1"/>
          <w:iCs w:val="1"/>
          <w:color w:val="auto"/>
        </w:rPr>
        <w:t>Cash Retention Plan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column represents the NEO’s payouts under the annual incentive plan operated by RGHL in 2018, and the 2019 AIP and the RGHL LTIP as described above.</w:t>
      </w:r>
    </w:p>
    <w:p>
      <w:pPr>
        <w:spacing w:after="0" w:line="19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Awards under the 2019 AIP were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9"/>
              </w:rPr>
              <w:t>AIP Target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Payment From</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8"/>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9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Percentage</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9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6"/>
              </w:rPr>
              <w:t>115%</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2,174,650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9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40" w:type="dxa"/>
            <w:vAlign w:val="bottom"/>
          </w:tcPr>
          <w:p>
            <w:pPr>
              <w:jc w:val="right"/>
              <w:spacing w:after="0"/>
              <w:rPr>
                <w:sz w:val="20"/>
                <w:szCs w:val="20"/>
                <w:color w:val="auto"/>
              </w:rPr>
            </w:pPr>
            <w:r>
              <w:rPr>
                <w:rFonts w:ascii="Arial" w:cs="Arial" w:eastAsia="Arial" w:hAnsi="Arial"/>
                <w:sz w:val="18"/>
                <w:szCs w:val="18"/>
                <w:color w:val="auto"/>
              </w:rPr>
              <w:t>577,565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9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40" w:type="dxa"/>
            <w:vAlign w:val="bottom"/>
          </w:tcPr>
          <w:p>
            <w:pPr>
              <w:jc w:val="right"/>
              <w:spacing w:after="0"/>
              <w:rPr>
                <w:sz w:val="20"/>
                <w:szCs w:val="20"/>
                <w:color w:val="auto"/>
              </w:rPr>
            </w:pPr>
            <w:r>
              <w:rPr>
                <w:rFonts w:ascii="Arial" w:cs="Arial" w:eastAsia="Arial" w:hAnsi="Arial"/>
                <w:sz w:val="18"/>
                <w:szCs w:val="18"/>
                <w:color w:val="auto"/>
              </w:rPr>
              <w:t>335,165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Awards and payments under the RGHL LTIP are set forth on the tables below. The first table shows the Target Opportunity Award for each NEO, and results achieved (expressed as a percentage). That amount (the Target Opportunity Amount times the performance percentage) sets the maximum amount that can be earned for such grant, payable over three years with years two and three contingent on the business meeting its performance goals. The second table shows the payouts (and in future years, potential payouts) for each of the grants.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1,300,000</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92%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940" w:type="dxa"/>
            <w:vAlign w:val="bottom"/>
          </w:tcPr>
          <w:p>
            <w:pPr>
              <w:jc w:val="right"/>
              <w:spacing w:after="0"/>
              <w:rPr>
                <w:sz w:val="20"/>
                <w:szCs w:val="20"/>
                <w:color w:val="auto"/>
              </w:rPr>
            </w:pPr>
            <w:r>
              <w:rPr>
                <w:rFonts w:ascii="Arial" w:cs="Arial" w:eastAsia="Arial" w:hAnsi="Arial"/>
                <w:sz w:val="18"/>
                <w:szCs w:val="18"/>
                <w:color w:val="auto"/>
              </w:rPr>
              <w:t>548,204</w:t>
            </w:r>
          </w:p>
        </w:tc>
        <w:tc>
          <w:tcPr>
            <w:tcW w:w="200" w:type="dxa"/>
            <w:vAlign w:val="bottom"/>
          </w:tcPr>
          <w:p>
            <w:pPr>
              <w:spacing w:after="0"/>
              <w:rPr>
                <w:sz w:val="19"/>
                <w:szCs w:val="19"/>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92%</w:t>
            </w:r>
          </w:p>
        </w:tc>
        <w:tc>
          <w:tcPr>
            <w:tcW w:w="960" w:type="dxa"/>
            <w:vAlign w:val="bottom"/>
          </w:tcPr>
          <w:p>
            <w:pPr>
              <w:jc w:val="right"/>
              <w:spacing w:after="0"/>
              <w:rPr>
                <w:sz w:val="20"/>
                <w:szCs w:val="20"/>
                <w:color w:val="auto"/>
              </w:rPr>
            </w:pPr>
            <w:r>
              <w:rPr>
                <w:rFonts w:ascii="Arial" w:cs="Arial" w:eastAsia="Arial" w:hAnsi="Arial"/>
                <w:sz w:val="18"/>
                <w:szCs w:val="18"/>
                <w:color w:val="auto"/>
              </w:rPr>
              <w:t>564,650</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940" w:type="dxa"/>
            <w:vAlign w:val="bottom"/>
          </w:tcPr>
          <w:p>
            <w:pPr>
              <w:jc w:val="right"/>
              <w:spacing w:after="0"/>
              <w:rPr>
                <w:sz w:val="20"/>
                <w:szCs w:val="20"/>
                <w:color w:val="auto"/>
              </w:rPr>
            </w:pPr>
            <w:r>
              <w:rPr>
                <w:rFonts w:ascii="Arial" w:cs="Arial" w:eastAsia="Arial" w:hAnsi="Arial"/>
                <w:sz w:val="18"/>
                <w:szCs w:val="18"/>
                <w:color w:val="auto"/>
              </w:rPr>
              <w:t>581,590</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309,000</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92%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318,270</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327,818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940" w:type="dxa"/>
            <w:vAlign w:val="bottom"/>
          </w:tcPr>
          <w:p>
            <w:pPr>
              <w:jc w:val="right"/>
              <w:spacing w:after="0"/>
              <w:rPr>
                <w:sz w:val="20"/>
                <w:szCs w:val="20"/>
                <w:color w:val="auto"/>
              </w:rPr>
            </w:pPr>
            <w:r>
              <w:rPr>
                <w:rFonts w:ascii="Arial" w:cs="Arial" w:eastAsia="Arial" w:hAnsi="Arial"/>
                <w:sz w:val="18"/>
                <w:szCs w:val="18"/>
                <w:color w:val="auto"/>
              </w:rPr>
              <w:t>278,066</w:t>
            </w:r>
          </w:p>
        </w:tc>
        <w:tc>
          <w:tcPr>
            <w:tcW w:w="200" w:type="dxa"/>
            <w:vAlign w:val="bottom"/>
          </w:tcPr>
          <w:p>
            <w:pPr>
              <w:spacing w:after="0"/>
              <w:rPr>
                <w:sz w:val="19"/>
                <w:szCs w:val="19"/>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92%</w:t>
            </w:r>
          </w:p>
        </w:tc>
        <w:tc>
          <w:tcPr>
            <w:tcW w:w="960" w:type="dxa"/>
            <w:vAlign w:val="bottom"/>
          </w:tcPr>
          <w:p>
            <w:pPr>
              <w:jc w:val="right"/>
              <w:spacing w:after="0"/>
              <w:rPr>
                <w:sz w:val="20"/>
                <w:szCs w:val="20"/>
                <w:color w:val="auto"/>
              </w:rPr>
            </w:pPr>
            <w:r>
              <w:rPr>
                <w:rFonts w:ascii="Arial" w:cs="Arial" w:eastAsia="Arial" w:hAnsi="Arial"/>
                <w:sz w:val="18"/>
                <w:szCs w:val="18"/>
                <w:color w:val="auto"/>
              </w:rPr>
              <w:t>287,799</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940" w:type="dxa"/>
            <w:vAlign w:val="bottom"/>
          </w:tcPr>
          <w:p>
            <w:pPr>
              <w:jc w:val="right"/>
              <w:spacing w:after="0"/>
              <w:rPr>
                <w:sz w:val="20"/>
                <w:szCs w:val="20"/>
                <w:color w:val="auto"/>
              </w:rPr>
            </w:pPr>
            <w:r>
              <w:rPr>
                <w:rFonts w:ascii="Arial" w:cs="Arial" w:eastAsia="Arial" w:hAnsi="Arial"/>
                <w:sz w:val="18"/>
                <w:szCs w:val="18"/>
                <w:color w:val="auto"/>
              </w:rPr>
              <w:t>337,500</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89"/>
              </w:rPr>
              <w:t>85</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85" w:name="page86"/>
    <w:bookmarkEnd w:id="85"/>
    <w:tbl>
      <w:tblPr>
        <w:tblLayout w:type="fixed"/>
        <w:tblInd w:w="58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60" w:type="dxa"/>
            <w:vAlign w:val="bottom"/>
          </w:tcPr>
          <w:p>
            <w:pPr>
              <w:jc w:val="center"/>
              <w:ind w:right="213"/>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060" w:type="dxa"/>
            <w:vAlign w:val="bottom"/>
          </w:tcPr>
          <w:p>
            <w:pPr>
              <w:jc w:val="center"/>
              <w:ind w:right="215"/>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Lance Mitchell</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2017 Grant</w:t>
            </w:r>
          </w:p>
        </w:tc>
        <w:tc>
          <w:tcPr>
            <w:tcW w:w="1040" w:type="dxa"/>
            <w:vAlign w:val="bottom"/>
          </w:tcPr>
          <w:p>
            <w:pPr>
              <w:jc w:val="right"/>
              <w:spacing w:after="0"/>
              <w:rPr>
                <w:sz w:val="20"/>
                <w:szCs w:val="20"/>
                <w:color w:val="auto"/>
              </w:rPr>
            </w:pPr>
            <w:r>
              <w:rPr>
                <w:rFonts w:ascii="Arial" w:cs="Arial" w:eastAsia="Arial" w:hAnsi="Arial"/>
                <w:sz w:val="18"/>
                <w:szCs w:val="18"/>
                <w:color w:val="auto"/>
              </w:rPr>
              <w:t>399,100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399,100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399,100</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2018 Grant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334,320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334,320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334,320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2019 Grant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521,833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521,833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Michael Graham</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2017 Grant</w:t>
            </w:r>
          </w:p>
        </w:tc>
        <w:tc>
          <w:tcPr>
            <w:tcW w:w="1040" w:type="dxa"/>
            <w:vAlign w:val="bottom"/>
          </w:tcPr>
          <w:p>
            <w:pPr>
              <w:jc w:val="right"/>
              <w:spacing w:after="0"/>
              <w:rPr>
                <w:sz w:val="20"/>
                <w:szCs w:val="20"/>
                <w:color w:val="auto"/>
              </w:rPr>
            </w:pPr>
            <w:r>
              <w:rPr>
                <w:rFonts w:ascii="Arial" w:cs="Arial" w:eastAsia="Arial" w:hAnsi="Arial"/>
                <w:sz w:val="18"/>
                <w:szCs w:val="18"/>
                <w:color w:val="auto"/>
              </w:rPr>
              <w:t>168,299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168,299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168,299</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2018 Grant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134,838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134,838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134,838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2019 Grant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195,802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195,802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Stephan Pace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2017 Grant</w:t>
            </w:r>
          </w:p>
        </w:tc>
        <w:tc>
          <w:tcPr>
            <w:tcW w:w="1040" w:type="dxa"/>
            <w:vAlign w:val="bottom"/>
          </w:tcPr>
          <w:p>
            <w:pPr>
              <w:jc w:val="right"/>
              <w:spacing w:after="0"/>
              <w:rPr>
                <w:sz w:val="20"/>
                <w:szCs w:val="20"/>
                <w:color w:val="auto"/>
              </w:rPr>
            </w:pPr>
            <w:r>
              <w:rPr>
                <w:rFonts w:ascii="Arial" w:cs="Arial" w:eastAsia="Arial" w:hAnsi="Arial"/>
                <w:sz w:val="18"/>
                <w:szCs w:val="18"/>
                <w:color w:val="auto"/>
              </w:rPr>
              <w:t>94,863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94,863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94,863</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2018 Grant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2019 Grant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110,365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110,365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Craig Cappel</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2017 Grant</w:t>
            </w:r>
          </w:p>
        </w:tc>
        <w:tc>
          <w:tcPr>
            <w:tcW w:w="1040" w:type="dxa"/>
            <w:vAlign w:val="bottom"/>
          </w:tcPr>
          <w:p>
            <w:pPr>
              <w:jc w:val="right"/>
              <w:spacing w:after="0"/>
              <w:rPr>
                <w:sz w:val="20"/>
                <w:szCs w:val="20"/>
                <w:color w:val="auto"/>
              </w:rPr>
            </w:pPr>
            <w:r>
              <w:rPr>
                <w:rFonts w:ascii="Arial" w:cs="Arial" w:eastAsia="Arial" w:hAnsi="Arial"/>
                <w:sz w:val="18"/>
                <w:szCs w:val="18"/>
                <w:color w:val="auto"/>
              </w:rPr>
              <w:t>85,366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85,366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85,366</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2018 Grant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68,726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68,726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68,726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2019 Grant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113,625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113,625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 xml:space="preserve">Rachel Bishop </w:t>
            </w:r>
            <w:r>
              <w:rPr>
                <w:rFonts w:ascii="Arial" w:cs="Arial" w:eastAsia="Arial" w:hAnsi="Arial"/>
                <w:sz w:val="15"/>
                <w:szCs w:val="15"/>
                <w:b w:val="1"/>
                <w:bCs w:val="1"/>
                <w:color w:val="auto"/>
              </w:rPr>
              <w:t>(2)</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2019 Grant</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101,000</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(1)Payouts for 2020 and 2021 are contingent on RCP meeting performance goals for such years.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(2)Ms. Bishop joined RCP in February 2019.</w:t>
      </w:r>
    </w:p>
    <w:p>
      <w:pPr>
        <w:spacing w:after="0" w:line="211" w:lineRule="exact"/>
        <w:rPr>
          <w:sz w:val="20"/>
          <w:szCs w:val="20"/>
          <w:color w:val="auto"/>
        </w:rPr>
      </w:pPr>
    </w:p>
    <w:p>
      <w:pPr>
        <w:ind w:left="50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Pace and Mr. Cappel receive benefits under the Reynolds Group Pension Plan. In 2018, there was a decrease in the value of plan benefits for Mr. Pace and Mr. Cappel ($22,845 and $23,846, respectively), so these values are reported as $0.</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make contributions to a 401(k) plan and the Reynolds Services Inc. Nonqualified Deferred Compensation Plan. The applicable amounts for the</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2019 year were as follows: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Contributions To</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Contributions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Deferred</w:t>
            </w:r>
          </w:p>
        </w:tc>
        <w:tc>
          <w:tcPr>
            <w:tcW w:w="0" w:type="dxa"/>
            <w:vAlign w:val="bottom"/>
          </w:tcPr>
          <w:p>
            <w:pPr>
              <w:spacing w:after="0"/>
              <w:rPr>
                <w:sz w:val="1"/>
                <w:szCs w:val="1"/>
                <w:color w:val="auto"/>
              </w:rPr>
            </w:pPr>
          </w:p>
        </w:tc>
      </w:tr>
      <w:tr>
        <w:trPr>
          <w:trHeight w:val="149"/>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To 401(k)</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Plan ($)</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 ($)</w:t>
            </w:r>
          </w:p>
        </w:tc>
        <w:tc>
          <w:tcPr>
            <w:tcW w:w="0" w:type="dxa"/>
            <w:vAlign w:val="bottom"/>
          </w:tcPr>
          <w:p>
            <w:pPr>
              <w:spacing w:after="0"/>
              <w:rPr>
                <w:sz w:val="1"/>
                <w:szCs w:val="1"/>
                <w:color w:val="auto"/>
              </w:rPr>
            </w:pP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080" w:type="dxa"/>
            <w:vAlign w:val="bottom"/>
          </w:tcPr>
          <w:p>
            <w:pPr>
              <w:jc w:val="right"/>
              <w:spacing w:after="0"/>
              <w:rPr>
                <w:sz w:val="20"/>
                <w:szCs w:val="20"/>
                <w:color w:val="auto"/>
              </w:rPr>
            </w:pPr>
            <w:r>
              <w:rPr>
                <w:rFonts w:ascii="Arial" w:cs="Arial" w:eastAsia="Arial" w:hAnsi="Arial"/>
                <w:sz w:val="18"/>
                <w:szCs w:val="18"/>
                <w:color w:val="auto"/>
              </w:rPr>
              <w:t>21,122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080" w:type="dxa"/>
            <w:vAlign w:val="bottom"/>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Other benefits reported under All Other Compensation include group life insurance and wellness credits. Health and welfare benefits are not reported to the extent these benefits are generally available to all other salaried and non-union hourly employees.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2019 Grants of Plan-Based Awards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sets forth information concerning grants of plan-based awards made to the NEOs named in the Summary Compensation Table during our fiscal year ended December 31,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AIP and RGHL LTIP</w:t>
      </w:r>
    </w:p>
    <w:p>
      <w:pPr>
        <w:spacing w:after="0" w:line="234"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Estimated Future Payouts Under</w:t>
      </w:r>
    </w:p>
    <w:p>
      <w:pPr>
        <w:jc w:val="center"/>
        <w:ind w:left="5860"/>
        <w:spacing w:after="0" w:line="236" w:lineRule="auto"/>
        <w:rPr>
          <w:sz w:val="20"/>
          <w:szCs w:val="20"/>
          <w:color w:val="auto"/>
        </w:rPr>
      </w:pPr>
      <w:r>
        <w:rPr>
          <w:rFonts w:ascii="Arial" w:cs="Arial" w:eastAsia="Arial" w:hAnsi="Arial"/>
          <w:sz w:val="14"/>
          <w:szCs w:val="14"/>
          <w:b w:val="1"/>
          <w:bCs w:val="1"/>
          <w:color w:val="auto"/>
        </w:rPr>
        <w:t>Non-Equity Incentive Plan Awards</w:t>
      </w:r>
    </w:p>
    <w:tbl>
      <w:tblPr>
        <w:tblLayout w:type="fixed"/>
        <w:tblInd w:w="0" w:type="dxa"/>
        <w:tblCellMar>
          <w:top w:w="0" w:type="dxa"/>
          <w:left w:w="0" w:type="dxa"/>
          <w:bottom w:w="0" w:type="dxa"/>
          <w:right w:w="0" w:type="dxa"/>
        </w:tblCellMar>
      </w:tblPr>
      <w:tr>
        <w:trPr>
          <w:trHeight w:val="133"/>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c>
          <w:tcPr>
            <w:tcW w:w="1780" w:type="dxa"/>
            <w:vAlign w:val="bottom"/>
            <w:tcBorders>
              <w:top w:val="single" w:sz="8" w:color="auto"/>
            </w:tcBorders>
            <w:gridSpan w:val="2"/>
          </w:tcPr>
          <w:p>
            <w:pPr>
              <w:ind w:left="440"/>
              <w:spacing w:after="0" w:line="133" w:lineRule="exact"/>
              <w:rPr>
                <w:sz w:val="20"/>
                <w:szCs w:val="20"/>
                <w:color w:val="auto"/>
              </w:rPr>
            </w:pPr>
            <w:r>
              <w:rPr>
                <w:rFonts w:ascii="Arial" w:cs="Arial" w:eastAsia="Arial" w:hAnsi="Arial"/>
                <w:sz w:val="14"/>
                <w:szCs w:val="14"/>
                <w:b w:val="1"/>
                <w:bCs w:val="1"/>
                <w:color w:val="auto"/>
              </w:rPr>
              <w:t>Threshold</w:t>
            </w:r>
          </w:p>
        </w:tc>
        <w:tc>
          <w:tcPr>
            <w:tcW w:w="1780" w:type="dxa"/>
            <w:vAlign w:val="bottom"/>
            <w:tcBorders>
              <w:top w:val="single" w:sz="8" w:color="auto"/>
            </w:tcBorders>
            <w:gridSpan w:val="2"/>
          </w:tcPr>
          <w:p>
            <w:pPr>
              <w:ind w:left="560"/>
              <w:spacing w:after="0" w:line="133" w:lineRule="exact"/>
              <w:rPr>
                <w:sz w:val="20"/>
                <w:szCs w:val="20"/>
                <w:color w:val="auto"/>
              </w:rPr>
            </w:pPr>
            <w:r>
              <w:rPr>
                <w:rFonts w:ascii="Arial" w:cs="Arial" w:eastAsia="Arial" w:hAnsi="Arial"/>
                <w:sz w:val="14"/>
                <w:szCs w:val="14"/>
                <w:b w:val="1"/>
                <w:bCs w:val="1"/>
                <w:color w:val="auto"/>
              </w:rPr>
              <w:t>Target</w:t>
            </w:r>
          </w:p>
        </w:tc>
        <w:tc>
          <w:tcPr>
            <w:tcW w:w="1540" w:type="dxa"/>
            <w:vAlign w:val="bottom"/>
            <w:tcBorders>
              <w:top w:val="single" w:sz="8" w:color="auto"/>
            </w:tcBorders>
          </w:tcPr>
          <w:p>
            <w:pPr>
              <w:jc w:val="right"/>
              <w:ind w:right="373"/>
              <w:spacing w:after="0" w:line="133"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54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54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54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4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(1)</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445,625</w:t>
            </w:r>
          </w:p>
        </w:tc>
        <w:tc>
          <w:tcPr>
            <w:tcW w:w="2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1,782,500</w:t>
            </w:r>
          </w:p>
        </w:tc>
        <w:tc>
          <w:tcPr>
            <w:tcW w:w="2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387,500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1,550,000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1,937,500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Graham</w:t>
            </w:r>
          </w:p>
        </w:tc>
        <w:tc>
          <w:tcPr>
            <w:tcW w:w="18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118,354</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473,414</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946,828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145,398</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581,590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726,988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18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66,711</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266,844</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81,955</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327,818</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409,773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Craig Cappel</w:t>
            </w:r>
          </w:p>
        </w:tc>
        <w:tc>
          <w:tcPr>
            <w:tcW w:w="18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68,681</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274,725</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84,375</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337,500</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421,875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8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55,823</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223,291</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xml:space="preserve">January 1, 2019 </w:t>
            </w:r>
            <w:r>
              <w:rPr>
                <w:rFonts w:ascii="Arial" w:cs="Arial" w:eastAsia="Arial" w:hAnsi="Arial"/>
                <w:sz w:val="15"/>
                <w:szCs w:val="15"/>
                <w:color w:val="auto"/>
                <w:w w:val="89"/>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375,500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threshold, target, and maximum awards set for the AIP. The actual amount paid for 2019 to each NEO under the AIP is included in the 2019 Summary Compensation Table under the column titled “Non-Equity Incentive Plan Compensation.” The target value represents the NEO’s target percentage multiplied by the eligible earnings for the year ended December 31, 2019.</w:t>
      </w:r>
    </w:p>
    <w:p>
      <w:pPr>
        <w:spacing w:after="0" w:line="2" w:lineRule="exact"/>
        <w:rPr>
          <w:rFonts w:ascii="Arial" w:cs="Arial" w:eastAsia="Arial" w:hAnsi="Arial"/>
          <w:sz w:val="18"/>
          <w:szCs w:val="18"/>
          <w:color w:val="auto"/>
        </w:rPr>
      </w:pPr>
    </w:p>
    <w:p>
      <w:pPr>
        <w:jc w:val="both"/>
        <w:ind w:left="500" w:hanging="492"/>
        <w:spacing w:after="0" w:line="277"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threshold, target, and maximum awards set for the RGHL LTIP. The actual amount paid for 2019 to each NEO under the RGHL LTIP is included in the 2019 Summary Compensation Table under the column titled “Non-Equity Incentive Plan Compensation.” The target value is the amount which was communicated to the NEO at the beginning of the 2019 grant cycle for the RGHL LTIP.</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equity awards were granted in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Pension Benefits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sets forth information with respect to each plan that provides for payments or other benefits at, following, or in connection with retirement.</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Number of Years</w:t>
            </w: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Present Value of</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Plan Name</w:t>
            </w: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Credited Service</w:t>
            </w: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Benefit</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71"/>
        </w:trPr>
        <w:tc>
          <w:tcPr>
            <w:tcW w:w="1740" w:type="dxa"/>
            <w:vAlign w:val="bottom"/>
            <w:gridSpan w:val="2"/>
            <w:vMerge w:val="continue"/>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200" w:type="dxa"/>
            <w:vAlign w:val="bottom"/>
            <w:tcBorders>
              <w:top w:val="single" w:sz="8" w:color="CFF0FC"/>
            </w:tcBorders>
            <w:shd w:val="clear" w:color="auto" w:fill="CFF0FC"/>
          </w:tcPr>
          <w:p>
            <w:pPr>
              <w:spacing w:after="0"/>
              <w:rPr>
                <w:sz w:val="19"/>
                <w:szCs w:val="19"/>
                <w:color w:val="auto"/>
              </w:rPr>
            </w:pPr>
          </w:p>
        </w:tc>
        <w:tc>
          <w:tcPr>
            <w:tcW w:w="3460" w:type="dxa"/>
            <w:vAlign w:val="bottom"/>
            <w:tcBorders>
              <w:top w:val="single" w:sz="8" w:color="auto"/>
            </w:tcBorders>
            <w:shd w:val="clear" w:color="auto" w:fill="CFF0FC"/>
          </w:tcPr>
          <w:p>
            <w:pPr>
              <w:ind w:left="16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374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374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89"/>
              </w:rPr>
              <w:t>Reynolds Group Pension Plan</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407,669</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Reynolds Group Pension Plan</w:t>
            </w:r>
          </w:p>
        </w:tc>
        <w:tc>
          <w:tcPr>
            <w:tcW w:w="1460" w:type="dxa"/>
            <w:vAlign w:val="bottom"/>
          </w:tcPr>
          <w:p>
            <w:pPr>
              <w:jc w:val="right"/>
              <w:spacing w:after="0"/>
              <w:rPr>
                <w:sz w:val="20"/>
                <w:szCs w:val="20"/>
                <w:color w:val="auto"/>
              </w:rPr>
            </w:pPr>
            <w:r>
              <w:rPr>
                <w:rFonts w:ascii="Arial" w:cs="Arial" w:eastAsia="Arial" w:hAnsi="Arial"/>
                <w:sz w:val="18"/>
                <w:szCs w:val="18"/>
                <w:color w:val="auto"/>
              </w:rPr>
              <w:t>13.50</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257,225</w:t>
            </w:r>
          </w:p>
        </w:tc>
        <w:tc>
          <w:tcPr>
            <w:tcW w:w="28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3740" w:type="dxa"/>
            <w:vAlign w:val="bottom"/>
            <w:gridSpan w:val="2"/>
            <w:shd w:val="clear" w:color="auto" w:fill="CFF0FC"/>
          </w:tcPr>
          <w:p>
            <w:pPr>
              <w:ind w:left="16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Mr. Pace and Mr. Cappel have legacy entitlements under the Reynolds Group Pension Plan, an ERISA-qualified defined benefit plan maintained by RGHL Group.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2019 Nonqualified Deferred Compensation</w:t>
      </w:r>
    </w:p>
    <w:p>
      <w:pPr>
        <w:spacing w:after="0" w:line="25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2019, RGHL Group maintained a non-qualified deferred compensation plan that allowed participants to defer portions of their compensation. The purpose of this plan is to allow such persons to defer receipt of such compensation, and therefore the tax obligations arising from such compensation, to a date elected by the participant. RCP has adopted a similar plan beginning in 2020. The following table sets forth information with respect to each NEO’s participation in such plan.</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Reynolds</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Executive</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Consumer</w:t>
            </w: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Products</w:t>
            </w: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Last FY</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223,479</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142,600</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201,821</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1,690,784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240" w:type="dxa"/>
            <w:vAlign w:val="bottom"/>
          </w:tcPr>
          <w:p>
            <w:pPr>
              <w:jc w:val="right"/>
              <w:spacing w:after="0"/>
              <w:rPr>
                <w:sz w:val="20"/>
                <w:szCs w:val="20"/>
                <w:color w:val="auto"/>
              </w:rPr>
            </w:pPr>
            <w:r>
              <w:rPr>
                <w:rFonts w:ascii="Arial" w:cs="Arial" w:eastAsia="Arial" w:hAnsi="Arial"/>
                <w:sz w:val="18"/>
                <w:szCs w:val="18"/>
                <w:color w:val="auto"/>
              </w:rPr>
              <w:t>546,635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70,690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228,991</w:t>
            </w:r>
          </w:p>
        </w:tc>
        <w:tc>
          <w:tcPr>
            <w:tcW w:w="24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185,012</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36,288</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84,546</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240" w:type="dxa"/>
            <w:vAlign w:val="bottom"/>
          </w:tcPr>
          <w:p>
            <w:pPr>
              <w:jc w:val="right"/>
              <w:spacing w:after="0"/>
              <w:rPr>
                <w:sz w:val="20"/>
                <w:szCs w:val="20"/>
                <w:color w:val="auto"/>
              </w:rPr>
            </w:pPr>
            <w:r>
              <w:rPr>
                <w:rFonts w:ascii="Arial" w:cs="Arial" w:eastAsia="Arial" w:hAnsi="Arial"/>
                <w:sz w:val="18"/>
                <w:szCs w:val="18"/>
                <w:color w:val="auto"/>
              </w:rPr>
              <w:t>38,425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30,518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35,302</w:t>
            </w:r>
          </w:p>
        </w:tc>
        <w:tc>
          <w:tcPr>
            <w:tcW w:w="24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371,432</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Employment Agreements with the NEOs include severance in the event the employee is terminated without cause and enhanced severance if, following a Change of Control, the NEO is terminated without cause or resigns following a material reduction in his or her remuneration or scope of duties (“Good Reason”). The following table sets forth the expected benefits to be received by each NEO in each of these termination scenarios. This table assumes a termination date of December 31, 2019.</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Termination without</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Termination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Cause or Resignation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Cause Not in</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for Good Reason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Connection with a</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 Connection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Change in Control</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 Change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Control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Lance Mitchell</w:t>
            </w: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3,332,500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4,882,500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Michael Graham</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798,716</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2,076,662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11,541</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Stephan Pace</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450,204</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1,170,530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11,455</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Craig Cappel</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463,500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1,205,100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11,446</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Rachel Bishop</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412,000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1,071,200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500" w:hanging="492"/>
        <w:spacing w:after="0" w:line="254"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connection with a qualifying termination of employment, the NEOs would have received severance payments equivalent to 12 months’ base salary plus 12 months COBRA premium assistance. Additionally, Mr. Mitchell would receive a pro rata target annual incentive bonus. If a qualifying termination occurs within 12 months following a Change in Control, the NEOs would have received severance payments equivalent to 24 months’ base salary plus a prorated target annual incentive bonus.</w:t>
      </w:r>
    </w:p>
    <w:p>
      <w:pPr>
        <w:spacing w:after="0" w:line="2" w:lineRule="exact"/>
        <w:rPr>
          <w:rFonts w:ascii="Arial" w:cs="Arial" w:eastAsia="Arial" w:hAnsi="Arial"/>
          <w:sz w:val="18"/>
          <w:szCs w:val="18"/>
          <w:color w:val="auto"/>
        </w:rPr>
      </w:pPr>
    </w:p>
    <w:p>
      <w:pPr>
        <w:ind w:left="500" w:right="20" w:hanging="492"/>
        <w:spacing w:after="0" w:line="323"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connection with a qualifying termination of employment, whether or not in connection with a Change of Control, the NEOs would have continued to receive benefits under (or benefits comparable to) RGHL’s medical, dental, vision, life and accidental death and disability programs.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8" w:name="page89"/>
    <w:bookmarkEnd w:id="88"/>
    <w:p>
      <w:pPr>
        <w:jc w:val="center"/>
        <w:ind w:left="50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directors did not receive any additional compensation for their service in their capacity as a director in the year ended December 31, 2019.</w:t>
      </w:r>
    </w:p>
    <w:p>
      <w:pPr>
        <w:spacing w:after="0" w:line="23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Beginning in 2020, we implemented a new director compensation program, under which our independent non-employee directors will be eligible to receive the following annual retainers and annual equity compensation grants:</w:t>
      </w:r>
    </w:p>
    <w:p>
      <w:pPr>
        <w:spacing w:after="0" w:line="62" w:lineRule="exact"/>
        <w:rPr>
          <w:sz w:val="20"/>
          <w:szCs w:val="20"/>
          <w:color w:val="auto"/>
        </w:rPr>
      </w:pPr>
    </w:p>
    <w:p>
      <w:pPr>
        <w:ind w:left="760" w:hanging="253"/>
        <w:spacing w:after="0"/>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Board member</w:t>
      </w:r>
      <w:r>
        <w:rPr>
          <w:rFonts w:ascii="Arial" w:cs="Arial" w:eastAsia="Arial" w:hAnsi="Arial"/>
          <w:sz w:val="17"/>
          <w:szCs w:val="17"/>
          <w:color w:val="auto"/>
        </w:rPr>
        <w:t>: $230,000, of which $100,000 will be an annual cash retainer and $130,000 will be in the form of an annual grant of RSUs</w:t>
      </w:r>
    </w:p>
    <w:p>
      <w:pPr>
        <w:spacing w:after="0" w:line="128" w:lineRule="exact"/>
        <w:rPr>
          <w:rFonts w:ascii="Arial" w:cs="Arial" w:eastAsia="Arial" w:hAnsi="Arial"/>
          <w:sz w:val="17"/>
          <w:szCs w:val="17"/>
          <w:color w:val="auto"/>
        </w:rPr>
      </w:pPr>
    </w:p>
    <w:p>
      <w:pPr>
        <w:ind w:left="760" w:right="20" w:hanging="253"/>
        <w:spacing w:after="0" w:line="277"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Chairman of the Board</w:t>
      </w:r>
      <w:r>
        <w:rPr>
          <w:rFonts w:ascii="Arial" w:cs="Arial" w:eastAsia="Arial" w:hAnsi="Arial"/>
          <w:sz w:val="18"/>
          <w:szCs w:val="18"/>
          <w:color w:val="auto"/>
        </w:rPr>
        <w:t>: $115,000, of which $50,000 will be an annual cash retainer and $65,000 will be in the form of an annual grant of RSUs,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$230,000 in board member payments and grants described above</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Chairs of our Audit Committee and our CNG Committee</w:t>
      </w:r>
      <w:r>
        <w:rPr>
          <w:rFonts w:ascii="Arial" w:cs="Arial" w:eastAsia="Arial" w:hAnsi="Arial"/>
          <w:sz w:val="18"/>
          <w:szCs w:val="18"/>
          <w:color w:val="auto"/>
        </w:rPr>
        <w:t>: $20,000, as an annual cash retainer</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Members of our Audit Committee and our CNG Committee (other than the Chairman of the Board)</w:t>
      </w:r>
      <w:r>
        <w:rPr>
          <w:rFonts w:ascii="Arial" w:cs="Arial" w:eastAsia="Arial" w:hAnsi="Arial"/>
          <w:sz w:val="17"/>
          <w:szCs w:val="17"/>
          <w:color w:val="auto"/>
        </w:rPr>
        <w:t>: $10,000, as an annual cash retainer</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RSUs will be granted pursuant to the Equity Incentive Plan. Directors who are also full-time officers or employees of the Company will receive no additional compensation for serving as directors. As explained above in “-Equity Compensation,” an individual who is a non-employee director may not receive awards, in cash or otherwise, for any calendar year that total more than $750,000 in the aggregate.</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will also reimburse all of our directors for their reasonable expenses incurred in attending meetings of our board of directors or committees, and have entered into Indemnification Agreements with our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CNG Committee has reviewed and discussed the foregoing Compensation Discussion and Analysis with management. Based on this review and discussion, the CNG Committee recommended to the Board of Directors that the Compensation Discussion and Analysis be included in this Annual Report on Form 10-K for the fiscal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CNG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Thomas Degnan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Gregory Cole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Noll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jc w:val="cente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table sets forth the number of shares of common stock of the Company beneficially owned as of February 29, 2020, by: (i) each director; (ii) each of the executive officers named in the Summary Compensation Table; (iii) all executive officers and directors as a group; and (iv) persons known to us to be the beneficial owner of more than 5% of our outstanding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Shares of</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760" w:type="dxa"/>
            <w:vAlign w:val="bottom"/>
            <w:gridSpan w:val="3"/>
            <w:vMerge w:val="restart"/>
          </w:tcPr>
          <w:p>
            <w:pPr>
              <w:ind w:left="1400"/>
              <w:spacing w:after="0"/>
              <w:rPr>
                <w:sz w:val="20"/>
                <w:szCs w:val="20"/>
                <w:color w:val="auto"/>
              </w:rPr>
            </w:pPr>
            <w:r>
              <w:rPr>
                <w:rFonts w:ascii="Arial" w:cs="Arial" w:eastAsia="Arial" w:hAnsi="Arial"/>
                <w:sz w:val="14"/>
                <w:szCs w:val="14"/>
                <w:b w:val="1"/>
                <w:bCs w:val="1"/>
                <w:color w:val="auto"/>
              </w:rPr>
              <w:t>Name of beneficial owner</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760" w:type="dxa"/>
            <w:vAlign w:val="bottom"/>
            <w:gridSpan w:val="3"/>
            <w:vMerge w:val="continue"/>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Directors</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 xml:space="preserve">Lance Mitchell </w:t>
            </w:r>
            <w:r>
              <w:rPr>
                <w:rFonts w:ascii="Arial" w:cs="Arial" w:eastAsia="Arial" w:hAnsi="Arial"/>
                <w:sz w:val="15"/>
                <w:szCs w:val="15"/>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59,615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Gregory Cole</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Thomas Degnan</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Helen Golding</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Marla Gottschalk</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Richard Noll</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Executive Officers</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060" w:type="dxa"/>
            <w:vAlign w:val="bottom"/>
          </w:tcPr>
          <w:p>
            <w:pPr>
              <w:jc w:val="right"/>
              <w:spacing w:after="0"/>
              <w:rPr>
                <w:sz w:val="20"/>
                <w:szCs w:val="20"/>
                <w:color w:val="auto"/>
              </w:rPr>
            </w:pPr>
            <w:r>
              <w:rPr>
                <w:rFonts w:ascii="Arial" w:cs="Arial" w:eastAsia="Arial" w:hAnsi="Arial"/>
                <w:sz w:val="18"/>
                <w:szCs w:val="18"/>
                <w:color w:val="auto"/>
              </w:rPr>
              <w:t>15,360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060" w:type="dxa"/>
            <w:vAlign w:val="bottom"/>
          </w:tcPr>
          <w:p>
            <w:pPr>
              <w:jc w:val="right"/>
              <w:spacing w:after="0"/>
              <w:rPr>
                <w:sz w:val="20"/>
                <w:szCs w:val="20"/>
                <w:color w:val="auto"/>
              </w:rPr>
            </w:pPr>
            <w:r>
              <w:rPr>
                <w:rFonts w:ascii="Arial" w:cs="Arial" w:eastAsia="Arial" w:hAnsi="Arial"/>
                <w:sz w:val="18"/>
                <w:szCs w:val="18"/>
                <w:color w:val="auto"/>
              </w:rPr>
              <w:t>8,913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(12 individuals)</w:t>
            </w:r>
          </w:p>
        </w:tc>
        <w:tc>
          <w:tcPr>
            <w:tcW w:w="1060" w:type="dxa"/>
            <w:vAlign w:val="bottom"/>
          </w:tcPr>
          <w:p>
            <w:pPr>
              <w:jc w:val="right"/>
              <w:spacing w:after="0"/>
              <w:rPr>
                <w:sz w:val="20"/>
                <w:szCs w:val="20"/>
                <w:color w:val="auto"/>
              </w:rPr>
            </w:pPr>
            <w:r>
              <w:rPr>
                <w:rFonts w:ascii="Arial" w:cs="Arial" w:eastAsia="Arial" w:hAnsi="Arial"/>
                <w:sz w:val="18"/>
                <w:szCs w:val="18"/>
                <w:color w:val="auto"/>
              </w:rPr>
              <w:t>114,508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400" w:type="dxa"/>
            <w:vAlign w:val="bottom"/>
            <w:vMerge w:val="restart"/>
          </w:tcPr>
          <w:p>
            <w:pPr>
              <w:spacing w:after="0"/>
              <w:rPr>
                <w:sz w:val="19"/>
                <w:szCs w:val="19"/>
                <w:color w:val="auto"/>
              </w:rPr>
            </w:pPr>
          </w:p>
        </w:tc>
        <w:tc>
          <w:tcPr>
            <w:tcW w:w="5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Greater than 5% stockholders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PFL </w:t>
            </w:r>
            <w:r>
              <w:rPr>
                <w:rFonts w:ascii="Arial" w:cs="Arial" w:eastAsia="Arial" w:hAnsi="Arial"/>
                <w:sz w:val="15"/>
                <w:szCs w:val="15"/>
                <w:color w:val="auto"/>
              </w:rPr>
              <w:t>(3)</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155,455,000</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5"/>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less than one percent</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shares underlying Restricted Stock Units that are subject to vesting.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Mitchell is also an executive officer of the Company.</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PFL is wholly-owned by Packaging Holdings Limited (“PHL”), which is wholly-owned by Mr. Graeme Hart. The principal business address of PFL, PHL, and Mr. Hart is c/o Rank Group Limited, Floor 9, 148 Quay Street, Auckland, 1010 New Zealand.</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December 31, 2019, we had no securities authorized for issuance under equity compensation plans. As of February 29, 2020, our securities authorized for issuance under equity compensation plans were as follows: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w:t>
            </w:r>
          </w:p>
        </w:tc>
        <w:tc>
          <w:tcPr>
            <w:tcW w:w="20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w:t>
            </w:r>
          </w:p>
        </w:tc>
        <w:tc>
          <w:tcPr>
            <w:tcW w:w="20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Outstanding</w:t>
            </w:r>
          </w:p>
        </w:tc>
        <w:tc>
          <w:tcPr>
            <w:tcW w:w="20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20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Options,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20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Warrants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and Rights </w:t>
            </w:r>
            <w:r>
              <w:rPr>
                <w:rFonts w:ascii="Arial" w:cs="Arial" w:eastAsia="Arial" w:hAnsi="Arial"/>
                <w:sz w:val="12"/>
                <w:szCs w:val="12"/>
                <w:b w:val="1"/>
                <w:bCs w:val="1"/>
                <w:color w:val="auto"/>
                <w:w w:val="94"/>
              </w:rPr>
              <w:t>(1)</w:t>
            </w:r>
          </w:p>
        </w:tc>
        <w:tc>
          <w:tcPr>
            <w:tcW w:w="20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and Rights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09"/>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165,992</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5"/>
                <w:szCs w:val="15"/>
                <w:color w:val="auto"/>
              </w:rPr>
              <w:t>(2</w:t>
            </w: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10,319,033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Equity compensation plans not approved</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 xml:space="preserve">by security holders </w:t>
            </w:r>
            <w:r>
              <w:rPr>
                <w:rFonts w:ascii="Arial" w:cs="Arial" w:eastAsia="Arial" w:hAnsi="Arial"/>
                <w:sz w:val="15"/>
                <w:szCs w:val="15"/>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10,319,033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unvested RSUs granted under the Equity Incentive Plan.</w:t>
      </w:r>
    </w:p>
    <w:p>
      <w:pPr>
        <w:spacing w:after="0" w:line="130"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RSUs do not provide for an exercise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Prior to our Corporate Reorganization and IPO, we operated as part of RGHL Group’s broader corporate organization rather than as a stand-alone public company. RGHL Group has performed or supported various corporate services for us, and we have engaged in various transactions with RGHL Group. In connection with our IPO, we have entered into new agreements with the RGHL Group. The prices and other terms of these new agreements were negotiated on what we believe to be an arm’s-length basis. The historical and current arrangements we had and have with RGHL Group are described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Warehousing and Freight Arrangements with Pactiv</w:t>
      </w:r>
    </w:p>
    <w:p>
      <w:pPr>
        <w:spacing w:after="0" w:line="11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We have (i) sold products to Pactiv, primarily aluminum foil and aluminum foil containers, and (ii) purchased products from Pactiv, primarily tableware. For 2019, revenues from products sold to Pactiv were $149 million, and cost of products purchased from Pactiv was $438 million.</w:t>
      </w:r>
    </w:p>
    <w:p>
      <w:pPr>
        <w:spacing w:after="0" w:line="146"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have stored certain of our finished goods in warehouses operated by Pactiv, and we have stored certain of Pactiv’s finished goods in our warehouses. In addition, Pactiv has provided us with freight services, including scheduling and coordinating truck deliveries, managing carrier agreements and relationships, claims management and other related freight services, such as mixing and loading our products, together with products made by Pactiv for us, for shipment. For 2019, Pactiv charged us freight and warehousing costs of $134 million, and we charged Pactiv warehousing costs of $2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Certain of our employees participated in a defined benefit plan sponsored by a member of RGHL Group. We recorded expense of $3 million in cost of sales for 2019, relating to our employees’ participation in this RGHL Group sponsored plan.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Services and Lease</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RGHL Group has provided us certain administrative services, including executive management, human resources, procurement, finance, legal, tax and information technology services, and use of space in our headquarters building in Lake Forest, Illinois. Total costs allocated to us for these functions were $41 million for 2019. These amounts also include allocations of a portion of a related party management fee incurred by RGHL Group of $10 million for 2019. In addition, costs of $28 million were allocated to us related to the IPO process that cannot be deferred and offset against the IPO proceeds, as well as costs related to our preparations to operate as a stand-alone public company.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Indebtedness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We participated in various interest-bearing lending arrangements with RGHL Group. During 2019, we incurred borrowings of $98 million from RGHL Group and repaid borrowings of $141 million, and advanced loans of $170 million to RGHL Group and received repayments of $151 million. The weighted average contractual interest rate related to our related party borrowings as of December 31, 2019 was 2.20%.</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sold substantially all of our U.S. trade receivables through RGHL Group’s securitization facility. Our participation in this facility ceased upon the completion of our Corporate Reorganization and IPO and we repurchased, for cash, the U.S. trade receivables that we previously sold that were outstanding as of the time of the repurchase.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Property, Plant and Equipment</w:t>
      </w:r>
    </w:p>
    <w:p>
      <w:pPr>
        <w:spacing w:after="0" w:line="117"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In 2019, in preparation for our IPO the ownership or lease of certain plants, warehouses, equipment (including manufacturing lines), information technology assets and inventory, were transferred to us from RGHL Group with a net book value in an amount totaling $110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Current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Warehousing and Freight Agreements with Pactiv</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have entered into supply agreements to continue selling products to and buying products from Pactiv, as described above. These agreements will expire on December 31, 2024. Certain of the products we manufacture and sell to Pactiv are made using equipment in our plants that is owned by Pactiv, and certain of the products that Pactiv manufactures and sells to us are made using equipment in Pactiv’s plants that is owned by us. Under the supply agreements, we and Pactiv agree to maintain the other party’s equipment that is in such party’s plants, provided that any required capital expenditures related to such equipment are the equipment owner’s responsibility.</w:t>
      </w:r>
    </w:p>
    <w:p>
      <w:pPr>
        <w:spacing w:after="0" w:line="18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entered into a warehousing and freight services agreement with Pactiv to continue storing many of our finished goods in warehouses operated by Pactiv and to provide certain freight services for shipments from our plants to our warehouses (including Pactiv warehouses) and from our warehouses to our customers. The term of the warehousing services under the agreement will vary by location. The term of the freight services under the agreement is for approximately three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entered into three Transition Services Agreements (“TSAs”) with members of RGHL Group and Rank:</w:t>
      </w:r>
    </w:p>
    <w:p>
      <w:pPr>
        <w:spacing w:after="0" w:line="131" w:lineRule="exact"/>
        <w:rPr>
          <w:sz w:val="20"/>
          <w:szCs w:val="20"/>
          <w:color w:val="auto"/>
        </w:rPr>
      </w:pPr>
    </w:p>
    <w:p>
      <w:pPr>
        <w:jc w:val="both"/>
        <w:ind w:left="760" w:hanging="253"/>
        <w:spacing w:after="0" w:line="254"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TSA whereby RGHL Group will continue to provide certain administrative services to us, including information technology service; accounting, treasury, financial reporting and transaction support; human resources; procurement; tax, legal and compliance related services; and other corporate services. These services will be consistent with administrative services provided to us by RGHL Group prior to our IPO and the charges are at forecasted cost or current cost plus margin. In addition, we will provide certain services to RGHL Group, consistent with services provided by us to RGHL Group prior to our IPO, which are also charged at current cost plus margin. Additionally, we have agreed that at each other’s request, certain tax, financial and other information will be provided to enable preparation of tax and financial reports of the respective parties and for other business purposes.</w:t>
      </w:r>
    </w:p>
    <w:p>
      <w:pPr>
        <w:spacing w:after="0" w:line="100" w:lineRule="exact"/>
        <w:rPr>
          <w:rFonts w:ascii="Arial" w:cs="Arial" w:eastAsia="Arial" w:hAnsi="Arial"/>
          <w:sz w:val="18"/>
          <w:szCs w:val="18"/>
          <w:color w:val="auto"/>
        </w:rPr>
      </w:pPr>
    </w:p>
    <w:p>
      <w:pPr>
        <w:jc w:val="both"/>
        <w:ind w:left="760" w:hanging="253"/>
        <w:spacing w:after="0" w:line="259"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TSA whereby Rank provides certain administrative services to us, including financial reporting, consulting and compliance, insurance procurement and human resources support, legal and corporate secretarial support and related services, to be charged at an agreed hourly rate, and we will provide, at Rank’s request, certain historical tax and financial information to enable Rank to prepare certain of its tax and financial reports. These services are also charged at an agreed hourly rate.</w:t>
      </w:r>
    </w:p>
    <w:p>
      <w:pPr>
        <w:spacing w:after="0" w:line="78" w:lineRule="exact"/>
        <w:rPr>
          <w:rFonts w:ascii="Arial" w:cs="Arial" w:eastAsia="Arial" w:hAnsi="Arial"/>
          <w:sz w:val="18"/>
          <w:szCs w:val="18"/>
          <w:color w:val="auto"/>
        </w:rPr>
      </w:pPr>
    </w:p>
    <w:p>
      <w:pPr>
        <w:jc w:val="both"/>
        <w:ind w:left="760" w:hanging="253"/>
        <w:spacing w:after="0" w:line="263"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TSA for our Red Bluff, California and Huntersville, North Carolina facilities, acquired from Pactiv in 2019, whereby Pactiv provides certain services to us, including tooling and engineering support, financial services, procurement services, and environmental, health and safety services, charged at an agreed rate.</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services provided under these TSAs will terminate within 24, 24, and 12 months, respectively (excluding the provision of information), provided that the party receiving services may terminate certain specified services early.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lease our corporate headquarters in Lake Forest, IL from Pactiv. We occupy approximately 70,000 square feet at market rent with a term of ten years, beginning January 1, 2020, with two five-year renewal options. We also lease approximately 26,000 square feet in Pactiv’s Canandaigua, New York facility for certain research and development activities. The Canandaigua lease is at market rent and has a term of five years, beginning January 1, 2020, provided we have the right to terminate the lease on six months’ notice.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are a “controlled company” under the rules of Nasdaq. As a result, we qualify for exemptions from, and have elected not to comply with, certain corporate governance requirements under the rules, including the requirements that within one year of the closing of our IPO we have a board that is composed of a majority of “independent directors,” as defined under the rules, and a CNG committee that is composed entirely of independent directors. Even though we are a controlled company, we are required to comply with the rules of the SEC and Nasdaq relating to the membership, qualifications and operations of the Audit Committee.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board of directors has determined that Ms. Gottschalk and Mr. Noll are independent directors under Nasdaq rules.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have adopted a Related Person Transaction Policy that provides that our executive officers, directors, nominees for election as a director, beneficial owners of 5% or more of our common stock and any members of the immediate family of any of the foregoing persons are not permitted to enter into a related party transaction with us without the approval or ratification of a designated committee of our board of directors (which will initially be the Audit Committee) or other committee designated by our board of directors made up solely of independent directors. Any request for us to enter into a transaction with an executive officer, director, nominee for election as a director, beneficial owner of 5% or more of our common stock or any member of the immediate family of any of the foregoing persons, in which the amount involved exceeds $120,000 and such person would have a direct or indirect interest, must be presented to our Audit Committee or other committee of independent directors for review to determine whether the related party involved has a direct or indirect material interest in the transaction. In reviewing any such proposal, our Audit Committee or other committee of independent directors are to consider the relevant facts of the transaction, including the risks, costs and benefits to us and whether the transaction is on terms no less favorable than terms generally available to an unaffiliated third party under the same or similar circumstances.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Fees</w:t>
      </w:r>
    </w:p>
    <w:p>
      <w:pPr>
        <w:spacing w:after="0" w:line="25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years ended December 31, 2019 and 2018.</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156"/>
        </w:trPr>
        <w:tc>
          <w:tcPr>
            <w:tcW w:w="3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23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3,606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80" w:type="dxa"/>
            <w:vAlign w:val="bottom"/>
            <w:shd w:val="clear" w:color="auto" w:fill="CFF0FC"/>
          </w:tcPr>
          <w:p>
            <w:pPr>
              <w:spacing w:after="0"/>
              <w:rPr>
                <w:sz w:val="19"/>
                <w:szCs w:val="19"/>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3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3,606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3,741</w:t>
            </w:r>
          </w:p>
        </w:tc>
        <w:tc>
          <w:tcPr>
            <w:tcW w:w="8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audit fees for both 2019 and 2018 were for professional services rendered for the audits of the Company’s annual combined financial statements and quarterly combined financial statements. In addition, 2019 also includes audit fees for professional services rendered in relation to the review of our registration statement and other documents filed with the SEC.</w:t>
      </w:r>
    </w:p>
    <w:p>
      <w:pPr>
        <w:spacing w:after="0" w:line="22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All audit services rendered by PricewaterhouseCoopers LLP in 2018 and 2019 were approved by RGHL’s Audit Committee, which considered whether the provision of all services was compatible with maintaining PricewaterhouseCoopers LLP’s independence.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Pre-Approval Policy</w:t>
      </w:r>
    </w:p>
    <w:p>
      <w:pPr>
        <w:spacing w:after="0" w:line="25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Audit Committee has adopted a policy with respect to pre-approval of certain types of audit and non-audit related services specifically described by the Audit Committee on an annual basis. In general, the Audit Committee has pre-approved the provision of certain audit services and audit-related services, in each case up to an annual amount which varies by the type of services. Individual engagements anticipated to exceed such pre-established thresholds must be separately approved. This policy also sets forth certain services that the Company’s independent public accountant is prohibited from providing to the Company. The policy authorizes the Audit Committee to delegate to one or more of its members pre-approval authority with respect to permitted services. As we were a wholly-owned subsidiary of RGHL in 2019, we did not have a separate pre-approval policy.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40" w:type="dxa"/>
            <w:vAlign w:val="bottom"/>
            <w:gridSpan w:val="5"/>
          </w:tcPr>
          <w:p>
            <w:pPr>
              <w:jc w:val="center"/>
              <w:ind w:right="3420"/>
              <w:spacing w:after="0"/>
              <w:rPr>
                <w:sz w:val="20"/>
                <w:szCs w:val="20"/>
                <w:color w:val="auto"/>
              </w:rPr>
            </w:pPr>
            <w:r>
              <w:rPr>
                <w:rFonts w:ascii="Arial" w:cs="Arial" w:eastAsia="Arial" w:hAnsi="Arial"/>
                <w:sz w:val="18"/>
                <w:szCs w:val="18"/>
                <w:b w:val="1"/>
                <w:bCs w:val="1"/>
                <w:color w:val="auto"/>
              </w:rPr>
              <w:t>PART IV</w:t>
            </w:r>
          </w:p>
        </w:tc>
        <w:tc>
          <w:tcPr>
            <w:tcW w:w="104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7240" w:type="dxa"/>
            <w:vAlign w:val="bottom"/>
            <w:gridSpan w:val="7"/>
          </w:tcPr>
          <w:p>
            <w:pPr>
              <w:jc w:val="center"/>
              <w:ind w:right="1900"/>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040" w:type="dxa"/>
            <w:vAlign w:val="bottom"/>
          </w:tcPr>
          <w:p>
            <w:pPr>
              <w:spacing w:after="0"/>
              <w:rPr>
                <w:sz w:val="24"/>
                <w:szCs w:val="24"/>
                <w:color w:val="auto"/>
              </w:rPr>
            </w:pPr>
          </w:p>
        </w:tc>
      </w:tr>
      <w:tr>
        <w:trPr>
          <w:trHeight w:val="432"/>
        </w:trPr>
        <w:tc>
          <w:tcPr>
            <w:tcW w:w="10200" w:type="dxa"/>
            <w:vAlign w:val="bottom"/>
            <w:gridSpan w:val="8"/>
          </w:tcPr>
          <w:p>
            <w:pPr>
              <w:ind w:left="520"/>
              <w:spacing w:after="0"/>
              <w:rPr>
                <w:sz w:val="20"/>
                <w:szCs w:val="20"/>
                <w:color w:val="auto"/>
              </w:rPr>
            </w:pPr>
            <w:r>
              <w:rPr>
                <w:rFonts w:ascii="Arial" w:cs="Arial" w:eastAsia="Arial" w:hAnsi="Arial"/>
                <w:sz w:val="18"/>
                <w:szCs w:val="18"/>
                <w:color w:val="auto"/>
              </w:rPr>
              <w:t>(a) The following documents are filed as part of this Annual Report on Form 10-K:</w:t>
            </w:r>
          </w:p>
        </w:tc>
        <w:tc>
          <w:tcPr>
            <w:tcW w:w="1040" w:type="dxa"/>
            <w:vAlign w:val="bottom"/>
          </w:tcPr>
          <w:p>
            <w:pPr>
              <w:spacing w:after="0"/>
              <w:rPr>
                <w:sz w:val="24"/>
                <w:szCs w:val="24"/>
                <w:color w:val="auto"/>
              </w:rPr>
            </w:pPr>
          </w:p>
        </w:tc>
      </w:tr>
      <w:tr>
        <w:trPr>
          <w:trHeight w:val="432"/>
        </w:trPr>
        <w:tc>
          <w:tcPr>
            <w:tcW w:w="10200" w:type="dxa"/>
            <w:vAlign w:val="bottom"/>
            <w:gridSpan w:val="8"/>
          </w:tcPr>
          <w:p>
            <w:pPr>
              <w:ind w:left="520"/>
              <w:spacing w:after="0"/>
              <w:rPr>
                <w:sz w:val="20"/>
                <w:szCs w:val="20"/>
                <w:color w:val="auto"/>
              </w:rPr>
            </w:pPr>
            <w:r>
              <w:rPr>
                <w:rFonts w:ascii="Arial" w:cs="Arial" w:eastAsia="Arial" w:hAnsi="Arial"/>
                <w:sz w:val="18"/>
                <w:szCs w:val="18"/>
                <w:color w:val="auto"/>
              </w:rPr>
              <w:t>1. The following combined financial statements are filed as part of this Annual Report on Form 10-K under Part II, Item 8:</w:t>
            </w:r>
          </w:p>
        </w:tc>
        <w:tc>
          <w:tcPr>
            <w:tcW w:w="1040" w:type="dxa"/>
            <w:vAlign w:val="bottom"/>
          </w:tcPr>
          <w:p>
            <w:pPr>
              <w:spacing w:after="0"/>
              <w:rPr>
                <w:sz w:val="24"/>
                <w:szCs w:val="24"/>
                <w:color w:val="auto"/>
              </w:rPr>
            </w:pPr>
          </w:p>
        </w:tc>
      </w:tr>
      <w:tr>
        <w:trPr>
          <w:trHeight w:val="391"/>
        </w:trPr>
        <w:tc>
          <w:tcPr>
            <w:tcW w:w="1020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9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200" w:type="dxa"/>
            <w:vAlign w:val="bottom"/>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Combined Statements of Income for the Years Ended December 31, 2019, 2018 and 2017</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9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Combined Statements of Comprehensive Income for the Years Ended December 31, 2019, 2018 and 2017</w:t>
              </w:r>
            </w:hyperlink>
          </w:p>
        </w:tc>
        <w:tc>
          <w:tcPr>
            <w:tcW w:w="25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Combined Balance Sheets as of December 31, 2019 and 2018</w:t>
              </w:r>
            </w:hyperlink>
          </w:p>
        </w:tc>
        <w:tc>
          <w:tcPr>
            <w:tcW w:w="5740" w:type="dxa"/>
            <w:vAlign w:val="bottom"/>
            <w:gridSpan w:val="5"/>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020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Combined Statements of Equity (Deficit) for the Years Ended December 31, 2019, 2018 and 2017</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06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Combined Statements of Cash Flows for the Years Ended December 31, 2019, 2018 and 2017</w:t>
              </w:r>
            </w:hyperlink>
          </w:p>
        </w:tc>
        <w:tc>
          <w:tcPr>
            <w:tcW w:w="3140" w:type="dxa"/>
            <w:vAlign w:val="bottom"/>
            <w:gridSpan w:val="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Combined Financial Statements</w:t>
              </w:r>
            </w:hyperlink>
          </w:p>
        </w:tc>
        <w:tc>
          <w:tcPr>
            <w:tcW w:w="3800" w:type="dxa"/>
            <w:vAlign w:val="bottom"/>
            <w:tcBorders>
              <w:top w:val="single" w:sz="8" w:color="0000EE"/>
            </w:tcBorders>
            <w:gridSpan w:val="4"/>
          </w:tcPr>
          <w:p>
            <w:pPr>
              <w:spacing w:after="0"/>
              <w:rPr>
                <w:sz w:val="17"/>
                <w:szCs w:val="17"/>
                <w:color w:val="auto"/>
              </w:rPr>
            </w:pPr>
          </w:p>
        </w:tc>
        <w:tc>
          <w:tcPr>
            <w:tcW w:w="344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Exhibits: See “Index to Exhibits” filed as part of this Annual Report on Form 10-K.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20" w:type="dxa"/>
            <w:vAlign w:val="bottom"/>
            <w:gridSpan w:val="14"/>
          </w:tcPr>
          <w:p>
            <w:pPr>
              <w:jc w:val="center"/>
              <w:ind w:right="4020"/>
              <w:spacing w:after="0"/>
              <w:rPr>
                <w:sz w:val="20"/>
                <w:szCs w:val="20"/>
                <w:color w:val="auto"/>
              </w:rPr>
            </w:pPr>
            <w:r>
              <w:rPr>
                <w:rFonts w:ascii="Arial" w:cs="Arial" w:eastAsia="Arial" w:hAnsi="Arial"/>
                <w:sz w:val="18"/>
                <w:szCs w:val="18"/>
                <w:b w:val="1"/>
                <w:bCs w:val="1"/>
                <w:color w:val="auto"/>
              </w:rPr>
              <w:t>INDEX TO EXHIBITS</w:t>
            </w:r>
          </w:p>
        </w:tc>
        <w:tc>
          <w:tcPr>
            <w:tcW w:w="20" w:type="dxa"/>
            <w:vAlign w:val="bottom"/>
          </w:tcPr>
          <w:p>
            <w:pPr>
              <w:spacing w:after="0"/>
              <w:rPr>
                <w:sz w:val="20"/>
                <w:szCs w:val="20"/>
                <w:color w:val="auto"/>
              </w:rPr>
            </w:pPr>
          </w:p>
        </w:tc>
      </w:tr>
      <w:tr>
        <w:trPr>
          <w:trHeight w:val="364"/>
        </w:trPr>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994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385"/>
        </w:trPr>
        <w:tc>
          <w:tcPr>
            <w:tcW w:w="11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940" w:type="dxa"/>
            <w:vAlign w:val="bottom"/>
            <w:tcBorders>
              <w:top w:val="single" w:sz="8" w:color="auto"/>
              <w:bottom w:val="single" w:sz="8" w:color="0000EE"/>
            </w:tcBorders>
            <w:gridSpan w:val="16"/>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Amended and Restated Certificate of Incorporation (incorporated herein by reference to Exhibit 3.1 to the Company’s Current Report on</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Form 8-K (File No. 001-39205) filed with the SEC on February 4, 2020)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Amended and Restated By-Laws (incorporated herein by reference to Exhibit 3.2 to the Company’s Current Report on Form 8-K (File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No. 001-39205) filed with the SEC on February 4, 2020)</w:t>
              </w:r>
            </w:hyperlink>
          </w:p>
        </w:tc>
        <w:tc>
          <w:tcPr>
            <w:tcW w:w="58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ind w:left="60"/>
              <w:spacing w:after="0" w:line="19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Description of Securities Registered under Section 12 of the Securities Exchange Act of 1934</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Form of Indemnification Agreement (incorporated herein by reference to Exhibit 10.1 to the Company’s Registration Statement on Form</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Reynolds Consumer Products Inc. Equity Incentive Plan (incorporated herein by reference to Exhibit 99 to the Company’s Registration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Statement on Form S-8 (File No. 333-236204) filed with the SEC on January 31, 2020)</w:t>
              </w:r>
            </w:hyperlink>
          </w:p>
        </w:tc>
        <w:tc>
          <w:tcPr>
            <w:tcW w:w="36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Form of Restricted Stock Unit Award Letter (incorporated herein by reference to Exhibit 10.3 to the Company’s Registration Statement</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on Form 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Form of Restricted Stock Award Letter (incorporated herein by reference to Exhibit 10.4 to the Company’s Registration Statement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Form 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Form of Performance Share Unit Award Letter (incorporated herein by reference to Exhibit 10.5 to the Company’s Registration Statement</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on Form 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Employment Agreement, dated July 8, 2019, between Reynolds Consumer Products LLC and Lance Mitchell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reference to Exhibit 10.6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15, 2019)</w:t>
              </w:r>
            </w:hyperlink>
          </w:p>
        </w:tc>
        <w:tc>
          <w:tcPr>
            <w:tcW w:w="2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Employment Agreement, dated July 8, 2019, between Reynolds Consumer Products LLC and Michael Graham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reference to Exhibit 10.7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15, 2019)</w:t>
              </w:r>
            </w:hyperlink>
          </w:p>
        </w:tc>
        <w:tc>
          <w:tcPr>
            <w:tcW w:w="2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Employment Agreement, dated July 8, 2019, between Reynolds Consumer Products LLC and Craig Cappel (incorporated herein by</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reference to Exhibit 10.8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15, 2019)</w:t>
              </w:r>
            </w:hyperlink>
          </w:p>
        </w:tc>
        <w:tc>
          <w:tcPr>
            <w:tcW w:w="2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Employment Agreement, dated July 18, 2019, between Reynolds Consumer Products LLC and Stephan Pace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reference to Exhibit 10.9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15, 2019)</w:t>
              </w:r>
            </w:hyperlink>
          </w:p>
        </w:tc>
        <w:tc>
          <w:tcPr>
            <w:tcW w:w="2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Employment Agreement, dated July 29, 2019, between Reynolds Consumer Products LLC and Rachel Bishop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reference to Exhibit 10.29 to the Company’s Registration Statement on Form S-1 (File No. 333-234731) filed with the SEC on January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28, 2020)</w:t>
              </w:r>
            </w:hyperlink>
          </w:p>
        </w:tc>
        <w:tc>
          <w:tcPr>
            <w:tcW w:w="2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Lance Mitchell Transaction Success Bonus Letter, dated July 8, 2019 (incorporated herein by reference to Exhibit 10.10 to the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Company’s Registration Statement on Form S-1 (File No. 333-234731) filed with the SEC on November 15, 2019)</w:t>
              </w:r>
            </w:hyperlink>
          </w:p>
        </w:tc>
        <w:tc>
          <w:tcPr>
            <w:tcW w:w="16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135">
              <w:r>
                <w:rPr>
                  <w:rFonts w:ascii="Arial" w:cs="Arial" w:eastAsia="Arial" w:hAnsi="Arial"/>
                  <w:sz w:val="18"/>
                  <w:szCs w:val="18"/>
                  <w:color w:val="0000EE"/>
                  <w:w w:val="97"/>
                </w:rPr>
                <w:t>Michael Graham Transaction Success Bonus Letter, dated July 8, 2019 (incorporated herein by reference to Exhibit 10.11 to the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Company’s Registration Statement on Form S-1 (File No. 333-234731) filed with the SEC on November 15, 2019)</w:t>
              </w:r>
            </w:hyperlink>
          </w:p>
        </w:tc>
        <w:tc>
          <w:tcPr>
            <w:tcW w:w="16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Craig Cappel Transaction Success Bonus Letter, dated July 8, 2019 (incorporated herein by reference to Exhibit 10.12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Stephan Pace Transaction Success Bonus Letter, dated July 8, 2019 (incorporated herein by reference to Exhibit 10.13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Rachel Bishop Transaction Success Bonus Letter, dated July 8,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10.16†</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r:id="rId138">
              <w:r>
                <w:rPr>
                  <w:rFonts w:ascii="Arial" w:cs="Arial" w:eastAsia="Arial" w:hAnsi="Arial"/>
                  <w:sz w:val="18"/>
                  <w:szCs w:val="18"/>
                  <w:color w:val="0000EE"/>
                  <w:w w:val="98"/>
                </w:rPr>
                <w:t>Lance Mitchell Restricted Stock Memo, dated July 8, 2019 (incorporated herein by reference to Exhibit 10.14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Registration Statement on Form S-1 (File No. 333-234731) filed with the SEC on November 15, 2019)</w:t>
              </w:r>
            </w:hyperlink>
          </w:p>
        </w:tc>
        <w:tc>
          <w:tcPr>
            <w:tcW w:w="25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10.17†</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Michael Graham Restricted Stock Memo, dated July 8, 2019 (incorporated herein by reference to Exhibit 10.15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r:id="rId140">
              <w:r>
                <w:rPr>
                  <w:rFonts w:ascii="Arial" w:cs="Arial" w:eastAsia="Arial" w:hAnsi="Arial"/>
                  <w:sz w:val="18"/>
                  <w:szCs w:val="18"/>
                  <w:color w:val="0000EE"/>
                  <w:w w:val="99"/>
                </w:rPr>
                <w:t>Craig Cappel Restricted Stock Memo, dated July 8, 2019 (incorporated herein by reference to Exhibit 10.16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10.19†</w:t>
            </w: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Stephan Pace Restricted Stock Memo, dated July 8, 2019 (incorporated herein by reference to Exhibit 10.17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10.20*†</w:t>
            </w:r>
          </w:p>
        </w:tc>
        <w:tc>
          <w:tcPr>
            <w:tcW w:w="60" w:type="dxa"/>
            <w:vAlign w:val="bottom"/>
          </w:tcPr>
          <w:p>
            <w:pPr>
              <w:spacing w:after="0"/>
              <w:rPr>
                <w:sz w:val="17"/>
                <w:szCs w:val="17"/>
                <w:color w:val="auto"/>
              </w:rPr>
            </w:pPr>
          </w:p>
        </w:tc>
        <w:tc>
          <w:tcPr>
            <w:tcW w:w="4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Rachel Bishop Restricted Stock Memo, dated July 8, 2019</w:t>
              </w:r>
            </w:hyperlink>
          </w:p>
        </w:tc>
        <w:tc>
          <w:tcPr>
            <w:tcW w:w="57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ind w:left="60"/>
              <w:spacing w:after="0" w:line="196" w:lineRule="exact"/>
              <w:rPr>
                <w:sz w:val="20"/>
                <w:szCs w:val="20"/>
                <w:color w:val="auto"/>
              </w:rPr>
            </w:pPr>
            <w:r>
              <w:rPr>
                <w:rFonts w:ascii="Arial" w:cs="Arial" w:eastAsia="Arial" w:hAnsi="Arial"/>
                <w:sz w:val="18"/>
                <w:szCs w:val="18"/>
                <w:color w:val="auto"/>
              </w:rPr>
              <w:t>10.21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Master Supply Agreement, dated November 1, 2019, between Reynolds Consumer Products LLC, as Seller, and Pactiv LLC, as Buyer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(incorporated herein by reference to Exhibit 10.18 to the Company’s Registration Statement on Form S-1 (File No. 333-234731) filed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with the SEC on November 15, 2019)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72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Arial" w:cs="Arial" w:eastAsia="Arial" w:hAnsi="Arial"/>
                <w:sz w:val="18"/>
                <w:szCs w:val="18"/>
                <w:color w:val="auto"/>
              </w:rPr>
              <w:t>10.22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Master Supply Agreement, dated November 1, 2019, between Pactiv LLC, as Seller, and Reynolds Consumer Products LLC, as Buyer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6"/>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(incorporated herein by reference to Exhibit 10.19 to the Company’s Registration Statement on Form S-1 (File No. 333-234731) filed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with the SEC on November 15, 2019)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Borders>
              <w:top w:val="single" w:sz="8" w:color="0000EE"/>
            </w:tcBorders>
            <w:gridSpan w:val="2"/>
          </w:tcPr>
          <w:p>
            <w:pPr>
              <w:spacing w:after="0"/>
              <w:rPr>
                <w:sz w:val="24"/>
                <w:szCs w:val="24"/>
                <w:color w:val="auto"/>
              </w:rPr>
            </w:pPr>
          </w:p>
        </w:tc>
        <w:tc>
          <w:tcPr>
            <w:tcW w:w="2220" w:type="dxa"/>
            <w:vAlign w:val="bottom"/>
            <w:gridSpan w:val="3"/>
          </w:tcPr>
          <w:p>
            <w:pPr>
              <w:jc w:val="right"/>
              <w:ind w:right="5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95" w:name="page96"/>
    <w:bookmarkEnd w:id="95"/>
    <w:tbl>
      <w:tblPr>
        <w:tblLayout w:type="fixed"/>
        <w:tblInd w:w="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10.23</w:t>
            </w:r>
          </w:p>
        </w:tc>
        <w:tc>
          <w:tcPr>
            <w:tcW w:w="9940" w:type="dxa"/>
            <w:vAlign w:val="bottom"/>
            <w:tcBorders>
              <w:bottom w:val="single" w:sz="8" w:color="0000EE"/>
            </w:tcBorders>
            <w:gridSpan w:val="14"/>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Warehousing and Freight Services Agreement, dated November 1, 2019, between Pactiv LLC and Reynolds Consumer Products LLC</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(incorporated herein by reference to Exhibit 10.20 to the Company’s Registration Statement on Form S-1 (File No. 333-234731) filed</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with the SEC on November 15, 2019)</w:t>
              </w:r>
            </w:hyperlink>
          </w:p>
        </w:tc>
      </w:tr>
      <w:tr>
        <w:trPr>
          <w:trHeight w:val="20"/>
        </w:trPr>
        <w:tc>
          <w:tcPr>
            <w:tcW w:w="12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47">
              <w:r>
                <w:rPr>
                  <w:rFonts w:ascii="Arial" w:cs="Arial" w:eastAsia="Arial" w:hAnsi="Arial"/>
                  <w:sz w:val="18"/>
                  <w:szCs w:val="18"/>
                  <w:color w:val="0000EE"/>
                  <w:w w:val="94"/>
                </w:rPr>
                <w:t>Transition Services Agreement, dated November 1, 2019, between Pactiv LLC and Reynolds Consumer Products LLC (incorporated</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herein by reference to Exhibit 10.21 to the Company’s Registration Statement on Form S-1 (File No. 333-234731) filed with the SEC on</w:t>
              </w:r>
            </w:hyperlink>
          </w:p>
        </w:tc>
      </w:tr>
      <w:tr>
        <w:trPr>
          <w:trHeight w:val="196"/>
        </w:trPr>
        <w:tc>
          <w:tcPr>
            <w:tcW w:w="124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November 15, 2019)</w:t>
              </w:r>
            </w:hyperlink>
          </w:p>
        </w:tc>
        <w:tc>
          <w:tcPr>
            <w:tcW w:w="84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Transition Services Agreement, dated January 22, 2020, between Rank Group Limited and Reynolds Consumer Products Inc.</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(incorporated herein by reference to Exhibit 10.6 to the Company’s Current Report on Form 8-K (File No. 001-39205) filed with the SEC</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on February 4, 2020)</w:t>
              </w:r>
            </w:hyperlink>
          </w:p>
        </w:tc>
      </w:tr>
      <w:tr>
        <w:trPr>
          <w:trHeight w:val="20"/>
        </w:trPr>
        <w:tc>
          <w:tcPr>
            <w:tcW w:w="12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Transition Services Agreement, dated February 4, 2020, between Reynolds Group Holdings Inc. and Reynolds Consumer Products Inc.</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(incorporated herein by reference to Exhibit 10.5 to the Company’s Current Report on Form 8-K (File No. 001-39205) filed with the SEC</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on February 4, 2020)</w:t>
              </w:r>
            </w:hyperlink>
          </w:p>
        </w:tc>
      </w:tr>
      <w:tr>
        <w:trPr>
          <w:trHeight w:val="20"/>
        </w:trPr>
        <w:tc>
          <w:tcPr>
            <w:tcW w:w="12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150">
              <w:r>
                <w:rPr>
                  <w:rFonts w:ascii="Arial" w:cs="Arial" w:eastAsia="Arial" w:hAnsi="Arial"/>
                  <w:sz w:val="18"/>
                  <w:szCs w:val="18"/>
                  <w:color w:val="0000EE"/>
                  <w:w w:val="97"/>
                </w:rPr>
                <w:t>Amended and Restated Lease Agreement, dated January 1, 2020, between Pactiv LLC and Reynolds Consumer Products LLC</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(incorporated herein by reference to Exhibit 10.23 to the Company’s Registration Statement on Form S-1 (File No. 333-234731) filed</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with the SEC on January 21, 2020)</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Tax Matters Agreement, dated February 4, 2020 (incorporated herein by reference to Exhibit 10.3 to the Company’s Current Report on</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Form 8-K (File No. 001-39205) filed with the SEC on February 4, 2020)</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Registration Rights Agreement, dated February 4, 2020, between Packaging Finance Limited and Reynolds Consumer Products Inc.</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(incorporated herein by reference to Exhibit 10.1 to the Company’s Current Report on Form 8-K (File No. 001-39205) filed with the SEC</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on February 4, 2020)</w:t>
              </w:r>
            </w:hyperlink>
          </w:p>
        </w:tc>
      </w:tr>
      <w:tr>
        <w:trPr>
          <w:trHeight w:val="20"/>
        </w:trPr>
        <w:tc>
          <w:tcPr>
            <w:tcW w:w="12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9940" w:type="dxa"/>
            <w:vAlign w:val="bottom"/>
            <w:gridSpan w:val="14"/>
          </w:tcPr>
          <w:p>
            <w:pPr>
              <w:spacing w:after="0" w:line="196" w:lineRule="exact"/>
              <w:rPr>
                <w:rFonts w:ascii="Arial" w:cs="Arial" w:eastAsia="Arial" w:hAnsi="Arial"/>
                <w:sz w:val="18"/>
                <w:szCs w:val="18"/>
                <w:color w:val="0000EE"/>
                <w:w w:val="99"/>
              </w:rPr>
            </w:pPr>
            <w:hyperlink r:id="rId153">
              <w:r>
                <w:rPr>
                  <w:rFonts w:ascii="Arial" w:cs="Arial" w:eastAsia="Arial" w:hAnsi="Arial"/>
                  <w:sz w:val="18"/>
                  <w:szCs w:val="18"/>
                  <w:color w:val="0000EE"/>
                  <w:w w:val="99"/>
                </w:rPr>
                <w:t>Stockholders Agreement dated February 4, 2020, between Packaging Finance Limited and Reynolds Consumer Products Inc.</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(incorporated herein by reference to Exhibit 10.2 to the Company’s Current Report on Form 8-K (File No. 001-39205) filed with the SEC</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on February 4, 2020)</w:t>
              </w:r>
            </w:hyperlink>
          </w:p>
        </w:tc>
      </w:tr>
      <w:tr>
        <w:trPr>
          <w:trHeight w:val="20"/>
        </w:trPr>
        <w:tc>
          <w:tcPr>
            <w:tcW w:w="12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Credit Agreement between Reynolds Consumer Products LLC, as borrower, Reynolds Consumer Products Inc., as parent, and certain</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54">
              <w:r>
                <w:rPr>
                  <w:rFonts w:ascii="Arial" w:cs="Arial" w:eastAsia="Arial" w:hAnsi="Arial"/>
                  <w:sz w:val="18"/>
                  <w:szCs w:val="18"/>
                  <w:color w:val="0000EE"/>
                  <w:w w:val="95"/>
                </w:rPr>
                <w:t>lenders party thereto (incorporated herein by reference to Exhibit 10.4 to the Company’s Current Report on Form 8-K (File No. 001-</w:t>
              </w:r>
            </w:hyperlink>
          </w:p>
        </w:tc>
      </w:tr>
      <w:tr>
        <w:trPr>
          <w:trHeight w:val="196"/>
        </w:trPr>
        <w:tc>
          <w:tcPr>
            <w:tcW w:w="1240" w:type="dxa"/>
            <w:vAlign w:val="bottom"/>
          </w:tcPr>
          <w:p>
            <w:pPr>
              <w:spacing w:after="0"/>
              <w:rPr>
                <w:sz w:val="17"/>
                <w:szCs w:val="17"/>
                <w:color w:val="auto"/>
              </w:rPr>
            </w:pPr>
          </w:p>
        </w:tc>
        <w:tc>
          <w:tcPr>
            <w:tcW w:w="34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39205) filed with the SEC on February 4, 2020)</w:t>
              </w:r>
            </w:hyperlink>
          </w:p>
        </w:tc>
        <w:tc>
          <w:tcPr>
            <w:tcW w:w="6480" w:type="dxa"/>
            <w:vAlign w:val="bottom"/>
            <w:gridSpan w:val="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4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Statement of Business Principles and Code of Conduct Policy</w:t>
              </w:r>
            </w:hyperlink>
          </w:p>
        </w:tc>
        <w:tc>
          <w:tcPr>
            <w:tcW w:w="5480" w:type="dxa"/>
            <w:vAlign w:val="bottom"/>
            <w:gridSpan w:val="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List of subsidiaries (incorporated herein by reference to Exhibit 21.1 to the Company’s Registration Statement on Form S-1 (File No.</w:t>
              </w:r>
            </w:hyperlink>
          </w:p>
        </w:tc>
      </w:tr>
      <w:tr>
        <w:trPr>
          <w:trHeight w:val="196"/>
        </w:trPr>
        <w:tc>
          <w:tcPr>
            <w:tcW w:w="1240" w:type="dxa"/>
            <w:vAlign w:val="bottom"/>
          </w:tcPr>
          <w:p>
            <w:pPr>
              <w:spacing w:after="0"/>
              <w:rPr>
                <w:sz w:val="17"/>
                <w:szCs w:val="17"/>
                <w:color w:val="auto"/>
              </w:rPr>
            </w:pPr>
          </w:p>
        </w:tc>
        <w:tc>
          <w:tcPr>
            <w:tcW w:w="40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333-234731) filed with the SEC on November 15, 2019)</w:t>
              </w:r>
            </w:hyperlink>
          </w:p>
        </w:tc>
        <w:tc>
          <w:tcPr>
            <w:tcW w:w="5860" w:type="dxa"/>
            <w:vAlign w:val="bottom"/>
            <w:gridSpan w:val="6"/>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9940" w:type="dxa"/>
            <w:vAlign w:val="bottom"/>
            <w:gridSpan w:val="1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Consent of PricewaterhouseCoopers LLP</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9940" w:type="dxa"/>
            <w:vAlign w:val="bottom"/>
            <w:gridSpan w:val="1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Power of Attorney (see signature page to this Annual Report on Form 10-K)</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Certification of Principal Financial Officer of the Company Pursuant to Rule 13a-14 of the Securities Exchange Act of 1934, As Adopted</w:t>
              </w:r>
            </w:hyperlink>
          </w:p>
        </w:tc>
      </w:tr>
      <w:tr>
        <w:trPr>
          <w:trHeight w:val="196"/>
        </w:trPr>
        <w:tc>
          <w:tcPr>
            <w:tcW w:w="1240" w:type="dxa"/>
            <w:vAlign w:val="bottom"/>
          </w:tcPr>
          <w:p>
            <w:pPr>
              <w:spacing w:after="0"/>
              <w:rPr>
                <w:sz w:val="17"/>
                <w:szCs w:val="17"/>
                <w:color w:val="auto"/>
              </w:rPr>
            </w:pPr>
          </w:p>
        </w:tc>
        <w:tc>
          <w:tcPr>
            <w:tcW w:w="4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Pursuant to Section 302 of the Sarbanes-Oxley Act of 2002</w:t>
              </w:r>
            </w:hyperlink>
          </w:p>
        </w:tc>
        <w:tc>
          <w:tcPr>
            <w:tcW w:w="5660" w:type="dxa"/>
            <w:vAlign w:val="bottom"/>
            <w:gridSpan w:val="5"/>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Principal Financial Officer of the Company Pursuant to Rule 13a-14 of the Securities Exchange Act of 1934, As Adopted</w:t>
              </w:r>
            </w:hyperlink>
          </w:p>
        </w:tc>
      </w:tr>
      <w:tr>
        <w:trPr>
          <w:trHeight w:val="196"/>
        </w:trPr>
        <w:tc>
          <w:tcPr>
            <w:tcW w:w="1240" w:type="dxa"/>
            <w:vAlign w:val="bottom"/>
          </w:tcPr>
          <w:p>
            <w:pPr>
              <w:spacing w:after="0"/>
              <w:rPr>
                <w:sz w:val="17"/>
                <w:szCs w:val="17"/>
                <w:color w:val="auto"/>
              </w:rPr>
            </w:pPr>
          </w:p>
        </w:tc>
        <w:tc>
          <w:tcPr>
            <w:tcW w:w="4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Pursuant to Section 302 of the Sarbanes-Oxley Act of 2002</w:t>
              </w:r>
            </w:hyperlink>
          </w:p>
        </w:tc>
        <w:tc>
          <w:tcPr>
            <w:tcW w:w="5660" w:type="dxa"/>
            <w:vAlign w:val="bottom"/>
            <w:gridSpan w:val="5"/>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Certification of Principal Executive Officer of the Company Pursuant to 18 U.S.C. Section 1350, As Adopted Pursuant to Section 906 of</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the Sarbanes-Oxley Act of 2002</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7620" w:type="dxa"/>
            <w:vAlign w:val="bottom"/>
            <w:gridSpan w:val="11"/>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9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Certification of Principal Financial Officer of the Company Pursuant to 18 U.S.C. Section 1350, As Adopted Pursuant to Section 906 of</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the Sarbanes-Oxley Act of 2002</w:t>
              </w:r>
            </w:hyperlink>
          </w:p>
        </w:tc>
      </w:tr>
      <w:tr>
        <w:trPr>
          <w:trHeight w:val="20"/>
        </w:trPr>
        <w:tc>
          <w:tcPr>
            <w:tcW w:w="12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760"/>
        <w:spacing w:after="0"/>
        <w:tabs>
          <w:tab w:leader="none" w:pos="7220" w:val="left"/>
        </w:tabs>
        <w:rPr>
          <w:sz w:val="20"/>
          <w:szCs w:val="20"/>
          <w:color w:val="auto"/>
        </w:rPr>
      </w:pPr>
      <w:r>
        <w:rPr>
          <w:rFonts w:ascii="Arial" w:cs="Arial" w:eastAsia="Arial" w:hAnsi="Arial"/>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14605</wp:posOffset>
            </wp:positionV>
            <wp:extent cx="25374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Lance Mitchell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March 10, 2020</w:t>
      </w:r>
    </w:p>
    <w:p>
      <w:pPr>
        <w:spacing w:after="0" w:line="20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does hereby make, constitute and appoint Lance Mitchell and Michael Graham, and each of them acting individually, his or her true and lawful attorneys-in-fact and agents, with full power of substitution, for them and in their name, place and stead, in any and all capacities, to sign the Annual Report on Form 10-K, and any amendments thereto,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spacing w:after="0" w:line="23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364" w:right="339" w:bottom="1440" w:gutter="0" w:footer="0" w:header="0"/>
        </w:sectPr>
      </w:pPr>
    </w:p>
    <w:p>
      <w:pPr>
        <w:spacing w:after="0" w:line="35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Signature</w:t>
      </w:r>
    </w:p>
    <w:p>
      <w:pPr>
        <w:spacing w:after="0" w:line="5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571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Lance Mitchell</w:t>
      </w:r>
    </w:p>
    <w:p>
      <w:pPr>
        <w:spacing w:after="0" w:line="200" w:lineRule="exact"/>
        <w:rPr>
          <w:sz w:val="20"/>
          <w:szCs w:val="20"/>
          <w:color w:val="auto"/>
        </w:rPr>
      </w:pPr>
    </w:p>
    <w:p>
      <w:pPr>
        <w:spacing w:after="0" w:line="309"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3571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2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Michael Graham</w:t>
      </w:r>
    </w:p>
    <w:p>
      <w:pPr>
        <w:spacing w:after="0" w:line="200" w:lineRule="exact"/>
        <w:rPr>
          <w:sz w:val="20"/>
          <w:szCs w:val="20"/>
          <w:color w:val="auto"/>
        </w:rPr>
      </w:pPr>
    </w:p>
    <w:p>
      <w:pPr>
        <w:spacing w:after="0" w:line="32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Richard 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571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4"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Richard Noll</w:t>
      </w:r>
    </w:p>
    <w:p>
      <w:pPr>
        <w:spacing w:after="0" w:line="200" w:lineRule="exact"/>
        <w:rPr>
          <w:sz w:val="20"/>
          <w:szCs w:val="20"/>
          <w:color w:val="auto"/>
        </w:rPr>
      </w:pPr>
    </w:p>
    <w:p>
      <w:pPr>
        <w:spacing w:after="0" w:line="25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Gregory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571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4"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Gregory Cole</w:t>
      </w:r>
    </w:p>
    <w:p>
      <w:pPr>
        <w:spacing w:after="0" w:line="200" w:lineRule="exact"/>
        <w:rPr>
          <w:sz w:val="20"/>
          <w:szCs w:val="20"/>
          <w:color w:val="auto"/>
        </w:rPr>
      </w:pPr>
    </w:p>
    <w:p>
      <w:pPr>
        <w:spacing w:after="0" w:line="255"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/s/ Thomas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23571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Thomas Degnan</w:t>
      </w:r>
    </w:p>
    <w:p>
      <w:pPr>
        <w:spacing w:after="0" w:line="200" w:lineRule="exact"/>
        <w:rPr>
          <w:sz w:val="20"/>
          <w:szCs w:val="20"/>
          <w:color w:val="auto"/>
        </w:rPr>
      </w:pPr>
    </w:p>
    <w:p>
      <w:pPr>
        <w:spacing w:after="0" w:line="25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Helen Golding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3571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4"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Helen Golding</w:t>
      </w:r>
    </w:p>
    <w:p>
      <w:pPr>
        <w:spacing w:after="0" w:line="200" w:lineRule="exact"/>
        <w:rPr>
          <w:sz w:val="20"/>
          <w:szCs w:val="20"/>
          <w:color w:val="auto"/>
        </w:rPr>
      </w:pPr>
    </w:p>
    <w:p>
      <w:pPr>
        <w:spacing w:after="0" w:line="255"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/s/ Marla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23571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Marla Gottschalk</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Title</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(Principal Financial Officer and Principal</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Director and Chairman of the Board of</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March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March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March 10, 2020</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10, 2020</w:t>
      </w:r>
    </w:p>
    <w:p>
      <w:pPr>
        <w:spacing w:after="0" w:line="506" w:lineRule="exact"/>
        <w:rPr>
          <w:sz w:val="20"/>
          <w:szCs w:val="20"/>
          <w:color w:val="auto"/>
        </w:rPr>
      </w:pPr>
    </w:p>
    <w:p>
      <w:pPr>
        <w:sectPr>
          <w:pgSz w:w="11900" w:h="16838" w:orient="portrait"/>
          <w:cols w:equalWidth="0" w:num="3">
            <w:col w:w="3420" w:space="720"/>
            <w:col w:w="3960" w:space="720"/>
            <w:col w:w="2420"/>
          </w:cols>
          <w:pgMar w:left="320" w:top="364" w:right="339"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320" w:top="364" w:right="3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SECURITIES</w:t>
      </w: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13" w:lineRule="exact"/>
        <w:rPr>
          <w:sz w:val="20"/>
          <w:szCs w:val="20"/>
          <w:color w:val="auto"/>
        </w:rPr>
      </w:pPr>
    </w:p>
    <w:p>
      <w:pPr>
        <w:ind w:firstLine="435"/>
        <w:spacing w:after="0" w:line="260" w:lineRule="auto"/>
        <w:rPr>
          <w:sz w:val="20"/>
          <w:szCs w:val="20"/>
          <w:color w:val="auto"/>
        </w:rPr>
      </w:pPr>
      <w:r>
        <w:rPr>
          <w:rFonts w:ascii="Arial" w:cs="Arial" w:eastAsia="Arial" w:hAnsi="Arial"/>
          <w:sz w:val="20"/>
          <w:szCs w:val="20"/>
          <w:color w:val="auto"/>
        </w:rPr>
        <w:t>As of March 10, 2020, Reynolds Consumer Products Inc. has one class of securities, common stock, registered under Section 12 of the Securities Exchange Act of 1934, as amended (the “Exchange Act”).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231F20"/>
        </w:rPr>
        <w:t>AUTHORIZED CAPITAL STOCK</w:t>
      </w:r>
    </w:p>
    <w:p>
      <w:pPr>
        <w:spacing w:after="0" w:line="235" w:lineRule="exact"/>
        <w:rPr>
          <w:sz w:val="20"/>
          <w:szCs w:val="20"/>
          <w:color w:val="auto"/>
        </w:rPr>
      </w:pPr>
    </w:p>
    <w:p>
      <w:pPr>
        <w:jc w:val="both"/>
        <w:ind w:left="160" w:right="120" w:firstLine="471"/>
        <w:spacing w:after="0" w:line="250" w:lineRule="auto"/>
        <w:rPr>
          <w:sz w:val="20"/>
          <w:szCs w:val="20"/>
          <w:color w:val="auto"/>
        </w:rPr>
      </w:pPr>
      <w:r>
        <w:rPr>
          <w:rFonts w:ascii="Arial" w:cs="Arial" w:eastAsia="Arial" w:hAnsi="Arial"/>
          <w:sz w:val="20"/>
          <w:szCs w:val="20"/>
          <w:color w:val="231F20"/>
        </w:rPr>
        <w:t xml:space="preserve">Reynolds Consumer Products Inc.’s authorized capital stock consists of 2,000,000,000 shares of common stock, par value $0.001 per share, and 200,000,000 shares of preferred stock, par value $0.001 per share. </w:t>
      </w:r>
      <w:r>
        <w:rPr>
          <w:rFonts w:ascii="Arial" w:cs="Arial" w:eastAsia="Arial" w:hAnsi="Arial"/>
          <w:sz w:val="20"/>
          <w:szCs w:val="20"/>
          <w:color w:val="000000"/>
        </w:rPr>
        <w:t>All outstanding shares of our capital stock are fully paid</w:t>
      </w:r>
      <w:r>
        <w:rPr>
          <w:rFonts w:ascii="Arial" w:cs="Arial" w:eastAsia="Arial" w:hAnsi="Arial"/>
          <w:sz w:val="20"/>
          <w:szCs w:val="20"/>
          <w:color w:val="231F20"/>
        </w:rPr>
        <w:t xml:space="preserve"> </w:t>
      </w:r>
      <w:r>
        <w:rPr>
          <w:rFonts w:ascii="Arial" w:cs="Arial" w:eastAsia="Arial" w:hAnsi="Arial"/>
          <w:sz w:val="20"/>
          <w:szCs w:val="20"/>
          <w:color w:val="000000"/>
        </w:rPr>
        <w:t>and non-assessable.</w:t>
      </w:r>
    </w:p>
    <w:p>
      <w:pPr>
        <w:spacing w:after="0" w:line="193" w:lineRule="exact"/>
        <w:rPr>
          <w:sz w:val="20"/>
          <w:szCs w:val="20"/>
          <w:color w:val="auto"/>
        </w:rPr>
      </w:pPr>
    </w:p>
    <w:p>
      <w:pPr>
        <w:jc w:val="center"/>
        <w:ind w:left="500"/>
        <w:spacing w:after="0"/>
        <w:rPr>
          <w:sz w:val="20"/>
          <w:szCs w:val="20"/>
          <w:color w:val="auto"/>
        </w:rPr>
      </w:pPr>
      <w:r>
        <w:rPr>
          <w:rFonts w:ascii="Arial" w:cs="Arial" w:eastAsia="Arial" w:hAnsi="Arial"/>
          <w:sz w:val="20"/>
          <w:szCs w:val="20"/>
          <w:b w:val="1"/>
          <w:bCs w:val="1"/>
          <w:color w:val="231F20"/>
        </w:rPr>
        <w:t>DESCRIPTION OF COMMON STOCK</w:t>
      </w:r>
    </w:p>
    <w:p>
      <w:pPr>
        <w:spacing w:after="0" w:line="235" w:lineRule="exact"/>
        <w:rPr>
          <w:sz w:val="20"/>
          <w:szCs w:val="20"/>
          <w:color w:val="auto"/>
        </w:rPr>
      </w:pPr>
    </w:p>
    <w:p>
      <w:pPr>
        <w:jc w:val="both"/>
        <w:ind w:firstLine="435"/>
        <w:spacing w:after="0" w:line="269" w:lineRule="auto"/>
        <w:rPr>
          <w:sz w:val="20"/>
          <w:szCs w:val="20"/>
          <w:color w:val="auto"/>
        </w:rPr>
      </w:pPr>
      <w:r>
        <w:rPr>
          <w:rFonts w:ascii="Arial" w:cs="Arial" w:eastAsia="Arial" w:hAnsi="Arial"/>
          <w:sz w:val="19"/>
          <w:szCs w:val="19"/>
          <w:color w:val="auto"/>
        </w:rPr>
        <w:t xml:space="preserve">The following description of common stock is a summary and does not purport to be complete and is qualified in its entirely by our </w:t>
      </w:r>
      <w:r>
        <w:rPr>
          <w:rFonts w:ascii="Arial" w:cs="Arial" w:eastAsia="Arial" w:hAnsi="Arial"/>
          <w:sz w:val="19"/>
          <w:szCs w:val="19"/>
          <w:color w:val="231F20"/>
        </w:rPr>
        <w:t>amended and restated certificate of incorporation and amended and restated bylaws</w:t>
      </w:r>
      <w:r>
        <w:rPr>
          <w:rFonts w:ascii="Arial" w:cs="Arial" w:eastAsia="Arial" w:hAnsi="Arial"/>
          <w:sz w:val="19"/>
          <w:szCs w:val="19"/>
          <w:color w:val="000000"/>
        </w:rPr>
        <w:t>. Our</w:t>
      </w:r>
      <w:r>
        <w:rPr>
          <w:rFonts w:ascii="Arial" w:cs="Arial" w:eastAsia="Arial" w:hAnsi="Arial"/>
          <w:sz w:val="19"/>
          <w:szCs w:val="19"/>
          <w:color w:val="231F20"/>
        </w:rPr>
        <w:t xml:space="preserve"> amended and restated certificate of incorporation and amended and restated bylaws </w:t>
      </w:r>
      <w:r>
        <w:rPr>
          <w:rFonts w:ascii="Arial" w:cs="Arial" w:eastAsia="Arial" w:hAnsi="Arial"/>
          <w:sz w:val="19"/>
          <w:szCs w:val="19"/>
          <w:color w:val="000000"/>
        </w:rPr>
        <w:t>are incorporated by reference as Exhibits to this Annual Report on Form 10-K.</w:t>
      </w:r>
    </w:p>
    <w:p>
      <w:pPr>
        <w:spacing w:after="0" w:line="129" w:lineRule="exact"/>
        <w:rPr>
          <w:sz w:val="20"/>
          <w:szCs w:val="20"/>
          <w:color w:val="auto"/>
        </w:rPr>
      </w:pPr>
    </w:p>
    <w:p>
      <w:pPr>
        <w:ind w:left="160" w:right="220" w:firstLine="467"/>
        <w:spacing w:after="0" w:line="260" w:lineRule="auto"/>
        <w:rPr>
          <w:sz w:val="20"/>
          <w:szCs w:val="20"/>
          <w:color w:val="auto"/>
        </w:rPr>
      </w:pPr>
      <w:r>
        <w:rPr>
          <w:rFonts w:ascii="Arial" w:cs="Arial" w:eastAsia="Arial" w:hAnsi="Arial"/>
          <w:sz w:val="20"/>
          <w:szCs w:val="20"/>
          <w:i w:val="1"/>
          <w:iCs w:val="1"/>
          <w:color w:val="231F20"/>
        </w:rPr>
        <w:t xml:space="preserve">Voting rights. </w:t>
      </w:r>
      <w:r>
        <w:rPr>
          <w:rFonts w:ascii="Arial" w:cs="Arial" w:eastAsia="Arial" w:hAnsi="Arial"/>
          <w:sz w:val="20"/>
          <w:szCs w:val="20"/>
          <w:color w:val="231F20"/>
        </w:rPr>
        <w:t>The holders of our common stock are entitled to one vote per share on all matters to be voted upon by the</w:t>
      </w:r>
      <w:r>
        <w:rPr>
          <w:rFonts w:ascii="Arial" w:cs="Arial" w:eastAsia="Arial" w:hAnsi="Arial"/>
          <w:sz w:val="20"/>
          <w:szCs w:val="20"/>
          <w:i w:val="1"/>
          <w:iCs w:val="1"/>
          <w:color w:val="231F20"/>
        </w:rPr>
        <w:t xml:space="preserve"> </w:t>
      </w:r>
      <w:r>
        <w:rPr>
          <w:rFonts w:ascii="Arial" w:cs="Arial" w:eastAsia="Arial" w:hAnsi="Arial"/>
          <w:sz w:val="20"/>
          <w:szCs w:val="20"/>
          <w:color w:val="231F20"/>
        </w:rPr>
        <w:t>stockholders.</w:t>
      </w:r>
    </w:p>
    <w:p>
      <w:pPr>
        <w:spacing w:after="0" w:line="190" w:lineRule="exact"/>
        <w:rPr>
          <w:sz w:val="20"/>
          <w:szCs w:val="20"/>
          <w:color w:val="auto"/>
        </w:rPr>
      </w:pPr>
    </w:p>
    <w:p>
      <w:pPr>
        <w:jc w:val="both"/>
        <w:ind w:firstLine="435"/>
        <w:spacing w:after="0" w:line="287" w:lineRule="auto"/>
        <w:rPr>
          <w:sz w:val="20"/>
          <w:szCs w:val="20"/>
          <w:color w:val="auto"/>
        </w:rPr>
      </w:pPr>
      <w:r>
        <w:rPr>
          <w:rFonts w:ascii="Arial" w:cs="Arial" w:eastAsia="Arial" w:hAnsi="Arial"/>
          <w:sz w:val="19"/>
          <w:szCs w:val="19"/>
          <w:i w:val="1"/>
          <w:iCs w:val="1"/>
          <w:color w:val="231F20"/>
        </w:rPr>
        <w:t xml:space="preserve">Dividend rights. </w:t>
      </w:r>
      <w:r>
        <w:rPr>
          <w:rFonts w:ascii="Arial" w:cs="Arial" w:eastAsia="Arial" w:hAnsi="Arial"/>
          <w:sz w:val="19"/>
          <w:szCs w:val="19"/>
          <w:color w:val="231F20"/>
        </w:rPr>
        <w:t>Holders of shares of our common stock are entitled to receive dividends when, as and if declared by our board of</w:t>
      </w:r>
      <w:r>
        <w:rPr>
          <w:rFonts w:ascii="Arial" w:cs="Arial" w:eastAsia="Arial" w:hAnsi="Arial"/>
          <w:sz w:val="19"/>
          <w:szCs w:val="19"/>
          <w:i w:val="1"/>
          <w:iCs w:val="1"/>
          <w:color w:val="231F20"/>
        </w:rPr>
        <w:t xml:space="preserve"> </w:t>
      </w:r>
      <w:r>
        <w:rPr>
          <w:rFonts w:ascii="Arial" w:cs="Arial" w:eastAsia="Arial" w:hAnsi="Arial"/>
          <w:sz w:val="19"/>
          <w:szCs w:val="19"/>
          <w:color w:val="231F20"/>
        </w:rPr>
        <w:t>directors out of funds legally available therefor, subject to preferences that may be applicable to any outstanding preferred stock.</w:t>
      </w:r>
    </w:p>
    <w:p>
      <w:pPr>
        <w:spacing w:after="0" w:line="125" w:lineRule="exact"/>
        <w:rPr>
          <w:sz w:val="20"/>
          <w:szCs w:val="20"/>
          <w:color w:val="auto"/>
        </w:rPr>
      </w:pPr>
    </w:p>
    <w:p>
      <w:pPr>
        <w:jc w:val="both"/>
        <w:ind w:firstLine="435"/>
        <w:spacing w:after="0" w:line="269" w:lineRule="auto"/>
        <w:rPr>
          <w:sz w:val="20"/>
          <w:szCs w:val="20"/>
          <w:color w:val="auto"/>
        </w:rPr>
      </w:pPr>
      <w:r>
        <w:rPr>
          <w:rFonts w:ascii="Arial" w:cs="Arial" w:eastAsia="Arial" w:hAnsi="Arial"/>
          <w:sz w:val="19"/>
          <w:szCs w:val="19"/>
          <w:i w:val="1"/>
          <w:iCs w:val="1"/>
          <w:color w:val="231F20"/>
        </w:rPr>
        <w:t xml:space="preserve">Rights upon liquidation. </w:t>
      </w:r>
      <w:r>
        <w:rPr>
          <w:rFonts w:ascii="Arial" w:cs="Arial" w:eastAsia="Arial" w:hAnsi="Arial"/>
          <w:sz w:val="19"/>
          <w:szCs w:val="19"/>
          <w:color w:val="231F20"/>
        </w:rPr>
        <w:t>In the event of liquidation, dissolution or winding up of Reynolds Consumer Products Inc., the holders of</w:t>
      </w:r>
      <w:r>
        <w:rPr>
          <w:rFonts w:ascii="Arial" w:cs="Arial" w:eastAsia="Arial" w:hAnsi="Arial"/>
          <w:sz w:val="19"/>
          <w:szCs w:val="19"/>
          <w:i w:val="1"/>
          <w:iCs w:val="1"/>
          <w:color w:val="231F20"/>
        </w:rPr>
        <w:t xml:space="preserve"> </w:t>
      </w:r>
      <w:r>
        <w:rPr>
          <w:rFonts w:ascii="Arial" w:cs="Arial" w:eastAsia="Arial" w:hAnsi="Arial"/>
          <w:sz w:val="19"/>
          <w:szCs w:val="19"/>
          <w:color w:val="231F20"/>
        </w:rPr>
        <w:t>common stock will be entitled to share equally, identically and ratably in all assets remaining after the payment of any liabilities, liquidation preferences and accrued or declared but unpaid dividends, if any, with respect to any outstanding preferred stock.</w:t>
      </w:r>
    </w:p>
    <w:p>
      <w:pPr>
        <w:spacing w:after="0" w:line="129" w:lineRule="exact"/>
        <w:rPr>
          <w:sz w:val="20"/>
          <w:szCs w:val="20"/>
          <w:color w:val="auto"/>
        </w:rPr>
      </w:pPr>
    </w:p>
    <w:p>
      <w:pPr>
        <w:jc w:val="both"/>
        <w:ind w:right="20" w:firstLine="435"/>
        <w:spacing w:after="0" w:line="260" w:lineRule="auto"/>
        <w:rPr>
          <w:sz w:val="20"/>
          <w:szCs w:val="20"/>
          <w:color w:val="auto"/>
        </w:rPr>
      </w:pPr>
      <w:r>
        <w:rPr>
          <w:rFonts w:ascii="Arial" w:cs="Arial" w:eastAsia="Arial" w:hAnsi="Arial"/>
          <w:sz w:val="20"/>
          <w:szCs w:val="20"/>
          <w:i w:val="1"/>
          <w:iCs w:val="1"/>
          <w:color w:val="231F20"/>
        </w:rPr>
        <w:t xml:space="preserve">Other rights. </w:t>
      </w:r>
      <w:r>
        <w:rPr>
          <w:rFonts w:ascii="Arial" w:cs="Arial" w:eastAsia="Arial" w:hAnsi="Arial"/>
          <w:sz w:val="20"/>
          <w:szCs w:val="20"/>
          <w:color w:val="231F20"/>
        </w:rPr>
        <w:t>Our common stock is not entitled to preemptive rights and is not subject to conversion, redemption or sinking fund</w:t>
      </w:r>
      <w:r>
        <w:rPr>
          <w:rFonts w:ascii="Arial" w:cs="Arial" w:eastAsia="Arial" w:hAnsi="Arial"/>
          <w:sz w:val="20"/>
          <w:szCs w:val="20"/>
          <w:i w:val="1"/>
          <w:iCs w:val="1"/>
          <w:color w:val="231F20"/>
        </w:rPr>
        <w:t xml:space="preserve"> </w:t>
      </w:r>
      <w:r>
        <w:rPr>
          <w:rFonts w:ascii="Arial" w:cs="Arial" w:eastAsia="Arial" w:hAnsi="Arial"/>
          <w:sz w:val="20"/>
          <w:szCs w:val="20"/>
          <w:color w:val="231F20"/>
        </w:rPr>
        <w:t>provisions.</w:t>
      </w:r>
    </w:p>
    <w:p>
      <w:pPr>
        <w:spacing w:after="0" w:line="136" w:lineRule="exact"/>
        <w:rPr>
          <w:sz w:val="20"/>
          <w:szCs w:val="20"/>
          <w:color w:val="auto"/>
        </w:rPr>
      </w:pPr>
    </w:p>
    <w:p>
      <w:pPr>
        <w:ind w:left="440" w:right="20"/>
        <w:spacing w:after="0" w:line="448" w:lineRule="auto"/>
        <w:rPr>
          <w:sz w:val="20"/>
          <w:szCs w:val="20"/>
          <w:color w:val="auto"/>
        </w:rPr>
      </w:pPr>
      <w:r>
        <w:rPr>
          <w:rFonts w:ascii="Arial" w:cs="Arial" w:eastAsia="Arial" w:hAnsi="Arial"/>
          <w:sz w:val="19"/>
          <w:szCs w:val="19"/>
          <w:i w:val="1"/>
          <w:iCs w:val="1"/>
          <w:color w:val="231F20"/>
        </w:rPr>
        <w:t xml:space="preserve">Transfer Agent and Registrar. </w:t>
      </w:r>
      <w:r>
        <w:rPr>
          <w:rFonts w:ascii="Arial" w:cs="Arial" w:eastAsia="Arial" w:hAnsi="Arial"/>
          <w:sz w:val="19"/>
          <w:szCs w:val="19"/>
          <w:color w:val="231F20"/>
        </w:rPr>
        <w:t>American Stock Transfer &amp; Trust Company, LLC is the transfer agent and registrar of our common stock.</w:t>
      </w:r>
      <w:r>
        <w:rPr>
          <w:rFonts w:ascii="Arial" w:cs="Arial" w:eastAsia="Arial" w:hAnsi="Arial"/>
          <w:sz w:val="19"/>
          <w:szCs w:val="19"/>
          <w:i w:val="1"/>
          <w:iCs w:val="1"/>
          <w:color w:val="231F20"/>
        </w:rPr>
        <w:t xml:space="preserve"> Listing</w:t>
      </w:r>
      <w:r>
        <w:rPr>
          <w:rFonts w:ascii="Arial" w:cs="Arial" w:eastAsia="Arial" w:hAnsi="Arial"/>
          <w:sz w:val="19"/>
          <w:szCs w:val="19"/>
          <w:color w:val="231F20"/>
        </w:rPr>
        <w:t>. Our common stock is traded on the Nasdaq Global Select Market under the trading symbol “REYN.”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PROVISIONS THAT MAY HAVE AN ANTI-TAKOVER EFFECT</w:t>
      </w:r>
    </w:p>
    <w:p>
      <w:pPr>
        <w:spacing w:after="0" w:line="235" w:lineRule="exact"/>
        <w:rPr>
          <w:sz w:val="20"/>
          <w:szCs w:val="20"/>
          <w:color w:val="auto"/>
        </w:rPr>
      </w:pPr>
    </w:p>
    <w:p>
      <w:pPr>
        <w:jc w:val="both"/>
        <w:ind w:firstLine="435"/>
        <w:spacing w:after="0" w:line="250" w:lineRule="auto"/>
        <w:rPr>
          <w:sz w:val="20"/>
          <w:szCs w:val="20"/>
          <w:color w:val="auto"/>
        </w:rPr>
      </w:pPr>
      <w:r>
        <w:rPr>
          <w:rFonts w:ascii="Arial" w:cs="Arial" w:eastAsia="Arial" w:hAnsi="Arial"/>
          <w:sz w:val="20"/>
          <w:szCs w:val="20"/>
          <w:color w:val="auto"/>
        </w:rPr>
        <w:t>Certain provisions of our amended and restated certificate of incorporation and amended and restated bylaws and, together with the ability of our board of directors to issue shares of our preferred stock and to set the voting rights, preferences and other terms of our preferred stock, may delay or prevent takeover attempts not first approved by our board of directors.</w:t>
      </w:r>
    </w:p>
    <w:p>
      <w:pPr>
        <w:spacing w:after="0" w:line="145" w:lineRule="exact"/>
        <w:rPr>
          <w:sz w:val="20"/>
          <w:szCs w:val="20"/>
          <w:color w:val="auto"/>
        </w:rPr>
      </w:pPr>
    </w:p>
    <w:p>
      <w:pPr>
        <w:jc w:val="both"/>
        <w:ind w:firstLine="435"/>
        <w:spacing w:after="0" w:line="260" w:lineRule="auto"/>
        <w:rPr>
          <w:sz w:val="20"/>
          <w:szCs w:val="20"/>
          <w:color w:val="auto"/>
        </w:rPr>
      </w:pPr>
      <w:r>
        <w:rPr>
          <w:rFonts w:ascii="Arial" w:cs="Arial" w:eastAsia="Arial" w:hAnsi="Arial"/>
          <w:sz w:val="20"/>
          <w:szCs w:val="20"/>
          <w:i w:val="1"/>
          <w:iCs w:val="1"/>
          <w:color w:val="231F20"/>
        </w:rPr>
        <w:t xml:space="preserve">Staggered Board. </w:t>
      </w:r>
      <w:r>
        <w:rPr>
          <w:rFonts w:ascii="Arial" w:cs="Arial" w:eastAsia="Arial" w:hAnsi="Arial"/>
          <w:sz w:val="20"/>
          <w:szCs w:val="20"/>
          <w:color w:val="231F20"/>
        </w:rPr>
        <w:t>Our amended and</w:t>
      </w:r>
      <w:r>
        <w:rPr>
          <w:rFonts w:ascii="Arial" w:cs="Arial" w:eastAsia="Arial" w:hAnsi="Arial"/>
          <w:sz w:val="20"/>
          <w:szCs w:val="20"/>
          <w:i w:val="1"/>
          <w:iCs w:val="1"/>
          <w:color w:val="231F20"/>
        </w:rPr>
        <w:t xml:space="preserve"> </w:t>
      </w:r>
      <w:r>
        <w:rPr>
          <w:rFonts w:ascii="Arial" w:cs="Arial" w:eastAsia="Arial" w:hAnsi="Arial"/>
          <w:sz w:val="20"/>
          <w:szCs w:val="20"/>
          <w:color w:val="000000"/>
        </w:rPr>
        <w:t>restated</w:t>
      </w:r>
      <w:r>
        <w:rPr>
          <w:rFonts w:ascii="Arial" w:cs="Arial" w:eastAsia="Arial" w:hAnsi="Arial"/>
          <w:sz w:val="20"/>
          <w:szCs w:val="20"/>
          <w:i w:val="1"/>
          <w:iCs w:val="1"/>
          <w:color w:val="231F20"/>
        </w:rPr>
        <w:t xml:space="preserve"> </w:t>
      </w:r>
      <w:r>
        <w:rPr>
          <w:rFonts w:ascii="Arial" w:cs="Arial" w:eastAsia="Arial" w:hAnsi="Arial"/>
          <w:sz w:val="20"/>
          <w:szCs w:val="20"/>
          <w:color w:val="231F20"/>
        </w:rPr>
        <w:t>certificate of incorporation and our amended and restated bylaws provide that our board of</w:t>
      </w:r>
      <w:r>
        <w:rPr>
          <w:rFonts w:ascii="Arial" w:cs="Arial" w:eastAsia="Arial" w:hAnsi="Arial"/>
          <w:sz w:val="20"/>
          <w:szCs w:val="20"/>
          <w:i w:val="1"/>
          <w:iCs w:val="1"/>
          <w:color w:val="231F20"/>
        </w:rPr>
        <w:t xml:space="preserve"> </w:t>
      </w:r>
      <w:r>
        <w:rPr>
          <w:rFonts w:ascii="Arial" w:cs="Arial" w:eastAsia="Arial" w:hAnsi="Arial"/>
          <w:sz w:val="20"/>
          <w:szCs w:val="20"/>
          <w:color w:val="231F20"/>
        </w:rPr>
        <w:t>directors will be divided into three classes serving staggered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8" w:name="page99"/>
    <w:bookmarkEnd w:id="98"/>
    <w:p>
      <w:pPr>
        <w:jc w:val="both"/>
        <w:spacing w:after="0" w:line="269" w:lineRule="auto"/>
        <w:rPr>
          <w:sz w:val="20"/>
          <w:szCs w:val="20"/>
          <w:color w:val="auto"/>
        </w:rPr>
      </w:pPr>
      <w:r>
        <w:rPr>
          <w:rFonts w:ascii="Arial" w:cs="Arial" w:eastAsia="Arial" w:hAnsi="Arial"/>
          <w:sz w:val="19"/>
          <w:szCs w:val="19"/>
          <w:color w:val="231F20"/>
        </w:rPr>
        <w:t>three-year terms. At each annual meeting of stockholders, directors will be elected to succeed the class of directors whose terms have expired. An election of the directors shall be determined by a plurality of votes cast by the stockholders entitled to vote on the election. The holders of our common stock are not entitled to cumulative voting rights with respect to the election of directors.</w:t>
      </w:r>
    </w:p>
    <w:p>
      <w:pPr>
        <w:spacing w:after="0" w:line="129" w:lineRule="exact"/>
        <w:rPr>
          <w:sz w:val="20"/>
          <w:szCs w:val="20"/>
          <w:color w:val="auto"/>
        </w:rPr>
      </w:pPr>
    </w:p>
    <w:p>
      <w:pPr>
        <w:jc w:val="both"/>
        <w:ind w:firstLine="435"/>
        <w:spacing w:after="0" w:line="242" w:lineRule="auto"/>
        <w:rPr>
          <w:sz w:val="20"/>
          <w:szCs w:val="20"/>
          <w:color w:val="auto"/>
        </w:rPr>
      </w:pPr>
      <w:r>
        <w:rPr>
          <w:rFonts w:ascii="Arial" w:cs="Arial" w:eastAsia="Arial" w:hAnsi="Arial"/>
          <w:sz w:val="20"/>
          <w:szCs w:val="20"/>
          <w:i w:val="1"/>
          <w:iCs w:val="1"/>
          <w:color w:val="231F20"/>
        </w:rPr>
        <w:t xml:space="preserve">Limits on Stockholder Action by Written Consents. </w:t>
      </w:r>
      <w:r>
        <w:rPr>
          <w:rFonts w:ascii="Arial" w:cs="Arial" w:eastAsia="Arial" w:hAnsi="Arial"/>
          <w:sz w:val="20"/>
          <w:szCs w:val="20"/>
          <w:color w:val="231F20"/>
        </w:rPr>
        <w:t>Our amended and restated certificate of incorporation and our amended and restated</w:t>
      </w:r>
      <w:r>
        <w:rPr>
          <w:rFonts w:ascii="Arial" w:cs="Arial" w:eastAsia="Arial" w:hAnsi="Arial"/>
          <w:sz w:val="20"/>
          <w:szCs w:val="20"/>
          <w:i w:val="1"/>
          <w:iCs w:val="1"/>
          <w:color w:val="231F20"/>
        </w:rPr>
        <w:t xml:space="preserve"> </w:t>
      </w:r>
      <w:r>
        <w:rPr>
          <w:rFonts w:ascii="Arial" w:cs="Arial" w:eastAsia="Arial" w:hAnsi="Arial"/>
          <w:sz w:val="20"/>
          <w:szCs w:val="20"/>
          <w:color w:val="231F20"/>
        </w:rPr>
        <w:t>bylaws provide that from and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no longer beneficially own more than 50% of the outstanding shares of our common stock, holders of our common stock will not be able to act by written consent without a meeting.</w:t>
      </w:r>
    </w:p>
    <w:p>
      <w:pPr>
        <w:spacing w:after="0" w:line="170" w:lineRule="exact"/>
        <w:rPr>
          <w:sz w:val="20"/>
          <w:szCs w:val="20"/>
          <w:color w:val="auto"/>
        </w:rPr>
      </w:pPr>
    </w:p>
    <w:p>
      <w:pPr>
        <w:jc w:val="both"/>
        <w:ind w:firstLine="435"/>
        <w:spacing w:after="0" w:line="243" w:lineRule="auto"/>
        <w:rPr>
          <w:sz w:val="20"/>
          <w:szCs w:val="20"/>
          <w:color w:val="auto"/>
        </w:rPr>
      </w:pPr>
      <w:r>
        <w:rPr>
          <w:rFonts w:ascii="Arial" w:cs="Arial" w:eastAsia="Arial" w:hAnsi="Arial"/>
          <w:sz w:val="20"/>
          <w:szCs w:val="20"/>
          <w:i w:val="1"/>
          <w:iCs w:val="1"/>
          <w:color w:val="231F20"/>
        </w:rPr>
        <w:t xml:space="preserve">Stockholder Meetings. </w:t>
      </w:r>
      <w:r>
        <w:rPr>
          <w:rFonts w:ascii="Arial" w:cs="Arial" w:eastAsia="Arial" w:hAnsi="Arial"/>
          <w:sz w:val="20"/>
          <w:szCs w:val="20"/>
          <w:color w:val="231F20"/>
        </w:rPr>
        <w:t>Our amended and restated certificate of incorporation and our amended and restated bylaws provide that special</w:t>
      </w:r>
      <w:r>
        <w:rPr>
          <w:rFonts w:ascii="Arial" w:cs="Arial" w:eastAsia="Arial" w:hAnsi="Arial"/>
          <w:sz w:val="20"/>
          <w:szCs w:val="20"/>
          <w:i w:val="1"/>
          <w:iCs w:val="1"/>
          <w:color w:val="231F20"/>
        </w:rPr>
        <w:t xml:space="preserve"> </w:t>
      </w:r>
      <w:r>
        <w:rPr>
          <w:rFonts w:ascii="Arial" w:cs="Arial" w:eastAsia="Arial" w:hAnsi="Arial"/>
          <w:sz w:val="20"/>
          <w:szCs w:val="20"/>
          <w:color w:val="231F20"/>
        </w:rPr>
        <w:t>meetings of our stockholders may be called only by our Chief Executive Officer, the chairman of our board of directors, a majority of the directors, or stockholders holding 50% of the voting power of our outstanding common stock (which ability of stockholders to call special meetings will terminate once the Hart Entities or Permitted Assigns beneficially own less than 50% of the outstanding shares of our common stock). Our amended and restated certificate of incorporation and our amended and restated bylaws specifically deny any power of any other person to call a special meeting.</w:t>
      </w:r>
    </w:p>
    <w:p>
      <w:pPr>
        <w:spacing w:after="0" w:line="155"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9"/>
          <w:szCs w:val="19"/>
          <w:i w:val="1"/>
          <w:iCs w:val="1"/>
          <w:color w:val="231F20"/>
        </w:rPr>
        <w:t xml:space="preserve">Limits on Amending Our Certificate of Incorporation. </w:t>
      </w:r>
      <w:r>
        <w:rPr>
          <w:rFonts w:ascii="Arial" w:cs="Arial" w:eastAsia="Arial" w:hAnsi="Arial"/>
          <w:sz w:val="19"/>
          <w:szCs w:val="19"/>
          <w:color w:val="231F20"/>
        </w:rPr>
        <w:t>The provisions of our amended and restated certificate of incorporation may be</w:t>
      </w:r>
      <w:r>
        <w:rPr>
          <w:rFonts w:ascii="Arial" w:cs="Arial" w:eastAsia="Arial" w:hAnsi="Arial"/>
          <w:sz w:val="19"/>
          <w:szCs w:val="19"/>
          <w:i w:val="1"/>
          <w:iCs w:val="1"/>
          <w:color w:val="231F20"/>
        </w:rPr>
        <w:t xml:space="preserve"> </w:t>
      </w:r>
      <w:r>
        <w:rPr>
          <w:rFonts w:ascii="Arial" w:cs="Arial" w:eastAsia="Arial" w:hAnsi="Arial"/>
          <w:sz w:val="19"/>
          <w:szCs w:val="19"/>
          <w:color w:val="231F20"/>
        </w:rPr>
        <w:t>amended only by 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5"/>
          <w:szCs w:val="15"/>
          <w:color w:val="231F20"/>
        </w:rPr>
        <w:t>2/3</w:t>
      </w:r>
      <w:r>
        <w:rPr>
          <w:rFonts w:ascii="Arial" w:cs="Arial" w:eastAsia="Arial" w:hAnsi="Arial"/>
          <w:sz w:val="19"/>
          <w:szCs w:val="19"/>
          <w:color w:val="231F20"/>
        </w:rPr>
        <w:t>% of the voting power of our outstanding shares of common stock will be required to amend provisions of our amended and restated certificate of incorporation.</w:t>
      </w:r>
    </w:p>
    <w:p>
      <w:pPr>
        <w:spacing w:after="0" w:line="138" w:lineRule="exact"/>
        <w:rPr>
          <w:sz w:val="20"/>
          <w:szCs w:val="20"/>
          <w:color w:val="auto"/>
        </w:rPr>
      </w:pPr>
    </w:p>
    <w:p>
      <w:pPr>
        <w:jc w:val="both"/>
        <w:ind w:firstLine="435"/>
        <w:spacing w:after="0" w:line="260" w:lineRule="auto"/>
        <w:rPr>
          <w:sz w:val="20"/>
          <w:szCs w:val="20"/>
          <w:color w:val="auto"/>
        </w:rPr>
      </w:pPr>
      <w:r>
        <w:rPr>
          <w:rFonts w:ascii="Arial" w:cs="Arial" w:eastAsia="Arial" w:hAnsi="Arial"/>
          <w:sz w:val="20"/>
          <w:szCs w:val="20"/>
          <w:i w:val="1"/>
          <w:iCs w:val="1"/>
          <w:color w:val="231F20"/>
        </w:rPr>
        <w:t>Limits on Amending Our Bylaws</w:t>
      </w:r>
      <w:r>
        <w:rPr>
          <w:rFonts w:ascii="Arial" w:cs="Arial" w:eastAsia="Arial" w:hAnsi="Arial"/>
          <w:sz w:val="20"/>
          <w:szCs w:val="20"/>
          <w:b w:val="1"/>
          <w:bCs w:val="1"/>
          <w:i w:val="1"/>
          <w:iCs w:val="1"/>
          <w:color w:val="231F20"/>
        </w:rPr>
        <w:t>.</w:t>
      </w:r>
      <w:r>
        <w:rPr>
          <w:rFonts w:ascii="Arial" w:cs="Arial" w:eastAsia="Arial" w:hAnsi="Arial"/>
          <w:sz w:val="20"/>
          <w:szCs w:val="20"/>
          <w:i w:val="1"/>
          <w:iCs w:val="1"/>
          <w:color w:val="231F20"/>
        </w:rPr>
        <w:t xml:space="preserve"> </w:t>
      </w:r>
      <w:r>
        <w:rPr>
          <w:rFonts w:ascii="Arial" w:cs="Arial" w:eastAsia="Arial" w:hAnsi="Arial"/>
          <w:sz w:val="20"/>
          <w:szCs w:val="20"/>
          <w:color w:val="231F20"/>
        </w:rPr>
        <w:t>Our amended and restated bylaws may generally be altered, amended or repealed, and new bylaws</w:t>
      </w:r>
      <w:r>
        <w:rPr>
          <w:rFonts w:ascii="Arial" w:cs="Arial" w:eastAsia="Arial" w:hAnsi="Arial"/>
          <w:sz w:val="20"/>
          <w:szCs w:val="20"/>
          <w:i w:val="1"/>
          <w:iCs w:val="1"/>
          <w:color w:val="231F20"/>
        </w:rPr>
        <w:t xml:space="preserve"> </w:t>
      </w:r>
      <w:r>
        <w:rPr>
          <w:rFonts w:ascii="Arial" w:cs="Arial" w:eastAsia="Arial" w:hAnsi="Arial"/>
          <w:sz w:val="20"/>
          <w:szCs w:val="20"/>
          <w:color w:val="231F20"/>
        </w:rPr>
        <w:t>may be adopted, with:</w:t>
      </w:r>
    </w:p>
    <w:p>
      <w:pPr>
        <w:spacing w:after="0" w:line="150" w:lineRule="exact"/>
        <w:rPr>
          <w:sz w:val="20"/>
          <w:szCs w:val="20"/>
          <w:color w:val="auto"/>
        </w:rPr>
      </w:pPr>
    </w:p>
    <w:p>
      <w:pPr>
        <w:ind w:left="1300" w:hanging="428"/>
        <w:spacing w:after="0" w:line="260" w:lineRule="auto"/>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color w:val="231F20"/>
        </w:rPr>
        <w:t>t</w:t>
      </w:r>
      <w:r>
        <w:rPr>
          <w:rFonts w:ascii="Arial" w:cs="Arial" w:eastAsia="Arial" w:hAnsi="Arial"/>
          <w:sz w:val="20"/>
          <w:szCs w:val="20"/>
          <w:color w:val="000000"/>
        </w:rPr>
        <w:t>he affirmative vote of a majority of directors present at any regular or special meeting of the board of directors called for</w:t>
      </w:r>
      <w:r>
        <w:rPr>
          <w:rFonts w:ascii="Arial" w:cs="Arial" w:eastAsia="Arial" w:hAnsi="Arial"/>
          <w:sz w:val="20"/>
          <w:szCs w:val="20"/>
          <w:color w:val="231F20"/>
        </w:rPr>
        <w:t xml:space="preserve"> </w:t>
      </w:r>
      <w:r>
        <w:rPr>
          <w:rFonts w:ascii="Arial" w:cs="Arial" w:eastAsia="Arial" w:hAnsi="Arial"/>
          <w:sz w:val="20"/>
          <w:szCs w:val="20"/>
          <w:color w:val="000000"/>
        </w:rPr>
        <w:t>that purpose; or</w:t>
      </w:r>
    </w:p>
    <w:p>
      <w:pPr>
        <w:spacing w:after="0" w:line="136" w:lineRule="exact"/>
        <w:rPr>
          <w:rFonts w:ascii="Arial" w:cs="Arial" w:eastAsia="Arial" w:hAnsi="Arial"/>
          <w:sz w:val="20"/>
          <w:szCs w:val="20"/>
          <w:color w:val="auto"/>
        </w:rPr>
      </w:pPr>
    </w:p>
    <w:p>
      <w:pPr>
        <w:jc w:val="both"/>
        <w:ind w:left="1300" w:hanging="428"/>
        <w:spacing w:after="0" w:line="260" w:lineRule="auto"/>
        <w:tabs>
          <w:tab w:leader="none" w:pos="1300" w:val="left"/>
        </w:tabs>
        <w:numPr>
          <w:ilvl w:val="0"/>
          <w:numId w:val="52"/>
        </w:numPr>
        <w:rPr>
          <w:rFonts w:ascii="Arial" w:cs="Arial" w:eastAsia="Arial" w:hAnsi="Arial"/>
          <w:sz w:val="19"/>
          <w:szCs w:val="19"/>
          <w:color w:val="231F20"/>
        </w:rPr>
      </w:pPr>
      <w:r>
        <w:rPr>
          <w:rFonts w:ascii="Arial" w:cs="Arial" w:eastAsia="Arial" w:hAnsi="Arial"/>
          <w:sz w:val="19"/>
          <w:szCs w:val="19"/>
          <w:color w:val="auto"/>
        </w:rPr>
        <w:t>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5"/>
          <w:szCs w:val="15"/>
          <w:color w:val="231F20"/>
        </w:rPr>
        <w:t>2/3</w:t>
      </w:r>
      <w:r>
        <w:rPr>
          <w:rFonts w:ascii="Arial" w:cs="Arial" w:eastAsia="Arial" w:hAnsi="Arial"/>
          <w:sz w:val="19"/>
          <w:szCs w:val="19"/>
          <w:color w:val="auto"/>
        </w:rPr>
        <w:t>% of the voting power of our outstanding shares of common st</w:t>
      </w:r>
      <w:r>
        <w:rPr>
          <w:rFonts w:ascii="Arial" w:cs="Arial" w:eastAsia="Arial" w:hAnsi="Arial"/>
          <w:sz w:val="19"/>
          <w:szCs w:val="19"/>
          <w:color w:val="231F20"/>
        </w:rPr>
        <w:t>ock will be required to amend provisions of our bylaws.</w:t>
      </w:r>
    </w:p>
    <w:p>
      <w:pPr>
        <w:spacing w:after="0" w:line="140" w:lineRule="exact"/>
        <w:rPr>
          <w:sz w:val="20"/>
          <w:szCs w:val="20"/>
          <w:color w:val="auto"/>
        </w:rPr>
      </w:pPr>
    </w:p>
    <w:p>
      <w:pPr>
        <w:jc w:val="both"/>
        <w:ind w:firstLine="435"/>
        <w:spacing w:after="0" w:line="250" w:lineRule="auto"/>
        <w:rPr>
          <w:sz w:val="20"/>
          <w:szCs w:val="20"/>
          <w:color w:val="auto"/>
        </w:rPr>
      </w:pPr>
      <w:r>
        <w:rPr>
          <w:rFonts w:ascii="Arial" w:cs="Arial" w:eastAsia="Arial" w:hAnsi="Arial"/>
          <w:sz w:val="20"/>
          <w:szCs w:val="20"/>
          <w:i w:val="1"/>
          <w:iCs w:val="1"/>
          <w:color w:val="231F20"/>
        </w:rPr>
        <w:t xml:space="preserve">Requirements for Advance Notification of Stockholder Nominations and Proposals. </w:t>
      </w:r>
      <w:r>
        <w:rPr>
          <w:rFonts w:ascii="Arial" w:cs="Arial" w:eastAsia="Arial" w:hAnsi="Arial"/>
          <w:sz w:val="20"/>
          <w:szCs w:val="20"/>
          <w:color w:val="000000"/>
        </w:rPr>
        <w:t>Our amended and restated bylaws establish advance</w:t>
      </w:r>
      <w:r>
        <w:rPr>
          <w:rFonts w:ascii="Arial" w:cs="Arial" w:eastAsia="Arial" w:hAnsi="Arial"/>
          <w:sz w:val="20"/>
          <w:szCs w:val="20"/>
          <w:i w:val="1"/>
          <w:iCs w:val="1"/>
          <w:color w:val="231F20"/>
        </w:rPr>
        <w:t xml:space="preserve"> </w:t>
      </w:r>
      <w:r>
        <w:rPr>
          <w:rFonts w:ascii="Arial" w:cs="Arial" w:eastAsia="Arial" w:hAnsi="Arial"/>
          <w:sz w:val="20"/>
          <w:szCs w:val="20"/>
          <w:color w:val="000000"/>
        </w:rPr>
        <w:t>notice procedures with respect to stockholder proposals and nomination of candidates for election as directors other than nominations made by or at the direction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the board of directors or a committee of the board of directors. To be timely, stockholders must deliver notice:</w:t>
      </w:r>
    </w:p>
    <w:p>
      <w:pPr>
        <w:spacing w:after="0" w:line="175" w:lineRule="exact"/>
        <w:rPr>
          <w:sz w:val="20"/>
          <w:szCs w:val="20"/>
          <w:color w:val="auto"/>
        </w:rPr>
      </w:pPr>
    </w:p>
    <w:p>
      <w:pPr>
        <w:jc w:val="both"/>
        <w:ind w:left="1300" w:hanging="428"/>
        <w:spacing w:after="0" w:line="27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In connection with an annual meeting of stockholders, not less than 120 nor more than 180 days prior to the date on which the annual meeting of stockholders was held in the immediately preceding year. However, in the event that the date of the annual meeting is more than 30 days before or more than 60 days after the anniversary date of the preceding annual meeting of stockholders, a stockholder notice will be timely if received by us no earlier than 120 days prior to such annual meeting and not later than the close of business on the later of (1) 70 days prior to the date of the annual meeting and (2) the 10th day following the day on which we first publicly announce the date of the annual meeting; or</w:t>
      </w:r>
    </w:p>
    <w:p>
      <w:pPr>
        <w:spacing w:after="0" w:line="178" w:lineRule="exact"/>
        <w:rPr>
          <w:rFonts w:ascii="Arial" w:cs="Arial" w:eastAsia="Arial" w:hAnsi="Arial"/>
          <w:sz w:val="18"/>
          <w:szCs w:val="18"/>
          <w:color w:val="auto"/>
        </w:rPr>
      </w:pPr>
    </w:p>
    <w:p>
      <w:pPr>
        <w:jc w:val="both"/>
        <w:ind w:left="1300" w:hanging="428"/>
        <w:spacing w:after="0" w:line="246" w:lineRule="auto"/>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color w:val="231F20"/>
        </w:rPr>
        <w:t>In connection with the election of a director at a special meeting of stockholders, a stockholder notice will be timely if received by us (1) not earlier than 150 days prior to the date of the special meeting nor (2) later than the later of (a) 120 days prior to the date of the special meeting or (b) the 10th day following the day on which public announcement of the date of the special meeting of the stockholders is first made.</w:t>
      </w:r>
    </w:p>
    <w:p>
      <w:pPr>
        <w:spacing w:after="0" w:line="151" w:lineRule="exact"/>
        <w:rPr>
          <w:sz w:val="20"/>
          <w:szCs w:val="20"/>
          <w:color w:val="auto"/>
        </w:rPr>
      </w:pPr>
    </w:p>
    <w:p>
      <w:pPr>
        <w:jc w:val="both"/>
        <w:ind w:left="440" w:firstLine="418"/>
        <w:spacing w:after="0" w:line="263" w:lineRule="auto"/>
        <w:rPr>
          <w:sz w:val="20"/>
          <w:szCs w:val="20"/>
          <w:color w:val="auto"/>
        </w:rPr>
      </w:pPr>
      <w:r>
        <w:rPr>
          <w:rFonts w:ascii="Arial" w:cs="Arial" w:eastAsia="Arial" w:hAnsi="Arial"/>
          <w:sz w:val="19"/>
          <w:szCs w:val="19"/>
          <w:i w:val="1"/>
          <w:iCs w:val="1"/>
          <w:color w:val="auto"/>
        </w:rPr>
        <w:t xml:space="preserve">Undesignated Preferred Stock. </w:t>
      </w:r>
      <w:r>
        <w:rPr>
          <w:rFonts w:ascii="Arial" w:cs="Arial" w:eastAsia="Arial" w:hAnsi="Arial"/>
          <w:sz w:val="19"/>
          <w:szCs w:val="19"/>
          <w:color w:val="auto"/>
        </w:rPr>
        <w:t>Our board of directors has the authority, without further vote or action by the stockholders, to issue</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stock in one or more series and to fix the rights, preferences, privileges and restrictions thereof, including dividend rights, dividend rates, conversion rights, voting rights, terms of redemption, redemption prices, liquidation preferences or other rights or preferences that could impede the success of any attempt to change control of the company.</w:t>
      </w:r>
    </w:p>
    <w:p>
      <w:pPr>
        <w:spacing w:after="0" w:line="136" w:lineRule="exact"/>
        <w:rPr>
          <w:sz w:val="20"/>
          <w:szCs w:val="20"/>
          <w:color w:val="auto"/>
        </w:rPr>
      </w:pPr>
    </w:p>
    <w:p>
      <w:pPr>
        <w:jc w:val="both"/>
        <w:ind w:left="440" w:firstLine="418"/>
        <w:spacing w:after="0" w:line="246" w:lineRule="auto"/>
        <w:rPr>
          <w:sz w:val="20"/>
          <w:szCs w:val="20"/>
          <w:color w:val="auto"/>
        </w:rPr>
      </w:pPr>
      <w:r>
        <w:rPr>
          <w:rFonts w:ascii="Arial" w:cs="Arial" w:eastAsia="Arial" w:hAnsi="Arial"/>
          <w:sz w:val="20"/>
          <w:szCs w:val="20"/>
          <w:i w:val="1"/>
          <w:iCs w:val="1"/>
          <w:color w:val="auto"/>
        </w:rPr>
        <w:t xml:space="preserve">Section 203 of the Delaware General Corporation Law. </w:t>
      </w:r>
      <w:r>
        <w:rPr>
          <w:rFonts w:ascii="Arial" w:cs="Arial" w:eastAsia="Arial" w:hAnsi="Arial"/>
          <w:sz w:val="20"/>
          <w:szCs w:val="20"/>
          <w:color w:val="auto"/>
        </w:rPr>
        <w:t>Section 203 of the DGCL prohibits certain transactions between a</w:t>
      </w:r>
      <w:r>
        <w:rPr>
          <w:rFonts w:ascii="Arial" w:cs="Arial" w:eastAsia="Arial" w:hAnsi="Arial"/>
          <w:sz w:val="20"/>
          <w:szCs w:val="20"/>
          <w:i w:val="1"/>
          <w:iCs w:val="1"/>
          <w:color w:val="auto"/>
        </w:rPr>
        <w:t xml:space="preserve"> </w:t>
      </w:r>
      <w:r>
        <w:rPr>
          <w:rFonts w:ascii="Arial" w:cs="Arial" w:eastAsia="Arial" w:hAnsi="Arial"/>
          <w:sz w:val="20"/>
          <w:szCs w:val="20"/>
          <w:color w:val="auto"/>
        </w:rPr>
        <w:t>Delaware corporation and an “interested stockholder,” w</w:t>
      </w:r>
      <w:r>
        <w:rPr>
          <w:rFonts w:ascii="Arial" w:cs="Arial" w:eastAsia="Arial" w:hAnsi="Arial"/>
          <w:sz w:val="20"/>
          <w:szCs w:val="20"/>
          <w:color w:val="231F20"/>
        </w:rPr>
        <w:t>hich is defined generally as a person owning 15% or more of a corporation’s</w:t>
      </w:r>
      <w:r>
        <w:rPr>
          <w:rFonts w:ascii="Arial" w:cs="Arial" w:eastAsia="Arial" w:hAnsi="Arial"/>
          <w:sz w:val="20"/>
          <w:szCs w:val="20"/>
          <w:color w:val="auto"/>
        </w:rPr>
        <w:t xml:space="preserve"> </w:t>
      </w:r>
      <w:r>
        <w:rPr>
          <w:rFonts w:ascii="Arial" w:cs="Arial" w:eastAsia="Arial" w:hAnsi="Arial"/>
          <w:sz w:val="20"/>
          <w:szCs w:val="20"/>
          <w:color w:val="231F20"/>
        </w:rPr>
        <w:t xml:space="preserve">voting stock, or any affiliate or associate of that person, from </w:t>
      </w:r>
      <w:r>
        <w:rPr>
          <w:rFonts w:ascii="Arial" w:cs="Arial" w:eastAsia="Arial" w:hAnsi="Arial"/>
          <w:sz w:val="20"/>
          <w:szCs w:val="20"/>
          <w:color w:val="000000"/>
        </w:rPr>
        <w:t>engaging</w:t>
      </w:r>
      <w:r>
        <w:rPr>
          <w:rFonts w:ascii="Arial" w:cs="Arial" w:eastAsia="Arial" w:hAnsi="Arial"/>
          <w:sz w:val="20"/>
          <w:szCs w:val="20"/>
          <w:color w:val="231F20"/>
        </w:rPr>
        <w:t xml:space="preserve"> in a broad range of “business combinations” with the corporation for three years after becoming an interested stockholder unless:</w:t>
      </w:r>
    </w:p>
    <w:p>
      <w:pPr>
        <w:spacing w:after="0" w:line="151" w:lineRule="exact"/>
        <w:rPr>
          <w:sz w:val="20"/>
          <w:szCs w:val="20"/>
          <w:color w:val="auto"/>
        </w:rPr>
      </w:pPr>
    </w:p>
    <w:p>
      <w:pPr>
        <w:ind w:left="1300" w:hanging="428"/>
        <w:spacing w:after="0" w:line="260" w:lineRule="auto"/>
        <w:tabs>
          <w:tab w:leader="none" w:pos="1300" w:val="left"/>
        </w:tabs>
        <w:numPr>
          <w:ilvl w:val="0"/>
          <w:numId w:val="54"/>
        </w:numPr>
        <w:rPr>
          <w:rFonts w:ascii="Arial" w:cs="Arial" w:eastAsia="Arial" w:hAnsi="Arial"/>
          <w:sz w:val="20"/>
          <w:szCs w:val="20"/>
          <w:color w:val="auto"/>
        </w:rPr>
      </w:pPr>
      <w:r>
        <w:rPr>
          <w:rFonts w:ascii="Arial" w:cs="Arial" w:eastAsia="Arial" w:hAnsi="Arial"/>
          <w:sz w:val="20"/>
          <w:szCs w:val="20"/>
          <w:color w:val="231F20"/>
        </w:rPr>
        <w:t>t</w:t>
      </w:r>
      <w:r>
        <w:rPr>
          <w:rFonts w:ascii="Arial" w:cs="Arial" w:eastAsia="Arial" w:hAnsi="Arial"/>
          <w:sz w:val="20"/>
          <w:szCs w:val="20"/>
          <w:color w:val="000000"/>
        </w:rPr>
        <w:t>he board of directors of the corporation had previously approved either the business combination or the transaction that</w:t>
      </w:r>
      <w:r>
        <w:rPr>
          <w:rFonts w:ascii="Arial" w:cs="Arial" w:eastAsia="Arial" w:hAnsi="Arial"/>
          <w:sz w:val="20"/>
          <w:szCs w:val="20"/>
          <w:color w:val="231F20"/>
        </w:rPr>
        <w:t xml:space="preserve"> </w:t>
      </w:r>
      <w:r>
        <w:rPr>
          <w:rFonts w:ascii="Arial" w:cs="Arial" w:eastAsia="Arial" w:hAnsi="Arial"/>
          <w:sz w:val="20"/>
          <w:szCs w:val="20"/>
          <w:color w:val="000000"/>
        </w:rPr>
        <w:t>resulted in the stockholder’s becoming an interested stockholder;</w:t>
      </w:r>
    </w:p>
    <w:p>
      <w:pPr>
        <w:spacing w:after="0" w:line="136"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upon the closing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145"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45" w:lineRule="exact"/>
        <w:rPr>
          <w:sz w:val="20"/>
          <w:szCs w:val="20"/>
          <w:color w:val="auto"/>
        </w:rPr>
      </w:pPr>
    </w:p>
    <w:p>
      <w:pPr>
        <w:jc w:val="both"/>
        <w:ind w:firstLine="435"/>
        <w:spacing w:after="0" w:line="291" w:lineRule="auto"/>
        <w:rPr>
          <w:sz w:val="20"/>
          <w:szCs w:val="20"/>
          <w:color w:val="auto"/>
        </w:rPr>
      </w:pPr>
      <w:r>
        <w:rPr>
          <w:rFonts w:ascii="Arial" w:cs="Arial" w:eastAsia="Arial" w:hAnsi="Arial"/>
          <w:sz w:val="18"/>
          <w:szCs w:val="18"/>
          <w:color w:val="231F20"/>
        </w:rPr>
        <w:t xml:space="preserve">A Delaware corporation may elect in its certificate of incorporation or bylaws not to be governed by this particular Delaware law. Our amended and restated certificate of incorporation </w:t>
      </w:r>
      <w:r>
        <w:rPr>
          <w:rFonts w:ascii="Arial" w:cs="Arial" w:eastAsia="Arial" w:hAnsi="Arial"/>
          <w:sz w:val="18"/>
          <w:szCs w:val="18"/>
          <w:color w:val="000000"/>
        </w:rPr>
        <w:t>contains a provision expressly electing not to be governed by Section 203. Therefore, the</w:t>
      </w:r>
      <w:r>
        <w:rPr>
          <w:rFonts w:ascii="Arial" w:cs="Arial" w:eastAsia="Arial" w:hAnsi="Arial"/>
          <w:sz w:val="18"/>
          <w:szCs w:val="18"/>
          <w:color w:val="231F20"/>
        </w:rPr>
        <w:t xml:space="preserve"> </w:t>
      </w:r>
      <w:r>
        <w:rPr>
          <w:rFonts w:ascii="Arial" w:cs="Arial" w:eastAsia="Arial" w:hAnsi="Arial"/>
          <w:sz w:val="18"/>
          <w:szCs w:val="18"/>
          <w:color w:val="000000"/>
        </w:rPr>
        <w:t>restrictions on certain business combinations in Section 203 do not currently apply in respect of Reynolds Consumer Products Inc.</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3</w:t>
      </w:r>
    </w:p>
    <w:p>
      <w:pPr>
        <w:sectPr>
          <w:pgSz w:w="11900" w:h="16838" w:orient="portrait"/>
          <w:cols w:equalWidth="0" w:num="1">
            <w:col w:w="11240"/>
          </w:cols>
          <w:pgMar w:left="320" w:top="35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171450</wp:posOffset>
            </wp:positionV>
            <wp:extent cx="5760720" cy="796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576072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July 8, 2019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Rachel Bishop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President, Tableware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Rachel:</w:t>
      </w:r>
    </w:p>
    <w:p>
      <w:pPr>
        <w:spacing w:after="0" w:line="216"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As we have discussed, a critical component of our ongoing business strategy for Reynolds Consumer Products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 In light of this, we are offering you a special Transaction Success bonus (“Bonus”) that will become payable if a successful IPO is concluded or if there is a sale of the business by June 30, 2020.</w:t>
      </w:r>
    </w:p>
    <w:p>
      <w:pPr>
        <w:spacing w:after="0" w:line="18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If an IPO transaction is completed, your potential bonus will be $412,000. Fifty percent (50%) of this bonus ($206,000) will be paid to you 30 days after the effective date of an IPO, so long as you do not voluntarily leave your employment with the succeeding entity during that time. You will be paid the remaining fifty percent (50%) of this bonus six (6) months after the effective date of an IPO,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If a sales transaction is completed, your potential bonus will be $618,000. Fifty percent (50%) of this bonus ($309,000) will be paid to you 30 days after the effective closing date of a sale, so long as you do not voluntarily leave your employment with the succeeding entity during that time. You will be paid the remaining fifty percent (50%) of this bonus six (6) months after the closing date, so long as you do not voluntarily leave your employment with the succeeding entity during that time. This bonus is a gross amount and is subject to all applicable tax withholding requirements. This bonus will not be treated as compensation for any purpose under any benefit plans or programs, unless statutorily required.</w:t>
      </w:r>
    </w:p>
    <w:p>
      <w:pPr>
        <w:spacing w:after="0" w:line="19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Because of the significance of this strategic effort, and given that you are one of a select group of employees to be offered this opportunity, it is of utmost importance that you keep this offer and all its terms entirely confidential.</w:t>
      </w:r>
    </w:p>
    <w:p>
      <w:pPr>
        <w:spacing w:after="0" w:line="177"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Thank you for your willingness to assist the team during this endeavor and for your help in ensuring the success of this very important process for Reynolds Consumer Products.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Lance Mitchell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Reynolds Consumer Products</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60720" cy="797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5760720" cy="7975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RACHEL BISHOP</w:t>
      </w:r>
    </w:p>
    <w:p>
      <w:pPr>
        <w:spacing w:after="0" w:line="200" w:lineRule="exact"/>
        <w:rPr>
          <w:sz w:val="20"/>
          <w:szCs w:val="20"/>
          <w:color w:val="auto"/>
        </w:rPr>
      </w:pPr>
    </w:p>
    <w:p>
      <w:pPr>
        <w:sectPr>
          <w:pgSz w:w="11900" w:h="16838" w:orient="portrait"/>
          <w:cols w:equalWidth="0" w:num="2">
            <w:col w:w="900" w:space="720"/>
            <w:col w:w="962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STEVE ESTES</w:t>
      </w:r>
    </w:p>
    <w:p>
      <w:pPr>
        <w:spacing w:after="0" w:line="211" w:lineRule="exact"/>
        <w:rPr>
          <w:sz w:val="20"/>
          <w:szCs w:val="20"/>
          <w:color w:val="auto"/>
        </w:rPr>
      </w:pPr>
    </w:p>
    <w:p>
      <w:pPr>
        <w:sectPr>
          <w:pgSz w:w="11900" w:h="16838" w:orient="portrait"/>
          <w:cols w:equalWidth="0" w:num="2">
            <w:col w:w="900" w:space="720"/>
            <w:col w:w="9620"/>
          </w:cols>
          <w:pgMar w:left="320" w:top="12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JULY 8, 2019</w:t>
      </w:r>
    </w:p>
    <w:p>
      <w:pPr>
        <w:spacing w:after="0" w:line="200" w:lineRule="exact"/>
        <w:rPr>
          <w:sz w:val="20"/>
          <w:szCs w:val="20"/>
          <w:color w:val="auto"/>
        </w:rPr>
      </w:pPr>
    </w:p>
    <w:p>
      <w:pPr>
        <w:sectPr>
          <w:pgSz w:w="11900" w:h="16838" w:orient="portrait"/>
          <w:cols w:equalWidth="0" w:num="2">
            <w:col w:w="900" w:space="720"/>
            <w:col w:w="9620"/>
          </w:cols>
          <w:pgMar w:left="320" w:top="12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SUBJECT: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PLANNED ISSUANCE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159385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 w:space="720"/>
            <w:col w:w="9620"/>
          </w:cols>
          <w:pgMar w:left="320" w:top="121" w:right="339" w:bottom="1440" w:gutter="0" w:footer="0" w:header="0"/>
          <w:type w:val="continuous"/>
        </w:sectPr>
      </w:pPr>
    </w:p>
    <w:p>
      <w:pPr>
        <w:spacing w:after="0" w:line="28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As we have discussed, a critical component of our ongoing business strategy for Reynolds Consumer Products LLC will be to explore opportunities for the business that could lead to an Initial Public Offering (IPO) of the business or potentially a divestiture of the associated business entities. Your assistance is needed by Reynolds as we work through this process to help prepare the business for a successful transaction.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If the IPO is successful, the company whose shares are registered in the IPO will issue you Restricted Stock at the completion of the</w:t>
      </w:r>
    </w:p>
    <w:p>
      <w:pPr>
        <w:ind w:right="160"/>
        <w:spacing w:after="0" w:line="238" w:lineRule="auto"/>
        <w:rPr>
          <w:sz w:val="20"/>
          <w:szCs w:val="20"/>
          <w:color w:val="auto"/>
        </w:rPr>
      </w:pPr>
      <w:r>
        <w:rPr>
          <w:rFonts w:ascii="Arial" w:cs="Arial" w:eastAsia="Arial" w:hAnsi="Arial"/>
          <w:sz w:val="18"/>
          <w:szCs w:val="18"/>
          <w:color w:val="auto"/>
        </w:rPr>
        <w:t>IPO. The number of shares in this grant equals $206,000 divided by the IPO price as of the date of the grant, rounded to the nearest whole share. Vesting for the restricted stock will occur over a 3-year period with 1/3 vesting after 12-months from the successful IP0; 1/3 vesting after 24-months from the successful IPO; and, 1/3 vesting after 36-months from the successful IPO. You must be an employee of the Company or one of its affiliates on the applicable vesting date to receive such shares.</w:t>
      </w:r>
    </w:p>
    <w:p>
      <w:pPr>
        <w:spacing w:after="0" w:line="20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Should there be a business sale instead of an IPO, you will receive $206,000 in cash in lieu of Restricted Stock. For purposes hereof, a business sale means a sale of all or substantially all of the assets of the Company or a sale of more than 50% of the equity of the Company or such entity. This cash payment will be made in the following manner:</w:t>
      </w:r>
    </w:p>
    <w:p>
      <w:pPr>
        <w:spacing w:after="0" w:line="189" w:lineRule="exact"/>
        <w:rPr>
          <w:sz w:val="20"/>
          <w:szCs w:val="20"/>
          <w:color w:val="auto"/>
        </w:rPr>
      </w:pPr>
    </w:p>
    <w:p>
      <w:pPr>
        <w:ind w:left="1000" w:hanging="19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Payable 30-days post-closing of the sale</w:t>
      </w:r>
    </w:p>
    <w:p>
      <w:pPr>
        <w:spacing w:after="0" w:line="211" w:lineRule="exact"/>
        <w:rPr>
          <w:rFonts w:ascii="Arial" w:cs="Arial" w:eastAsia="Arial" w:hAnsi="Arial"/>
          <w:sz w:val="18"/>
          <w:szCs w:val="18"/>
          <w:color w:val="auto"/>
        </w:rPr>
      </w:pPr>
    </w:p>
    <w:p>
      <w:pPr>
        <w:ind w:left="1000" w:hanging="190"/>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Payable 180-days post-closing of the sale</w:t>
      </w:r>
    </w:p>
    <w:p>
      <w:pPr>
        <w:spacing w:after="0" w:line="17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memo does not change your status as an “at-will” employee and does not guarantee your employment for any specific period of time. The Company reserves the right to terminate you at any time and for any or no reason. Any Restricted Stock issued or cash payment made pursuant to this memo shall be subject to regular tax withholdings and other authorized deductions and will not be treated as compensation for any purpose under any benefit plans or programs, unless statutorily required.</w:t>
      </w:r>
    </w:p>
    <w:p>
      <w:pPr>
        <w:spacing w:after="0" w:line="16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This memo is provided to summarize the agreement that has been reached in this regard between the Company and the employee. Should an IPO be completed, a formal grant letter for the Restricted Stock will be provided to the employee that documents all terms and conditions related to the grant.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Steve Estes</w:t>
      </w:r>
    </w:p>
    <w:p>
      <w:pPr>
        <w:sectPr>
          <w:pgSz w:w="11900" w:h="16838" w:orient="portrait"/>
          <w:cols w:equalWidth="0" w:num="1">
            <w:col w:w="11240"/>
          </w:cols>
          <w:pgMar w:left="320" w:top="121" w:right="3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31"/>
          <w:szCs w:val="31"/>
          <w:b w:val="1"/>
          <w:bCs w:val="1"/>
          <w:color w:val="auto"/>
        </w:rPr>
        <w:t>Statement of Business Principles</w:t>
      </w:r>
    </w:p>
    <w:p>
      <w:pPr>
        <w:spacing w:after="0" w:line="104" w:lineRule="exact"/>
        <w:rPr>
          <w:sz w:val="20"/>
          <w:szCs w:val="20"/>
          <w:color w:val="auto"/>
        </w:rPr>
      </w:pPr>
    </w:p>
    <w:p>
      <w:pPr>
        <w:jc w:val="center"/>
        <w:ind w:right="1100"/>
        <w:spacing w:after="0"/>
        <w:rPr>
          <w:sz w:val="20"/>
          <w:szCs w:val="20"/>
          <w:color w:val="auto"/>
        </w:rPr>
      </w:pPr>
      <w:r>
        <w:rPr>
          <w:rFonts w:ascii="Arial" w:cs="Arial" w:eastAsia="Arial" w:hAnsi="Arial"/>
          <w:sz w:val="36"/>
          <w:szCs w:val="36"/>
          <w:b w:val="1"/>
          <w:bCs w:val="1"/>
          <w:color w:val="auto"/>
        </w:rPr>
        <w:t>and Code of Conduct Policy</w:t>
      </w:r>
    </w:p>
    <w:p>
      <w:pPr>
        <w:spacing w:after="0" w:line="16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Reynolds Consumer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3456940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86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418"/>
        </w:trPr>
        <w:tc>
          <w:tcPr>
            <w:tcW w:w="8680" w:type="dxa"/>
            <w:vAlign w:val="bottom"/>
          </w:tcPr>
          <w:p>
            <w:pPr>
              <w:spacing w:after="0"/>
              <w:rPr>
                <w:sz w:val="24"/>
                <w:szCs w:val="24"/>
                <w:color w:val="auto"/>
              </w:rPr>
            </w:pPr>
          </w:p>
        </w:tc>
        <w:tc>
          <w:tcPr>
            <w:tcW w:w="2460" w:type="dxa"/>
            <w:vAlign w:val="bottom"/>
          </w:tcPr>
          <w:p>
            <w:pPr>
              <w:ind w:left="2100"/>
              <w:spacing w:after="0"/>
              <w:rPr>
                <w:sz w:val="20"/>
                <w:szCs w:val="20"/>
                <w:color w:val="auto"/>
              </w:rPr>
            </w:pPr>
            <w:r>
              <w:rPr>
                <w:rFonts w:ascii="Arial" w:cs="Arial" w:eastAsia="Arial" w:hAnsi="Arial"/>
                <w:sz w:val="18"/>
                <w:szCs w:val="18"/>
                <w:color w:val="auto"/>
                <w:w w:val="80"/>
              </w:rPr>
              <w:t>Page</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Introduction</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Compliance with Laws, Rules and Regulations</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Harassment and Discrimination</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Health and Safety</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Ethical Sourcing</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Conflict of Interest</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Outside Employment and Activities</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Dissemination of Corporate Information</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Protection of RCP Property and Information</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Quality of Public Disclosures</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Electronic Communication (Use of Computers, Internet and Email) and Data Privacy</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Antitrust</w:t>
            </w:r>
          </w:p>
        </w:tc>
        <w:tc>
          <w:tcPr>
            <w:tcW w:w="2460" w:type="dxa"/>
            <w:vAlign w:val="bottom"/>
          </w:tcPr>
          <w:p>
            <w:pPr>
              <w:jc w:val="center"/>
              <w:ind w:left="2010"/>
              <w:spacing w:after="0"/>
              <w:rPr>
                <w:sz w:val="20"/>
                <w:szCs w:val="20"/>
                <w:color w:val="auto"/>
              </w:rPr>
            </w:pPr>
            <w:r>
              <w:rPr>
                <w:rFonts w:ascii="Arial" w:cs="Arial" w:eastAsia="Arial" w:hAnsi="Arial"/>
                <w:sz w:val="18"/>
                <w:szCs w:val="18"/>
                <w:color w:val="auto"/>
                <w:w w:val="79"/>
              </w:rPr>
              <w:t>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Anti-Bribery</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Entertainment and Gift Policy</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Foreign Economic Boycotts</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Exports and International Trade Restrictions</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Financial Controls and Records</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Political Contributions and Activities</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Environmental Stewardship</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Reporting Violations</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Reporting Violations to a Governmental Agency</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Waivers and Amendments</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Communication and Compliance</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17</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Glossary</w:t>
            </w:r>
          </w:p>
        </w:tc>
        <w:tc>
          <w:tcPr>
            <w:tcW w:w="2460" w:type="dxa"/>
            <w:vAlign w:val="bottom"/>
          </w:tcPr>
          <w:p>
            <w:pPr>
              <w:jc w:val="center"/>
              <w:ind w:left="1990"/>
              <w:spacing w:after="0"/>
              <w:rPr>
                <w:sz w:val="20"/>
                <w:szCs w:val="20"/>
                <w:color w:val="auto"/>
              </w:rPr>
            </w:pPr>
            <w:r>
              <w:rPr>
                <w:rFonts w:ascii="Arial" w:cs="Arial" w:eastAsia="Arial" w:hAnsi="Arial"/>
                <w:sz w:val="18"/>
                <w:szCs w:val="18"/>
                <w:color w:val="auto"/>
                <w:w w:val="89"/>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Introduction</w:t>
      </w:r>
    </w:p>
    <w:p>
      <w:pPr>
        <w:spacing w:after="0" w:line="179"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Reynolds Consumer Products Inc. (“RCP” or the “Company”) holds ethics, integrity and lawful conduct among our topmost priorities. No business requirement ever justifies an illegal, unethical, immoral, or unprofessional act. Our success in business depends upon maintaining the trust of employees, customers, other commercial partners, government authorities and the public. This Statement of Business Principles and Code of Conduct Policy (the “Code”) has been adopted by the Board of Directors and is an expression of the professionalism we strive for throughout our business, and of the professionalism we expect of our associates. The principles contained within this Code are based on:</w:t>
      </w:r>
    </w:p>
    <w:p>
      <w:pPr>
        <w:spacing w:after="0" w:line="149" w:lineRule="exact"/>
        <w:rPr>
          <w:sz w:val="20"/>
          <w:szCs w:val="20"/>
          <w:color w:val="auto"/>
        </w:rPr>
      </w:pPr>
    </w:p>
    <w:p>
      <w:pPr>
        <w:ind w:left="880" w:hanging="440"/>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Ethical and legal behavior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Fair, courteous and respectful treatment of fellow employees and others with whom we interact</w:t>
      </w:r>
    </w:p>
    <w:p>
      <w:pPr>
        <w:spacing w:after="0" w:line="184"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Fair and appropriate consideration of the interests of other stakeholders (customers, other commercial partners, government authorities and the public) and of the environment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Professionalism and good business practice</w:t>
      </w:r>
    </w:p>
    <w:p>
      <w:pPr>
        <w:spacing w:after="0" w:line="18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This Code presents the basic expectations and general principles guiding how RCP does business. Each employee, regardless of position or area of responsibility, is responsible for upholding this Code in his or her daily activities and for seeking help when the proper course of action is unclear. Any violation of this Code is considered misconduct and will be addressed appropriately and timely. If anyone is in doubt about the appropriate course of conduct in their business activities, or questions how RCP’s standards and principles apply to a specific situation, they should ask. A simple, early question often clarifies and avoids potentially troubling situations.</w:t>
      </w:r>
    </w:p>
    <w:p>
      <w:pPr>
        <w:spacing w:after="0" w:line="147" w:lineRule="exact"/>
        <w:rPr>
          <w:sz w:val="20"/>
          <w:szCs w:val="20"/>
          <w:color w:val="auto"/>
        </w:rPr>
      </w:pPr>
    </w:p>
    <w:p>
      <w:pPr>
        <w:ind w:right="120" w:firstLine="432"/>
        <w:spacing w:after="0" w:line="311" w:lineRule="auto"/>
        <w:rPr>
          <w:sz w:val="20"/>
          <w:szCs w:val="20"/>
          <w:color w:val="auto"/>
        </w:rPr>
      </w:pPr>
      <w:r>
        <w:rPr>
          <w:rFonts w:ascii="Arial" w:cs="Arial" w:eastAsia="Arial" w:hAnsi="Arial"/>
          <w:sz w:val="16"/>
          <w:szCs w:val="16"/>
          <w:color w:val="auto"/>
        </w:rPr>
        <w:t>RCP has its own set of policies, and this Code is in addition to and complimentary with the policies. In addition, RCP and its employees are subject to the laws of many countries and other jurisdictions around the world. Employees are expected to comply with this Code and with all applicable laws, rules and regulations. If a provision of the Code conflicts with applicable laws, rules and regulations, the laws, rules and regulations control.</w:t>
      </w:r>
    </w:p>
    <w:p>
      <w:pPr>
        <w:spacing w:after="0" w:line="10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This Code does not attempt to address every situation or answer every question. The principles underlying this Code are often directional and in many situations require an exercise of judgment. If anyone has questions about this Code, concerns about someone’s workplace conduct or question whether a proposed course of action is consistent with this Code, they should seek guidance from their direct supervisor. If the supervisor doesn’t know the answer, he or she has the responsibility to find the solution. If for some reason anyone does not feel comfortable talking with their supervisor, they may contact their location Human Resources representative, or call the toll-free ethics and compliance line or other contact information listed below. </w:t>
      </w:r>
      <w:r>
        <w:rPr>
          <w:rFonts w:ascii="Arial" w:cs="Arial" w:eastAsia="Arial" w:hAnsi="Arial"/>
          <w:sz w:val="16"/>
          <w:szCs w:val="16"/>
          <w:i w:val="1"/>
          <w:iCs w:val="1"/>
          <w:color w:val="auto"/>
        </w:rPr>
        <w:t>There will</w:t>
      </w:r>
      <w:r>
        <w:rPr>
          <w:rFonts w:ascii="Arial" w:cs="Arial" w:eastAsia="Arial" w:hAnsi="Arial"/>
          <w:sz w:val="16"/>
          <w:szCs w:val="16"/>
          <w:color w:val="auto"/>
        </w:rPr>
        <w:t xml:space="preserve"> </w:t>
      </w:r>
      <w:r>
        <w:rPr>
          <w:rFonts w:ascii="Arial" w:cs="Arial" w:eastAsia="Arial" w:hAnsi="Arial"/>
          <w:sz w:val="16"/>
          <w:szCs w:val="16"/>
          <w:i w:val="1"/>
          <w:iCs w:val="1"/>
          <w:color w:val="auto"/>
        </w:rPr>
        <w:t>be no retaliation or penalty for honest and good faith reporting, even if it turns out reported concerns were unfounded</w:t>
      </w:r>
      <w:r>
        <w:rPr>
          <w:rFonts w:ascii="Arial" w:cs="Arial" w:eastAsia="Arial" w:hAnsi="Arial"/>
          <w:sz w:val="16"/>
          <w:szCs w:val="16"/>
          <w:color w:val="auto"/>
        </w:rPr>
        <w:t>.</w:t>
      </w:r>
    </w:p>
    <w:p>
      <w:pPr>
        <w:spacing w:after="0" w:line="13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RCP employees, customers, vendors, contractors, suppliers and others have the responsibility to report any suspected violations, and may use the following contact methods:</w:t>
      </w:r>
    </w:p>
    <w:p>
      <w:pPr>
        <w:sectPr>
          <w:pgSz w:w="11900" w:h="16838" w:orient="portrait"/>
          <w:cols w:equalWidth="0" w:num="1">
            <w:col w:w="11180"/>
          </w:cols>
          <w:pgMar w:left="320" w:top="328" w:right="399" w:bottom="1440" w:gutter="0" w:footer="0" w:header="0"/>
        </w:sectPr>
      </w:pP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Mail:</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Reynolds Consumer Products Inc., Attention: General Counsel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1900 West Field Court, Lake Forest, Illinois 60045-2595 USA</w:t>
      </w:r>
    </w:p>
    <w:p>
      <w:pPr>
        <w:spacing w:after="0" w:line="193" w:lineRule="exact"/>
        <w:rPr>
          <w:sz w:val="20"/>
          <w:szCs w:val="20"/>
          <w:color w:val="auto"/>
        </w:rPr>
      </w:pPr>
    </w:p>
    <w:p>
      <w:pPr>
        <w:sectPr>
          <w:pgSz w:w="11900" w:h="16838" w:orient="portrait"/>
          <w:cols w:equalWidth="0" w:num="2">
            <w:col w:w="1260" w:space="720"/>
            <w:col w:w="9200"/>
          </w:cols>
          <w:pgMar w:left="320" w:top="328" w:right="39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Ethics and Compliance Line: 800-363-8150</w:t>
      </w:r>
    </w:p>
    <w:p>
      <w:pPr>
        <w:spacing w:after="0" w:line="200" w:lineRule="exact"/>
        <w:rPr>
          <w:sz w:val="20"/>
          <w:szCs w:val="20"/>
          <w:color w:val="auto"/>
        </w:rPr>
      </w:pPr>
    </w:p>
    <w:p>
      <w:pPr>
        <w:sectPr>
          <w:pgSz w:w="11900" w:h="16838" w:orient="portrait"/>
          <w:cols w:equalWidth="0" w:num="2">
            <w:col w:w="1380" w:space="600"/>
            <w:col w:w="9200"/>
          </w:cols>
          <w:pgMar w:left="320" w:top="328" w:right="399" w:bottom="1440" w:gutter="0" w:footer="0" w:header="0"/>
          <w:type w:val="continuous"/>
        </w:sectPr>
      </w:pPr>
    </w:p>
    <w:p>
      <w:pPr>
        <w:spacing w:after="0" w:line="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Web: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ReynoldsConsumerProducts.com/Contact</w:t>
      </w:r>
    </w:p>
    <w:p>
      <w:pPr>
        <w:spacing w:after="0" w:line="200" w:lineRule="exact"/>
        <w:rPr>
          <w:sz w:val="20"/>
          <w:szCs w:val="20"/>
          <w:color w:val="auto"/>
        </w:rPr>
      </w:pPr>
    </w:p>
    <w:p>
      <w:pPr>
        <w:sectPr>
          <w:pgSz w:w="11900" w:h="16838" w:orient="portrait"/>
          <w:cols w:equalWidth="0" w:num="2">
            <w:col w:w="1260" w:space="720"/>
            <w:col w:w="9200"/>
          </w:cols>
          <w:pgMar w:left="320" w:top="328" w:right="399" w:bottom="1440" w:gutter="0" w:footer="0" w:header="0"/>
          <w:type w:val="continuous"/>
        </w:sectPr>
      </w:pPr>
    </w:p>
    <w:p>
      <w:pPr>
        <w:spacing w:after="0" w:line="18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All appropriate steps will be taken to keep reports confidential. Contact may be made anonymously where permitted by technology or law. The identity of a person contacting the General Counsel or toll-free ethics and compliance line will be kept confidential except as required by law or as needed for investigative purposes. Actions contrary to this policy are, by definition, harmful to RCP and its reputation. Violations, even in the first instance, may result in disciplinary action up to and including dismissal. This policy is not an employment contract, and compliance with it does not create a contract for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Compliance with Laws, Rules and Regulations</w:t>
      </w:r>
    </w:p>
    <w:p>
      <w:pPr>
        <w:spacing w:after="0" w:line="17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are strongly committed to conducting our business affairs with honesty and integrity and in full compliance with all applicable laws, rules and regulations. All officers, directors, and employees are expected to educate themselves on laws, rules, and regulations applicable to the employment responsibilities and to comply with such laws, rules, and regulations in all activities. No employee, officer or director of the Company shall commit an illegal or unethical act, or instruct others to do so, for any reason. When there is doubt as to compliance issues, all employees are encouraged and expected to seek guidance in conjunction with fulfilment of their responsibilities.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Harassment and Discrimination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jc w:val="both"/>
        <w:ind w:right="220" w:firstLine="432"/>
        <w:spacing w:after="0" w:line="263" w:lineRule="auto"/>
        <w:rPr>
          <w:sz w:val="20"/>
          <w:szCs w:val="20"/>
          <w:color w:val="auto"/>
        </w:rPr>
      </w:pPr>
      <w:r>
        <w:rPr>
          <w:rFonts w:ascii="Arial" w:cs="Arial" w:eastAsia="Arial" w:hAnsi="Arial"/>
          <w:sz w:val="18"/>
          <w:szCs w:val="18"/>
          <w:color w:val="auto"/>
        </w:rPr>
        <w:t>We will not unlawfully discriminate based on race, color, gender, age, religion, national origin, disability, veteran status, marital or family status or any other category protected by applicable law. All employment decisions, including hiring, performance appraisals, promotions and discharges will be made without unlawful consideration of any such criteria.</w:t>
      </w:r>
    </w:p>
    <w:p>
      <w:pPr>
        <w:spacing w:after="0" w:line="157"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8"/>
          <w:szCs w:val="18"/>
          <w:color w:val="auto"/>
        </w:rPr>
        <w:t>It is improper for any employee to harass another employee by creating an intimidating, hostile or offensive work environment through verbal abuse or name-calling, threats, intimidation or similar improper conduct. Employees may not act violently or threaten violence while at work, and may not bring or use a weapon on a work site.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This policy applies worldwide to all employees. In some locations, local statutory requirements may require employers to conform to additional locally mandated norms.</w:t>
      </w:r>
    </w:p>
    <w:p>
      <w:pPr>
        <w:spacing w:after="0" w:line="14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Threatening, intimidating or violent behavior will not be tolerated. It can take on many forms, all of them unacceptable as shown in the following examples:</w:t>
      </w:r>
    </w:p>
    <w:p>
      <w:pPr>
        <w:spacing w:after="0" w:line="130" w:lineRule="exact"/>
        <w:rPr>
          <w:sz w:val="20"/>
          <w:szCs w:val="20"/>
          <w:color w:val="auto"/>
        </w:rPr>
      </w:pPr>
    </w:p>
    <w:p>
      <w:pPr>
        <w:ind w:left="880" w:hanging="440"/>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Jokes, insults, threats, and other unwelcome actions about a person’s characteristics as described above.</w:t>
      </w:r>
    </w:p>
    <w:p>
      <w:pPr>
        <w:spacing w:after="0" w:line="184"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Unwelcome sexual advances, flirtations, sexually suggestive comments or conduct, requests for sexual favors and other unwelcome verbal or physical conduct of a sexual nature.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display of sexually suggestive objects or pictures.</w:t>
      </w:r>
    </w:p>
    <w:p>
      <w:pPr>
        <w:spacing w:after="0" w:line="184" w:lineRule="exact"/>
        <w:rPr>
          <w:rFonts w:ascii="Arial" w:cs="Arial" w:eastAsia="Arial" w:hAnsi="Arial"/>
          <w:sz w:val="18"/>
          <w:szCs w:val="18"/>
          <w:color w:val="auto"/>
        </w:rPr>
      </w:pPr>
    </w:p>
    <w:p>
      <w:pPr>
        <w:ind w:left="880" w:right="180" w:hanging="440"/>
        <w:spacing w:after="0" w:line="342"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Comments or conduct suggesting that an employee’s cooperation with, or refusal of sexual or other harassing conduct will have any effect on the employee’s employment, assignment, compensation, advancement, career development, or any other term or condition of employment.</w:t>
      </w:r>
    </w:p>
    <w:p>
      <w:pPr>
        <w:spacing w:after="0" w:line="83" w:lineRule="exact"/>
        <w:rPr>
          <w:rFonts w:ascii="Arial" w:cs="Arial" w:eastAsia="Arial" w:hAnsi="Arial"/>
          <w:sz w:val="16"/>
          <w:szCs w:val="16"/>
          <w:color w:val="auto"/>
        </w:rPr>
      </w:pPr>
    </w:p>
    <w:p>
      <w:pPr>
        <w:ind w:left="880" w:hanging="440"/>
        <w:spacing w:after="0"/>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Verbal or physical conduct that negatively impacts another’s work performance or creates a fearful or hostile work environment (e.g., bullying).</w:t>
      </w:r>
    </w:p>
    <w:p>
      <w:pPr>
        <w:spacing w:after="0" w:line="208" w:lineRule="exact"/>
        <w:rPr>
          <w:sz w:val="20"/>
          <w:szCs w:val="20"/>
          <w:color w:val="auto"/>
        </w:rPr>
      </w:pPr>
    </w:p>
    <w:p>
      <w:pPr>
        <w:ind w:right="540" w:firstLine="432"/>
        <w:spacing w:after="0" w:line="263" w:lineRule="auto"/>
        <w:rPr>
          <w:sz w:val="20"/>
          <w:szCs w:val="20"/>
          <w:color w:val="auto"/>
        </w:rPr>
      </w:pPr>
      <w:r>
        <w:rPr>
          <w:rFonts w:ascii="Arial" w:cs="Arial" w:eastAsia="Arial" w:hAnsi="Arial"/>
          <w:sz w:val="18"/>
          <w:szCs w:val="18"/>
          <w:color w:val="auto"/>
        </w:rPr>
        <w:t>We will not tolerate this type of behavior from employees or from others at our worksites, and encourage all employees to join us in keeping a harassment free workplace. Adhere to all current company policy on harassment and discrimination. For further information, consult your Human Resources Representative.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98" w:lineRule="exact"/>
        <w:rPr>
          <w:sz w:val="20"/>
          <w:szCs w:val="20"/>
          <w:color w:val="auto"/>
        </w:rPr>
      </w:pPr>
    </w:p>
    <w:p>
      <w:pPr>
        <w:ind w:left="880" w:right="620" w:hanging="440"/>
        <w:spacing w:after="0" w:line="277"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 not make or tolerate sexual jokes, comments about a person’s body, graphic statements about sexual matters, or engage in offensive behavior of a sexual nature.</w:t>
      </w:r>
    </w:p>
    <w:p>
      <w:pPr>
        <w:spacing w:after="0" w:line="129" w:lineRule="exact"/>
        <w:rPr>
          <w:rFonts w:ascii="Arial" w:cs="Arial" w:eastAsia="Arial" w:hAnsi="Arial"/>
          <w:sz w:val="18"/>
          <w:szCs w:val="18"/>
          <w:color w:val="auto"/>
        </w:rPr>
      </w:pPr>
    </w:p>
    <w:p>
      <w:pPr>
        <w:ind w:left="880" w:right="160" w:hanging="440"/>
        <w:spacing w:after="0" w:line="342"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Do not make or tolerate jokes, comments, and remarks or treat any employee differently because of his or her race, color, sex, national origin, age, religion, disability, marital or family status, veteran status or any other non- business related consideration. To do so is discriminatory.</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6" w:name="page107"/>
    <w:bookmarkEnd w:id="106"/>
    <w:p>
      <w:pPr>
        <w:ind w:left="880" w:hanging="440"/>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 not display sexually suggestive objects or pictures at work.</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 not ask or make comments about co-workers sexual conduct or sexual preference.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Never suggest or imply that an employee’s job will be affected by his or her response to a sexual advance.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Create an atmosphere free of any suggestion of discrimination or harassment.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and Safety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right="400" w:firstLine="432"/>
        <w:spacing w:after="0" w:line="263" w:lineRule="auto"/>
        <w:rPr>
          <w:sz w:val="20"/>
          <w:szCs w:val="20"/>
          <w:color w:val="auto"/>
        </w:rPr>
      </w:pPr>
      <w:r>
        <w:rPr>
          <w:rFonts w:ascii="Arial" w:cs="Arial" w:eastAsia="Arial" w:hAnsi="Arial"/>
          <w:sz w:val="18"/>
          <w:szCs w:val="18"/>
          <w:color w:val="auto"/>
        </w:rPr>
        <w:t>We will not compromise health or safety in the workplace for profit or production. Safety rules and procedures are mandated in all of our plants, offices, and work sites. Each of us must perform his or her job following these health and safety rules and procedures, and must promptly report any concerns, safety violations or incidents to his or her supervisor or Human Resources Representative.</w:t>
      </w:r>
    </w:p>
    <w:p>
      <w:pPr>
        <w:spacing w:after="0" w:line="143"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Employees must not use, possess, manufacture or transfer illegal drugs on company property. Employees are not allowed to work if affected by alcohol or using illegal drugs. Misusing legal drugs in the workplace is not allowed. We will not let someone work if we believe that such person’s use of legal drugs could create an unsafe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firmly committed to having all employees work in a safe and healthy work environment.</w:t>
      </w:r>
    </w:p>
    <w:p>
      <w:pPr>
        <w:spacing w:after="0" w:line="185" w:lineRule="exact"/>
        <w:rPr>
          <w:sz w:val="20"/>
          <w:szCs w:val="20"/>
          <w:color w:val="auto"/>
        </w:rPr>
      </w:pPr>
    </w:p>
    <w:p>
      <w:pPr>
        <w:ind w:right="360" w:firstLine="432"/>
        <w:spacing w:after="0" w:line="286" w:lineRule="auto"/>
        <w:rPr>
          <w:sz w:val="20"/>
          <w:szCs w:val="20"/>
          <w:color w:val="auto"/>
        </w:rPr>
      </w:pPr>
      <w:r>
        <w:rPr>
          <w:rFonts w:ascii="Arial" w:cs="Arial" w:eastAsia="Arial" w:hAnsi="Arial"/>
          <w:sz w:val="17"/>
          <w:szCs w:val="17"/>
          <w:color w:val="auto"/>
        </w:rPr>
        <w:t>Employees must know, understand, and comply with all safety rules and procedures. They must know that no task is more important than their personal safety and that of their fellow employees. Following these rules and procedures, helps ensure not only our safety, but also the safety of others. Adhere to all company policies on health and safety. For further information, consult your Human Resources Representative.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98" w:lineRule="exact"/>
        <w:rPr>
          <w:sz w:val="20"/>
          <w:szCs w:val="20"/>
          <w:color w:val="auto"/>
        </w:rPr>
      </w:pPr>
    </w:p>
    <w:p>
      <w:pPr>
        <w:ind w:left="880" w:hanging="440"/>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Always comply with your facility’s health and safety rules and procedures, and be sure of the “safe way” to perform a task. If unsure, ASK!</w:t>
      </w:r>
    </w:p>
    <w:p>
      <w:pPr>
        <w:spacing w:after="0" w:line="196" w:lineRule="exact"/>
        <w:rPr>
          <w:rFonts w:ascii="Arial" w:cs="Arial" w:eastAsia="Arial" w:hAnsi="Arial"/>
          <w:sz w:val="17"/>
          <w:szCs w:val="17"/>
          <w:color w:val="auto"/>
        </w:rPr>
      </w:pPr>
    </w:p>
    <w:p>
      <w:pPr>
        <w:ind w:left="880" w:right="340" w:hanging="440"/>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Always take appropriate safety precautions, including wearing and using protective safety equipment, including seat belts, while driving or riding in company vehicles.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Never compromise your personal safety procedures.</w:t>
      </w:r>
    </w:p>
    <w:p>
      <w:pPr>
        <w:spacing w:after="0" w:line="184" w:lineRule="exact"/>
        <w:rPr>
          <w:rFonts w:ascii="Arial" w:cs="Arial" w:eastAsia="Arial" w:hAnsi="Arial"/>
          <w:sz w:val="18"/>
          <w:szCs w:val="18"/>
          <w:color w:val="auto"/>
        </w:rPr>
      </w:pPr>
    </w:p>
    <w:p>
      <w:pPr>
        <w:ind w:left="880" w:hanging="440"/>
        <w:spacing w:after="0" w:line="263"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Report any hazardous conditions, improper use of safety equipment, job-related “near miss,” injury, illness, or any failure to follow safety procedures to your supervisor or the facility Health and Safety Coordinator for your location. Alternately, you may report any of these incidents by calling the Company’s toll-free ethics and compliance line for your location.</w:t>
      </w:r>
    </w:p>
    <w:p>
      <w:pPr>
        <w:spacing w:after="0" w:line="143"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 not bring illegal drugs or alcohol onto RCP property, perform RCP business or be on RCP premises while under the influence of any illegal drug or alcohol.</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Never use prohibited/controlled substances or alcohol while in vehicles owned, leased or used for RCP business.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you are taking a medication that you believe might affect your ability to safely do your job, advise your supervisor.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b w:val="1"/>
          <w:bCs w:val="1"/>
          <w:color w:val="auto"/>
        </w:rPr>
        <w:t>Ethical Sourcing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RCP promotes business practices and policies that show respect for the value of all human beings. RCP requires that its suppliers do so as well. All RCP and supplier locations shall provide a safe working environment to all employees, which includes proper training, appropriate equipment to safely perform their job and a clean environment where safe behavior is emphasized.</w:t>
      </w:r>
    </w:p>
    <w:p>
      <w:pPr>
        <w:spacing w:after="0" w:line="143"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All RCP and supplier locations shall also maintain conditions of employment where all workers are free to choose employment, where there is no forced, bonded, or involuntary labor, and where there is no use of child labor. There shall be no discrimination in hiring, compensation, access to training, promotion, termination or retirement based on age, gender, race, color, caste, national origin, disability, religion or veteran status.</w:t>
      </w:r>
    </w:p>
    <w:p>
      <w:pPr>
        <w:spacing w:after="0" w:line="125" w:lineRule="exact"/>
        <w:rPr>
          <w:sz w:val="20"/>
          <w:szCs w:val="20"/>
          <w:color w:val="auto"/>
        </w:rPr>
      </w:pPr>
    </w:p>
    <w:p>
      <w:pPr>
        <w:ind w:right="160" w:firstLine="432"/>
        <w:spacing w:after="0" w:line="275" w:lineRule="auto"/>
        <w:rPr>
          <w:sz w:val="20"/>
          <w:szCs w:val="20"/>
          <w:color w:val="auto"/>
        </w:rPr>
      </w:pPr>
      <w:r>
        <w:rPr>
          <w:rFonts w:ascii="Arial" w:cs="Arial" w:eastAsia="Arial" w:hAnsi="Arial"/>
          <w:sz w:val="17"/>
          <w:szCs w:val="17"/>
          <w:color w:val="auto"/>
        </w:rPr>
        <w:t>Regardless of culture, community, or country, RCP will not use any supplier that is involved in or associated with human trafficking, bonded labor, involuntary servitude, use of child labor or sexual slavery. RCP maintains a diligent supplier control program specifically evaluating its suppliers and validating their compliance with these standards. In the event any supplier audit finds evidence that the supplier is in violation of RCP Social Accountability and Ethical Treatment Policy, the supplier relationship will be terminated or suspended until such time as the supplier comes into full compliance. For further information on quality and procurement standards, contact the General Counsel.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 any unsafe, illegal, or unethical employment situations you may suspect at RCP suppliers, or vendors.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of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jc w:val="both"/>
        <w:ind w:right="240" w:firstLine="432"/>
        <w:spacing w:after="0" w:line="263" w:lineRule="auto"/>
        <w:rPr>
          <w:sz w:val="20"/>
          <w:szCs w:val="20"/>
          <w:color w:val="auto"/>
        </w:rPr>
      </w:pPr>
      <w:r>
        <w:rPr>
          <w:rFonts w:ascii="Arial" w:cs="Arial" w:eastAsia="Arial" w:hAnsi="Arial"/>
          <w:sz w:val="18"/>
          <w:szCs w:val="18"/>
          <w:color w:val="auto"/>
        </w:rPr>
        <w:t>Our employees, officers and directors have an obligation to act in the best interest of the Company. All employees are prohibited from taking any action(s) that would create a conflict of interest with RCP and should avoid even the appearance of a conflict of interest. RCP’s resources are to be used only for approved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02" w:lineRule="exact"/>
        <w:rPr>
          <w:sz w:val="20"/>
          <w:szCs w:val="20"/>
          <w:color w:val="auto"/>
        </w:rPr>
      </w:pPr>
    </w:p>
    <w:p>
      <w:pPr>
        <w:jc w:val="both"/>
        <w:ind w:right="280" w:firstLine="432"/>
        <w:spacing w:after="0" w:line="275" w:lineRule="auto"/>
        <w:rPr>
          <w:sz w:val="20"/>
          <w:szCs w:val="20"/>
          <w:color w:val="auto"/>
        </w:rPr>
      </w:pPr>
      <w:r>
        <w:rPr>
          <w:rFonts w:ascii="Arial" w:cs="Arial" w:eastAsia="Arial" w:hAnsi="Arial"/>
          <w:sz w:val="17"/>
          <w:szCs w:val="17"/>
          <w:color w:val="auto"/>
        </w:rPr>
        <w:t>A conflict of interest is a situation in which an employee’s personal interest or benefit interferes with his or her responsibilities as an employee. Employees must not accept payments, gifts, entertainment, or other favors that go beyond the common courtesy usually associated with good business practice or that might be regarded as placing themselves under some obligation to a supplier or customer. Some locations may adopt local rules setting more specific limits on the acceptance of gifts, meals or entertainment, such as particular monetary thresholds. Should a location have such local rules, they will be communicated to you and shall be in addition to the general principles outlined in this Code.</w:t>
      </w:r>
    </w:p>
    <w:p>
      <w:pPr>
        <w:spacing w:after="0" w:line="13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Unless approved in advance, no employee may hold a position with, or have a substantial financial interest in, any business that conflicts with or might appear to conflict with that employee’s work on behalf of RCP.</w:t>
      </w:r>
    </w:p>
    <w:p>
      <w:pPr>
        <w:spacing w:after="0" w:line="13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Should any of the above situations occur, communication between employees and their supervisor is of utmost importance, and the parties concerned shall attempt to resolve the matter in good faith. For further information, contact your Human Resources Representative or the General Counsel.</w:t>
      </w:r>
    </w:p>
    <w:p>
      <w:pPr>
        <w:spacing w:after="0" w:line="97"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In order to avoid conflicts of interests, senior executive officers and directors must disclose to the General Counsel any material transaction or relationship that reasonably could be expected to give rise to such a conflict. Conflicts of interests involving the General Counsel and directors shall be disclosed to the Compensation, Nominating and Corporate Governance Committee.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Place compliance with laws and ethical principles above private gain.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 not solicit or accept anything of more than minor value from business suppliers.</w:t>
      </w:r>
    </w:p>
    <w:p>
      <w:pPr>
        <w:spacing w:after="0" w:line="184"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 not have a position with, nor financial interest in, another business that interferes or appears to interfere with our duties or responsibilities, unless approved in advance by the General Counsel, or the location Human Resources Representative.</w:t>
      </w:r>
    </w:p>
    <w:p>
      <w:pPr>
        <w:spacing w:after="0" w:line="129" w:lineRule="exact"/>
        <w:rPr>
          <w:rFonts w:ascii="Arial" w:cs="Arial" w:eastAsia="Arial" w:hAnsi="Arial"/>
          <w:sz w:val="18"/>
          <w:szCs w:val="18"/>
          <w:color w:val="auto"/>
        </w:rPr>
      </w:pPr>
    </w:p>
    <w:p>
      <w:pPr>
        <w:ind w:left="880" w:right="620" w:hanging="440"/>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 not conduct/transact Company business with a relative, unless approved in advance by the General Counsel, or the location Human Resources Representative.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 any financial interest in or position with any competitor.</w:t>
      </w:r>
    </w:p>
    <w:p>
      <w:pPr>
        <w:spacing w:after="0" w:line="184"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 suspected violations of conflict of interest procedures to the General Counsel, or the location Human Resources Representative, or report suspected violations by calling the toll-free ethics and compliance line for your location.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Outside Employment and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 full-time employee’s primary work obligation is to RCP. Outside activities, such as a second job or self-employment, must be kept totally separate from RCP employment and not interfere with RCP job responsibilities or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02"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We respect the privacy of every employee in the conduct of his or her personal affairs. No employee may run a personal business on RCP’s time or use RCP’s resources. Similarly, no employee can allow such outside activities to detract from his or her job performance or require such long hours that the outside activity adversely affects the employee’s physical or mental effectiveness.</w:t>
      </w:r>
    </w:p>
    <w:p>
      <w:pPr>
        <w:spacing w:after="0" w:line="14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Generally, no employee can perform services for, nor serve as an employee, consultant, officer or director of any competitor, customer or supplier of RCP. For further information, contact your Human Resources Representative.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98" w:lineRule="exact"/>
        <w:rPr>
          <w:sz w:val="20"/>
          <w:szCs w:val="20"/>
          <w:color w:val="auto"/>
        </w:rPr>
      </w:pPr>
    </w:p>
    <w:p>
      <w:pPr>
        <w:ind w:left="880" w:hanging="440"/>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 not use RCP’s time or resources for personal or outside business matters.</w:t>
      </w:r>
    </w:p>
    <w:p>
      <w:pPr>
        <w:spacing w:after="0" w:line="184"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 not work on behalf of competitors, suppliers or customers of RCP without prior authorization by the General Counsel or the location Human Resources Representative.</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 your supervisor or the location Human Resources Representative of any outside business position (other than charitable, educational, or religious) that might be viewed as conflicting with your RCP duties or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Dissemination of Corporate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right="40" w:firstLine="432"/>
        <w:spacing w:after="0" w:line="311" w:lineRule="auto"/>
        <w:rPr>
          <w:sz w:val="20"/>
          <w:szCs w:val="20"/>
          <w:color w:val="auto"/>
        </w:rPr>
      </w:pPr>
      <w:r>
        <w:rPr>
          <w:rFonts w:ascii="Arial" w:cs="Arial" w:eastAsia="Arial" w:hAnsi="Arial"/>
          <w:sz w:val="16"/>
          <w:szCs w:val="16"/>
          <w:color w:val="auto"/>
        </w:rPr>
        <w:t>Employees must not respond to requests for financial or business information about RCP from outside sources such as the government, media, press, financial community or the public, unless authorized to do so. Such inquiries are to be referred to the General Counsel. Employees must not share non-public financial or business information unless authorized to do so by the President of the Business Unit and the General Counsel.</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will maintain a coordinated and consistent posture in relations with the newsgathering industry. All contact with news media concerning the affairs of RCP, financial or otherwise, including written and oral communications and the release of photographs, must be coordinated through the General Counsel. Confidential RCP information should be released only to employees, agents or representatives on a need-to-know basis. For further information, contact the General Counsel.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line="263"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Protect company-confidential information. Do not include any non-public financial or business information, for example, in a presentation to an industry group without authorization. Do not post any non-public financial or business information on social media, for example LinkedIn, Twitter or Facebook, without authorization.</w:t>
      </w:r>
    </w:p>
    <w:p>
      <w:pPr>
        <w:spacing w:after="0" w:line="143"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Refer third party requests for any type of information, including non-public financial or business information, to the President of the Business Unit and General Counsel for approval.</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Refer inquiries regarding current or former employees, other than by the news media, to your Human Resources Representative.</w:t>
      </w:r>
    </w:p>
    <w:p>
      <w:pPr>
        <w:spacing w:after="0" w:line="184" w:lineRule="exact"/>
        <w:rPr>
          <w:rFonts w:ascii="Arial" w:cs="Arial" w:eastAsia="Arial" w:hAnsi="Arial"/>
          <w:sz w:val="18"/>
          <w:szCs w:val="18"/>
          <w:color w:val="auto"/>
        </w:rPr>
      </w:pPr>
    </w:p>
    <w:p>
      <w:pPr>
        <w:ind w:left="880" w:right="220" w:hanging="440"/>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employee should speak to the media regarding company business unless they are designated as a company spokesperson by the CEO and General Counsel. Refer to the current policy and process for directing media calls.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Refer to the current policy on social media for personal responsibilities when using social media platforms.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Protection of RCP Property and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Employees are responsible for protecting RCP-owned or RCP-leased property and equipment. This responsibility extends to tangible assets such as money, physical materials, inventory, equipment and real property. This responsibility also extends to intangible property, such as business plans, trade secrets, computer programs, technologies, and other confidential or proprietary information of RCP or of others, including our customers and suppliers. We treat company assets with the same care we would if they were our 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Generally, RCP property must not be used for any purpose other than for RCP business. Employees must not borrow, give away, loan, sell or otherwise dispose of RCP property regardless of conditions without specific authorization.</w:t>
      </w:r>
    </w:p>
    <w:p>
      <w:pPr>
        <w:spacing w:after="0" w:line="14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Reasonable precautions must be taken against theft, damage or misuse of RCP property. RCP property includes information developed by employees and may include information received from outside RCP. It may consist of financial, commercial or technical data, or may relate to payroll, salaries, benefits or personnel records. It may include information about employees, customers, potential customers or information owned by others entrusted to RCP.</w:t>
      </w:r>
    </w:p>
    <w:p>
      <w:pPr>
        <w:spacing w:after="0" w:line="146" w:lineRule="exact"/>
        <w:rPr>
          <w:sz w:val="20"/>
          <w:szCs w:val="20"/>
          <w:color w:val="auto"/>
        </w:rPr>
      </w:pPr>
    </w:p>
    <w:p>
      <w:pPr>
        <w:jc w:val="both"/>
        <w:ind w:right="40" w:firstLine="432"/>
        <w:spacing w:after="0" w:line="308" w:lineRule="auto"/>
        <w:rPr>
          <w:sz w:val="20"/>
          <w:szCs w:val="20"/>
          <w:color w:val="auto"/>
        </w:rPr>
      </w:pPr>
      <w:r>
        <w:rPr>
          <w:rFonts w:ascii="Arial" w:cs="Arial" w:eastAsia="Arial" w:hAnsi="Arial"/>
          <w:sz w:val="17"/>
          <w:szCs w:val="17"/>
          <w:color w:val="auto"/>
        </w:rPr>
        <w:t>Employees who receive or learn of confidential business information or trade secrets of RCP or others, may not, for non- RCP purposes, disclose that information to third parties (including friends and family members) or make any other non- RCP use of such information.</w:t>
      </w:r>
    </w:p>
    <w:p>
      <w:pPr>
        <w:spacing w:after="0" w:line="10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Handling and dissemination of information is a management task and all employees shall respect the need of RCP for professional information management. All employees shall keep relevant information confidential.</w:t>
      </w:r>
    </w:p>
    <w:p>
      <w:pPr>
        <w:spacing w:after="0" w:line="143"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We do not destroy official company documents or records before the retention period expires, unless otherwise directed with respect to specific items to destroy documents when they no longer have useful business purpose. Employees should contact their supervisor if they are unclear whether a document may or may not be destroyed. For further information, contact the General Counsel or Controller.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right="380" w:hanging="440"/>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appropriate care, custody and control over RCP’s property (including supplies, equipment, facilities, files, documents, films, and electronically recorded data or images).</w:t>
      </w:r>
    </w:p>
    <w:p>
      <w:pPr>
        <w:spacing w:after="0" w:line="129"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appropriate care, custody and control over RCP’s intangible properties (including business plans, trade secrets, compliance programs, technologies, and other confidential or proprietary information).</w:t>
      </w:r>
    </w:p>
    <w:p>
      <w:pPr>
        <w:spacing w:after="0" w:line="129"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Use Company equipment, including computers and computer systems, according to the current policies regarding incidental personal use and appropriate workplace standards.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 not duplicate proprietary or trademarked software for personal use.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Keep confidential information stored properly when it is not being used.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Quality of Public Disclosures</w:t>
      </w:r>
    </w:p>
    <w:p>
      <w:pPr>
        <w:spacing w:after="0" w:line="19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has a responsibility to provide full and accurate information in our public disclosures, in all material respects, about the Company’s financial condition and results of operations. Our reports and documents filed with or submitted to the Securities and Exchange Commission and our other public communications shall include full, fair, accurate, timely and understandable disclosure, and the Company has established a Disclosure Committee consisting of senior management to assist in monitoring such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Communication (Use of Computers, Internet and Email) and Data Privacy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You must act in a secure and compliant manner in regard to electronic communications to protect the assets and work product of the Company. Our employees, officers and directors are responsible for using any information technology (hardware and software) and electronic communications in a secure and responsible manner. Each employee, officer and director is responsible for safeguarding and using the Company’s assets appropriately and respecting the assets of others.</w:t>
      </w:r>
    </w:p>
    <w:p>
      <w:pPr>
        <w:spacing w:after="0" w:line="14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respects the privacy rights of our staff, customers, suppliers and business partners and are committed to managing personal data in a professional, lawful and ethical way. The Company may only process personal data for legitimate purposes and the data must be accurate and relevant for the purpose for which it was collected, as well as properly protected from inappropriate access or misuse. When it is to be transferred to third parties, it must be appropriately safeguarded. Our officers, directors, and employees must identify data privacy risks, only process personal data for specific, defined and legitimate purposes, and ensure personal data in our possession is kept up to date and disposed of when no longer required. Further, the Company and its officers, directors and employees must comply with all data privacy laws. Respecting privacy rights, protecting intellectual property rights and being responsible with information and records will help maintain our ability to conduct business and protect our reputation.</w:t>
      </w:r>
    </w:p>
    <w:p>
      <w:pPr>
        <w:spacing w:after="0" w:line="126"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We will protect RCP’s computing systems and computerized information from unauthorized access, use, modification, copy, disclosure or destruction. Use may be reviewed for consistency with legal requirements. Employees who violate this policy may be subject to disciplinary action.</w:t>
      </w:r>
    </w:p>
    <w:p>
      <w:pPr>
        <w:spacing w:after="0" w:line="97"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Security incidents should be immediately reported by employees to their direct supervisors. If this is not feasible to report to the supervisor, employees should call the toll-free ethics and compliance line for their location.</w:t>
      </w:r>
    </w:p>
    <w:p>
      <w:pPr>
        <w:spacing w:after="0" w:line="130" w:lineRule="exact"/>
        <w:rPr>
          <w:sz w:val="20"/>
          <w:szCs w:val="20"/>
          <w:color w:val="auto"/>
        </w:rPr>
      </w:pPr>
    </w:p>
    <w:p>
      <w:pPr>
        <w:ind w:right="2080" w:firstLine="432"/>
        <w:spacing w:after="0" w:line="461" w:lineRule="auto"/>
        <w:rPr>
          <w:sz w:val="20"/>
          <w:szCs w:val="20"/>
          <w:color w:val="auto"/>
        </w:rPr>
      </w:pPr>
      <w:r>
        <w:rPr>
          <w:rFonts w:ascii="Arial" w:cs="Arial" w:eastAsia="Arial" w:hAnsi="Arial"/>
          <w:sz w:val="18"/>
          <w:szCs w:val="18"/>
          <w:color w:val="auto"/>
        </w:rPr>
        <w:t xml:space="preserve">Use of company computer systems in manners which do not support company values or business purposes is prohibited. </w:t>
      </w:r>
      <w:r>
        <w:rPr>
          <w:rFonts w:ascii="Arial" w:cs="Arial" w:eastAsia="Arial" w:hAnsi="Arial"/>
          <w:sz w:val="18"/>
          <w:szCs w:val="18"/>
          <w:b w:val="1"/>
          <w:bCs w:val="1"/>
          <w:color w:val="auto"/>
        </w:rPr>
        <w:t>Comments</w:t>
      </w:r>
    </w:p>
    <w:p>
      <w:pPr>
        <w:spacing w:after="0" w:line="1" w:lineRule="exact"/>
        <w:rPr>
          <w:sz w:val="20"/>
          <w:szCs w:val="20"/>
          <w:color w:val="auto"/>
        </w:rPr>
      </w:pPr>
    </w:p>
    <w:p>
      <w:pPr>
        <w:jc w:val="both"/>
        <w:ind w:right="420" w:firstLine="432"/>
        <w:spacing w:after="0" w:line="263" w:lineRule="auto"/>
        <w:rPr>
          <w:sz w:val="20"/>
          <w:szCs w:val="20"/>
          <w:color w:val="auto"/>
        </w:rPr>
      </w:pPr>
      <w:r>
        <w:rPr>
          <w:rFonts w:ascii="Arial" w:cs="Arial" w:eastAsia="Arial" w:hAnsi="Arial"/>
          <w:sz w:val="18"/>
          <w:szCs w:val="18"/>
          <w:color w:val="auto"/>
        </w:rPr>
        <w:t>Authorized users will be issued company-approved accounts. Unauthorized access to company computerized information, any use of computer systems or information that constitutes illegal activity and sharing computer user accounts or other accounts assigned for individual use is prohibited. Employee’s relatives, associates or friends are not permitted to use RCP’s technology resources.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1" w:name="page112"/>
    <w:bookmarkEnd w:id="111"/>
    <w:p>
      <w:pPr>
        <w:ind w:firstLine="432"/>
        <w:spacing w:after="0" w:line="277" w:lineRule="auto"/>
        <w:rPr>
          <w:sz w:val="20"/>
          <w:szCs w:val="20"/>
          <w:color w:val="auto"/>
        </w:rPr>
      </w:pPr>
      <w:r>
        <w:rPr>
          <w:rFonts w:ascii="Arial" w:cs="Arial" w:eastAsia="Arial" w:hAnsi="Arial"/>
          <w:sz w:val="18"/>
          <w:szCs w:val="18"/>
          <w:color w:val="auto"/>
        </w:rPr>
        <w:t>Personal Use of Technology Resources: Occasional, but limited, personal use of technology resources is permitted provided that it is appropriate and does not:</w:t>
      </w:r>
    </w:p>
    <w:p>
      <w:pPr>
        <w:spacing w:after="0" w:line="130" w:lineRule="exact"/>
        <w:rPr>
          <w:sz w:val="20"/>
          <w:szCs w:val="20"/>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interfere with the user’s or any other user’s work performance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unduly impact the operation of technology resources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result in any material expense to RCP</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violate this policy or any other RCP policy, guideline or standard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violate any law or applicable regulation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use storage space beyond that allocated for personal use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involve any activities related to any personal business</w:t>
      </w:r>
    </w:p>
    <w:p>
      <w:pPr>
        <w:spacing w:after="0" w:line="18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Follow all current policies concerning appropriate use of company systems and for connecting personal devices to company-provided networks. For further information, contact your Human Resources Representative.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 not expect electronic messages to be private or confidential.</w:t>
      </w:r>
    </w:p>
    <w:p>
      <w:pPr>
        <w:spacing w:after="0" w:line="184" w:lineRule="exact"/>
        <w:rPr>
          <w:rFonts w:ascii="Arial" w:cs="Arial" w:eastAsia="Arial" w:hAnsi="Arial"/>
          <w:sz w:val="18"/>
          <w:szCs w:val="18"/>
          <w:color w:val="auto"/>
        </w:rPr>
      </w:pPr>
    </w:p>
    <w:p>
      <w:pPr>
        <w:ind w:left="880" w:right="60" w:hanging="440"/>
        <w:spacing w:after="0" w:line="263"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 not solicit or communicate in any manner, electronic or otherwise, which would violate this or other RCP’s policies or procedures, including communicating discriminatory or harassing statements, pornographic material, inappropriate humor, solicitations regarding political or charitable matters or for any illegal purposes.</w:t>
      </w:r>
    </w:p>
    <w:p>
      <w:pPr>
        <w:spacing w:after="0" w:line="143" w:lineRule="exact"/>
        <w:rPr>
          <w:rFonts w:ascii="Arial" w:cs="Arial" w:eastAsia="Arial" w:hAnsi="Arial"/>
          <w:sz w:val="18"/>
          <w:szCs w:val="18"/>
          <w:color w:val="auto"/>
        </w:rPr>
      </w:pPr>
    </w:p>
    <w:p>
      <w:pPr>
        <w:ind w:left="880" w:hanging="440"/>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messages with the general expectation that these may be made public or otherwise used in legal proceedings.</w:t>
      </w:r>
    </w:p>
    <w:p>
      <w:pPr>
        <w:spacing w:after="0" w:line="184" w:lineRule="exact"/>
        <w:rPr>
          <w:rFonts w:ascii="Arial" w:cs="Arial" w:eastAsia="Arial" w:hAnsi="Arial"/>
          <w:sz w:val="18"/>
          <w:szCs w:val="18"/>
          <w:color w:val="auto"/>
        </w:rPr>
      </w:pPr>
    </w:p>
    <w:p>
      <w:pPr>
        <w:ind w:left="880" w:right="640" w:hanging="440"/>
        <w:spacing w:after="0" w:line="277"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Use good judgment in using these systems and exercise the same judgment in creating electronic messages, as you would use in paper documents.</w:t>
      </w:r>
    </w:p>
    <w:p>
      <w:pPr>
        <w:spacing w:after="0" w:line="129" w:lineRule="exact"/>
        <w:rPr>
          <w:rFonts w:ascii="Arial" w:cs="Arial" w:eastAsia="Arial" w:hAnsi="Arial"/>
          <w:sz w:val="18"/>
          <w:szCs w:val="18"/>
          <w:color w:val="auto"/>
        </w:rPr>
      </w:pPr>
    </w:p>
    <w:p>
      <w:pPr>
        <w:ind w:left="880" w:right="300" w:hanging="440"/>
        <w:spacing w:after="0" w:line="342"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Comply with all data security requirements, including using electronic communication accounts for work communications only, protecting login and password details, and refraining from modifying or disabling any security configurations established by the Company.</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will not engage in practices that limit competition such as price fixing and division of markets, nor will we engage in practices to unlawfully restrict a competitor’s opportunities.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Free competition is healthy for business and good for consumers. The antitrust laws of the United States and the competition laws of other countries govern the day-to-day conduct of business in setting prices and other aspects of the purchasing and marketing of goods and services. These laws protect consumers from illegal competitive actions such as price fixing and division of markets. It is vital to follow the laws of the United States and other countries that prohibit practices undermining competition. As a rule, antitrust laws not only cover commercial behavior in a particular country, but also apply to any commercial behavior even outside that country if it has a significant impact on competition. RCP will compete solely on the merits of our products and services.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succeed by satisfying our customers’ needs, not by unlawfully limiting a competitor’s opportunities.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12" w:name="page113"/>
    <w:bookmarkEnd w:id="112"/>
    <w:p>
      <w:pPr>
        <w:ind w:right="580" w:firstLine="432"/>
        <w:spacing w:after="0" w:line="308" w:lineRule="auto"/>
        <w:rPr>
          <w:sz w:val="20"/>
          <w:szCs w:val="20"/>
          <w:color w:val="auto"/>
        </w:rPr>
      </w:pPr>
      <w:r>
        <w:rPr>
          <w:rFonts w:ascii="Arial" w:cs="Arial" w:eastAsia="Arial" w:hAnsi="Arial"/>
          <w:sz w:val="17"/>
          <w:szCs w:val="17"/>
          <w:color w:val="auto"/>
        </w:rPr>
        <w:t>Because of the complexity of antitrust laws, all agreements with competitors or with other third parties which may have a negative effect on competition must be approved by legal counsel. Clauses which may have a negative effect on competition include:</w:t>
      </w:r>
    </w:p>
    <w:p>
      <w:pPr>
        <w:spacing w:after="0" w:line="106" w:lineRule="exact"/>
        <w:rPr>
          <w:sz w:val="20"/>
          <w:szCs w:val="20"/>
          <w:color w:val="auto"/>
        </w:rPr>
      </w:pPr>
    </w:p>
    <w:p>
      <w:pPr>
        <w:ind w:left="880" w:hanging="44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Exclusivity clauses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Pricing clauses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Tie-in clauses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Territorial restrictions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Price discrimination (including preferential discounts and rebates)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Antitrust laws generally prohibit entering into any kind of agreement or understanding (even oral or informal) with a competitor regarding:</w:t>
      </w:r>
    </w:p>
    <w:p>
      <w:pPr>
        <w:spacing w:after="0" w:line="210" w:lineRule="exact"/>
        <w:rPr>
          <w:sz w:val="20"/>
          <w:szCs w:val="20"/>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Prices, costs, profits, margins, inventories, or terms and conditions of sale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Territories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Limitations on products or services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Production facilities, volume, or capacity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Customer or supplier allocation or selection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Distribution methods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that affects, limits, or restricts competition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Bidding arrangements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Resale price maintenance schemes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Restricting products offered or tying the purchase of products to other purchases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Agreements to boycott, i.e. a refusal to supply or to accept delivery</w:t>
      </w:r>
    </w:p>
    <w:p>
      <w:pPr>
        <w:spacing w:after="0" w:line="1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DON’T BE MISLED into thinking that agreements are unlawful only if a written document is signed by the parties involved. If competitors make a conscious commitment to a common course of anti-competitive action, they can be in violation of competition laws.</w:t>
      </w:r>
    </w:p>
    <w:p>
      <w:pPr>
        <w:spacing w:after="0" w:line="130"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Antitrust laws prohibit the abuse of a dominant market position. The term “abuse” refers to situations in which dominant market power is exercised to the detriment of suppliers or customers. Marketing strategies and practices in markets in which RCP is a strong player need particular attention by the General Counsel.</w:t>
      </w:r>
    </w:p>
    <w:p>
      <w:pPr>
        <w:spacing w:after="0" w:line="143"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8"/>
          <w:szCs w:val="18"/>
          <w:color w:val="auto"/>
        </w:rPr>
        <w:t>Antitrust law may limit acquisitions which would bring about a dominant market position and could injure competition. Moreover, notification to government authorities is required in most jurisdictions before certain acquisitions can be made. The General Counsel should be involved in acquisition projects at an early stage.</w:t>
      </w:r>
    </w:p>
    <w:p>
      <w:pPr>
        <w:spacing w:after="0" w:line="15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Contracts relating to the use of intellectual property rights (patents, trademarks, designs, copyright, know-how and trade secrets) are often subject to special rules and may therefore be critical in terms of antitrust. They need particular attention by the General Counsel. For further information, contact the General Counsel.</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13" w:name="page114"/>
    <w:bookmarkEnd w:id="113"/>
    <w:p>
      <w:pPr>
        <w:ind w:left="240"/>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Never agree with competitors to fix prices or divide markets.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Never enter into any understanding with a competitor that restricts either party’s discretion to manufacture any products or provide any service, or that limits selling to, or buying from, a third party.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Never, without first consulting the General Counsel, enter into any understanding with a customer that might:</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Restrict a customer’s discretion to use or resell one of RCP’s products; and/or</w:t>
      </w:r>
    </w:p>
    <w:p>
      <w:pPr>
        <w:spacing w:after="0" w:line="184" w:lineRule="exact"/>
        <w:rPr>
          <w:rFonts w:ascii="Arial" w:cs="Arial" w:eastAsia="Arial" w:hAnsi="Arial"/>
          <w:sz w:val="18"/>
          <w:szCs w:val="18"/>
          <w:color w:val="auto"/>
        </w:rPr>
      </w:pPr>
    </w:p>
    <w:p>
      <w:pPr>
        <w:ind w:left="1300" w:hanging="442"/>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Condition the sale of a product or service on the customer’s purchase of another product or service from RCP.</w:t>
      </w:r>
    </w:p>
    <w:p>
      <w:pPr>
        <w:spacing w:after="0" w:line="184" w:lineRule="exact"/>
        <w:rPr>
          <w:rFonts w:ascii="Arial" w:cs="Arial" w:eastAsia="Arial" w:hAnsi="Arial"/>
          <w:sz w:val="18"/>
          <w:szCs w:val="18"/>
          <w:color w:val="auto"/>
        </w:rPr>
      </w:pPr>
    </w:p>
    <w:p>
      <w:pPr>
        <w:ind w:left="880" w:right="60" w:hanging="440"/>
        <w:spacing w:after="0" w:line="26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Contact the General Counsel for prior approval before any meeting with a competitor. Never discuss prices, costs, sales, profits, market shares or other competitive subjects with competitors. If such matters enter into the discussion, stop the discussion, or leave the meeting or social gathering, and notify the General Counsel.</w:t>
      </w:r>
    </w:p>
    <w:p>
      <w:pPr>
        <w:spacing w:after="0" w:line="143"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Report any activities that appear contrary to the antitrust laws to the General Counsel, or report suspected violations by calling the toll-free ethics and compliance line.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Anti-Bribery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RCP complies with all applicable laws and regulations wherever we do business. Almost every country in the world prohibits making payments or offers of anything of value to government officials, political parties or candidates in order to obtain or retain business. These laws include the U.S. Foreign Corrupt Practice Act (FCPA), the U.K. Bribery Act of 2010 (the UK Bribery Act) and similar laws in other jurisdictions.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0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Foreign Corrupt Practices Act (FCPA) prohibits payments or offers of payments of anything of value to foreign officials, foreign political parties or candidates for foreign political office in order to obtain, keep, or direct business. Indirect payments of this nature made through an intermediary, such as a distributor or sales representative, are also illegal.</w:t>
      </w:r>
    </w:p>
    <w:p>
      <w:pPr>
        <w:spacing w:after="0" w:line="14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FCPA also requires that RCP maintain a system of internal accounting controls and keep accurate records of transactions and assets. The following activities are prohibited:</w:t>
      </w:r>
    </w:p>
    <w:p>
      <w:pPr>
        <w:spacing w:after="0" w:line="130" w:lineRule="exact"/>
        <w:rPr>
          <w:sz w:val="20"/>
          <w:szCs w:val="20"/>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Maintaining secret or unrecorded funds or assets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Falsifying records</w:t>
      </w:r>
    </w:p>
    <w:p>
      <w:pPr>
        <w:spacing w:after="0" w:line="184" w:lineRule="exact"/>
        <w:rPr>
          <w:rFonts w:ascii="Arial" w:cs="Arial" w:eastAsia="Arial" w:hAnsi="Arial"/>
          <w:sz w:val="18"/>
          <w:szCs w:val="18"/>
          <w:color w:val="auto"/>
        </w:rPr>
      </w:pPr>
    </w:p>
    <w:p>
      <w:pPr>
        <w:ind w:left="440" w:right="5080"/>
        <w:spacing w:after="0" w:line="519" w:lineRule="auto"/>
        <w:tabs>
          <w:tab w:leader="none" w:pos="872"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Providing misleading or incomplete financial information to an auditor The following actions are considered criminal by the UK Bribery Act of 2010:</w:t>
      </w: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Offering, promising or giving a bribe to another person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Requesting, agreeing to receive or accepting a bribe from another person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Bribing a foreign public official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of a company to prevent bribery (the Company is responsible for all persons associated with the Company)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4" w:name="page115"/>
    <w:bookmarkEnd w:id="114"/>
    <w:p>
      <w:pPr>
        <w:ind w:right="100" w:firstLine="432"/>
        <w:spacing w:after="0" w:line="263" w:lineRule="auto"/>
        <w:rPr>
          <w:sz w:val="20"/>
          <w:szCs w:val="20"/>
          <w:color w:val="auto"/>
        </w:rPr>
      </w:pPr>
      <w:r>
        <w:rPr>
          <w:rFonts w:ascii="Arial" w:cs="Arial" w:eastAsia="Arial" w:hAnsi="Arial"/>
          <w:sz w:val="18"/>
          <w:szCs w:val="18"/>
          <w:color w:val="auto"/>
        </w:rPr>
        <w:t>Note: The UK Bribery Act of 2010 can apply to companies doing business in the UK, not only to acts done in the UK. Therefore, it is important that all employees, wherever located, are aware of and comply with this law. Adhere to the related company policy. For additional information, consult the General Counsel.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98" w:lineRule="exact"/>
        <w:rPr>
          <w:sz w:val="20"/>
          <w:szCs w:val="20"/>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Comply with RCP’s procedures and act ethically and with integrity.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 not make any corrupt payment, regardless of amount, to foreign officials or personnel directly or through an intermediary.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 not use RCP’s assets for any unlawful or improper use.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 not create or maintain a secret or unrecorded fund or asset for any purpose.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Comply with RCP’s accounting policies and internal control procedures.</w:t>
      </w:r>
    </w:p>
    <w:p>
      <w:pPr>
        <w:spacing w:after="0" w:line="184" w:lineRule="exact"/>
        <w:rPr>
          <w:rFonts w:ascii="Arial" w:cs="Arial" w:eastAsia="Arial" w:hAnsi="Arial"/>
          <w:sz w:val="18"/>
          <w:szCs w:val="18"/>
          <w:color w:val="auto"/>
        </w:rPr>
      </w:pPr>
    </w:p>
    <w:p>
      <w:pPr>
        <w:ind w:left="880" w:right="920" w:hanging="440"/>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 not make any false or misleading entries in RCP’s records or make any payment on behalf of RCP without adequate supporting documentation.</w:t>
      </w:r>
    </w:p>
    <w:p>
      <w:pPr>
        <w:spacing w:after="0" w:line="129"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 any suspected acts of bribery or violations of RCP’s financial and accounting policies to your supervisor or the General Counsel; or report suspected violations by calling the toll-free ethics and compliance line for your location.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Entertainment and Gift Policy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Within the framework of their duties, employees shall only accept benefits related to their business activities in accordance with the policies of RCP. Employees are expected to exercise good judgment in each case, taking into account pertinent circumstances, including the character of the benefit, its purpose, its appearance, the positions of the persons providing and receiving the benefit, the business context, reciprocity, and applicable laws and social norms. All expenditures for entertainment or other benefits provided by RCP must be accurately recorded in the books and records of RCP. No exceptions should be made to the policy for the concerned employee without approval of the location manager.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Employees must not give or accept gifts where doing so would violate the law, including the FCPA or the UK Bribery Act of 2010, RCP policy, or, to the knowledge of the employee, any policy applicable to the other person giving or receiving the gift.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Employees must adhere to the following:</w:t>
      </w:r>
    </w:p>
    <w:p>
      <w:pPr>
        <w:spacing w:after="0" w:line="198" w:lineRule="exact"/>
        <w:rPr>
          <w:sz w:val="20"/>
          <w:szCs w:val="20"/>
          <w:color w:val="auto"/>
        </w:rPr>
      </w:pPr>
    </w:p>
    <w:p>
      <w:pPr>
        <w:ind w:left="880" w:hanging="440"/>
        <w:spacing w:after="0"/>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countries where gifts are accepted and expected by local custom, employees should always seek advice from the General Counsel.</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Under no circumstances should a benefit or entertainment be accepted or provided if it will obligate, or appear to obligate, the receiver.</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giving or accepting, requesting, or soliciting of inappropriate, lavish or repeated gifts or other benefits is always prohibited.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Money (cash, checks, or any form of transfer of currency) should never be given or accepted as a gift.</w:t>
      </w:r>
    </w:p>
    <w:p>
      <w:pPr>
        <w:spacing w:after="0" w:line="185"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Some locations may adopt local rules setting more specific limits on the acceptance of gifts, meals, or entertainment, such as particular monetary thresholds. Should your location have such local rules, they will be communicated to you and shall be in addition to the general principles outlined in this Code. If you have any questions, please consult the General Counsel.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Comply with RCP’s procedures and act ethically and with integrity.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 not make or accept any corrupt payment or bribe in any form, regardless of amount directly or through an intermediary.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 not accept or give money as a gift</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 not use RCP’s assets for any unlawful or improper use.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 not create or maintain a secret or unrecorded fund or asset for any purpose.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Comply with RCP’s accounting policies and internal control procedures.</w:t>
      </w:r>
    </w:p>
    <w:p>
      <w:pPr>
        <w:spacing w:after="0" w:line="184" w:lineRule="exact"/>
        <w:rPr>
          <w:rFonts w:ascii="Arial" w:cs="Arial" w:eastAsia="Arial" w:hAnsi="Arial"/>
          <w:sz w:val="18"/>
          <w:szCs w:val="18"/>
          <w:color w:val="auto"/>
        </w:rPr>
      </w:pPr>
    </w:p>
    <w:p>
      <w:pPr>
        <w:ind w:left="880" w:right="780" w:hanging="440"/>
        <w:spacing w:after="0" w:line="27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Do not make any false or misleading entries in RCP’s records or make any payment on behalf of RCP’s without adequate supporting documentation.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Economic Boycotts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RCP should never cooperate with any restrictive trade practice or boycott that is prohibited by the U.S. or other applicable laws. For example, U. S. laws prohibit participating in or cooperating with illegal economic boycotts supported by foreign nations, such as the Arab boycott of Israel. RCP, its employees worldwide, and its joint venture partners, agents, distributors, and other representatives, will strictly comply with the U.S. and other applicable local “anti-boycott” laws and policies.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02"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There are many other prohibited activities. Be alert to the possibility that boycott related provisions can appear in the “standard” language in documents such as contracts, letters of credit and shipping documents. As this is a complex legal area, if employees identify or receive any boycott related language or request, they should report it to their supervisor and the General Counsel. The U.S. law also requires that requests to take boycott-related actions (including requests to provide information or to agree to boycott-related terms) be reported to the U.S. Government. Other or different requirements may apply in different jurisdictions. Employees may contact the General Counsel to obtain a current boycott listing or obtain additional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“illegal boycott request” may include any request from a third party to take any of the following described actions against a country or countries:</w:t>
      </w:r>
    </w:p>
    <w:p>
      <w:pPr>
        <w:spacing w:after="0" w:line="208" w:lineRule="exact"/>
        <w:rPr>
          <w:sz w:val="20"/>
          <w:szCs w:val="20"/>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Refusal to do business with a country, or with other persons or entities that do business in or with a country.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Furnishing information about business relationships with or in a country</w:t>
      </w:r>
    </w:p>
    <w:p>
      <w:pPr>
        <w:spacing w:after="0" w:line="184" w:lineRule="exact"/>
        <w:rPr>
          <w:rFonts w:ascii="Arial" w:cs="Arial" w:eastAsia="Arial" w:hAnsi="Arial"/>
          <w:sz w:val="18"/>
          <w:szCs w:val="18"/>
          <w:color w:val="auto"/>
        </w:rPr>
      </w:pPr>
    </w:p>
    <w:p>
      <w:pPr>
        <w:ind w:left="880" w:right="700" w:hanging="440"/>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Discriminating against someone based on race, religion, sex, national origin except in cases where such information is related to valid government documents such as visas</w:t>
      </w:r>
    </w:p>
    <w:p>
      <w:pPr>
        <w:spacing w:after="0" w:line="129"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Executing business documents such as contracts, letters of credit or warranties that contain illegal boycott requests (such as prohibiting a country’s product content, product delivery through a country, business dealings with a country, etc.)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98" w:lineRule="exact"/>
        <w:rPr>
          <w:sz w:val="20"/>
          <w:szCs w:val="20"/>
          <w:color w:val="auto"/>
        </w:rPr>
      </w:pPr>
    </w:p>
    <w:p>
      <w:pPr>
        <w:ind w:left="5540" w:right="1880" w:hanging="5100"/>
        <w:spacing w:after="0" w:line="731" w:lineRule="auto"/>
        <w:tabs>
          <w:tab w:leader="none" w:pos="8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Do not refuse (or agree to refuse) to do business with illegally boycotted countries, blacklisted persons or companies.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6" w:name="page117"/>
    <w:bookmarkEnd w:id="116"/>
    <w:p>
      <w:pPr>
        <w:ind w:left="880" w:right="540" w:hanging="440"/>
        <w:spacing w:after="0" w:line="342"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 not furnish (or agree to furnish) information or certifications regarding employees’ race, religion, sex, national origin, or business relationships with blacklisted companies. Remember that these requests may be hidden in the fine print of contracts or other documents.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Exports and International Trade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RCP’s worldwide operations require an awareness of international trade laws. RCP, all its employees worldwide, and its joint venture partners, agents, distributors and other representatives will comply with these laws, including applicable trade sanctions, economic embargoes, and export and re-export controls.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export of goods and technology (including transfers with no sale) from many countries is regulated by a number of very complicated laws and regulations. There are many factors in determining whether a product or technology can be exported, including the nature of the item, the country of destination, and the end-user or end-use. Export restrictions apply not only to the export of goods and services, but also to the licensing of software and the transfer of technology in many forms - such as plans, designs, training, consulting, and technical assistance. These restrictions can also apply to products based on another country’s technology or that contain another country’s parts or components. Exporting goods or technology without the appropriate government approvals can result in the loss of export privileges and can subject a company to both civil and criminal penalties. For example, the United States generally prohibits or restricts all trade, investment and transactions involving the following countries: Burma (Myanmar), the Crimea region, Cuba, Iran, North Korea, Sudan and Syria. Other countries’ prohibitions or restrictions may vary. These lists change regularly, so employees should check with the General Counsel regarding an updated list. For further information, consult the General Counsel.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Be familiar with applicable export control laws, trade sanctions, and embargoes if you work on programs involving international trade.</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 complete and accurate records of international transactions.</w:t>
      </w:r>
    </w:p>
    <w:p>
      <w:pPr>
        <w:spacing w:after="0" w:line="184" w:lineRule="exact"/>
        <w:rPr>
          <w:rFonts w:ascii="Arial" w:cs="Arial" w:eastAsia="Arial" w:hAnsi="Arial"/>
          <w:sz w:val="18"/>
          <w:szCs w:val="18"/>
          <w:color w:val="auto"/>
        </w:rPr>
      </w:pPr>
    </w:p>
    <w:p>
      <w:pPr>
        <w:ind w:left="880" w:right="780" w:hanging="440"/>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Consult the General Counsel anytime you are dealing with a product or technology intended for export. You must have the necessary government approvals before proceeding with the export.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Accurately complete any export control document.</w:t>
      </w:r>
    </w:p>
    <w:p>
      <w:pPr>
        <w:spacing w:after="0" w:line="184"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Watch out for transactions that could be a “cover” for prohibited sales by diverting the goods through various corporations or countries not subject to restrictions.</w:t>
      </w:r>
    </w:p>
    <w:p>
      <w:pPr>
        <w:spacing w:after="0" w:line="129"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Screen all international transactions to ensure against dealings with any individuals or entities on lists of proscribed parties maintained by the U.S. Government.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Controls and Records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A variety of laws requires RCP to record, preserve, and report financial information to lenders and government agencies. This information must present fairly RCP’s financial position and the results of our operations. Employees involved in preparing, processing and recording such information will be held responsible for its timeliness, completeness and accuracy.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RCP must maintain a comprehensive internal control structure and procedures. This internal control structure and procedures are designed to: provide reasonable assurance that RCP’s books and records accurately reflect our transactions; assets are protected from unauthorized use or disposition; financial data and reports are safeguarded against material fraud and error; and financial statements are prepared in conformity with RCP’s accounting rules and principles and with local regulations and local accounting principles. Where RCP’s requirements differ from local requirements employees must consult the Controller.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7" w:name="page118"/>
    <w:bookmarkEnd w:id="117"/>
    <w:p>
      <w:pPr>
        <w:ind w:firstLine="432"/>
        <w:spacing w:after="0" w:line="254" w:lineRule="auto"/>
        <w:rPr>
          <w:sz w:val="20"/>
          <w:szCs w:val="20"/>
          <w:color w:val="auto"/>
        </w:rPr>
      </w:pPr>
      <w:r>
        <w:rPr>
          <w:rFonts w:ascii="Arial" w:cs="Arial" w:eastAsia="Arial" w:hAnsi="Arial"/>
          <w:sz w:val="18"/>
          <w:szCs w:val="18"/>
          <w:color w:val="auto"/>
        </w:rPr>
        <w:t>No funds or other assets belonging to the RCP or derived from its operations (regardless of the purposes or the use to which the assets are applied) may be maintained in any account not appropriately reflected in our books and records and subject to audit by Internal Auditing and its independent accountants. No false or fictitious entry may be made on the books and records of RCP, nor any entry made which does not truly reflect the nature of the transaction recorded. Where an inadvertent error is discovered, it will be reported to appropriate internal management and be corrected as soon as possible, leaving an appropriate audit trail to reflect the correction. Accurate and adequate supporting documents are required for all transactions and accountability for assets is to be maintained at all times. Financial and operating information reported internally and externally is to be current, accurate, complete and timely.</w:t>
      </w:r>
    </w:p>
    <w:p>
      <w:pPr>
        <w:spacing w:after="0" w:line="154"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To assure effective internal controls, RCP will maintain an internal audit staff which conducts an ongoing internal audit program to test and evaluate the effectiveness of our internal control structure and procedures. Internal Audit is responsible for independently evaluating and promoting effective internal controls.</w:t>
      </w:r>
    </w:p>
    <w:p>
      <w:pPr>
        <w:spacing w:after="0" w:line="157" w:lineRule="exact"/>
        <w:rPr>
          <w:sz w:val="20"/>
          <w:szCs w:val="20"/>
          <w:color w:val="auto"/>
        </w:rPr>
      </w:pPr>
    </w:p>
    <w:p>
      <w:pPr>
        <w:ind w:right="160" w:firstLine="432"/>
        <w:spacing w:after="0" w:line="311" w:lineRule="auto"/>
        <w:rPr>
          <w:sz w:val="20"/>
          <w:szCs w:val="20"/>
          <w:color w:val="auto"/>
        </w:rPr>
      </w:pPr>
      <w:r>
        <w:rPr>
          <w:rFonts w:ascii="Arial" w:cs="Arial" w:eastAsia="Arial" w:hAnsi="Arial"/>
          <w:sz w:val="16"/>
          <w:szCs w:val="16"/>
          <w:color w:val="auto"/>
        </w:rPr>
        <w:t>RCP also seeks to assure the accuracy, objectivity and integrity of its financial records and data by developing and distributing written policies and procedures. RCP selects and trains qualified employees, maintains organizational structures and arrangements with defined lines of responsibility and delegation of authority, and conducts regular reviews of financial practices, records, and results to ensure the numbers are correct.</w:t>
      </w:r>
    </w:p>
    <w:p>
      <w:pPr>
        <w:spacing w:after="0" w:line="10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RCP’s management and all employees must continuously seek to assure that internal control over financial reporting is effective. For further information on Financial Controls and Records, consult the location Controller.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98" w:lineRule="exact"/>
        <w:rPr>
          <w:sz w:val="20"/>
          <w:szCs w:val="20"/>
          <w:color w:val="auto"/>
        </w:rPr>
      </w:pPr>
    </w:p>
    <w:p>
      <w:pPr>
        <w:ind w:left="880" w:hanging="440"/>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Make appropriate and timely entries in RCP’s books and records to record all transactions.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Diligently perform, and adequately document the performance of, all control procedures you are responsible for.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 not make an inaccurate, false, or misleading entry in RCP’s books and records.</w:t>
      </w:r>
    </w:p>
    <w:p>
      <w:pPr>
        <w:spacing w:after="0" w:line="184"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Do not make or approve payments without adequate supporting information or if any part of the payment is to be used for any purpose other than the purpose described in the supporting documentation.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you participate in the preparation of financial reports, know and follow RCP’s accounting and internal control procedures.</w:t>
      </w:r>
    </w:p>
    <w:p>
      <w:pPr>
        <w:spacing w:after="0" w:line="184" w:lineRule="exact"/>
        <w:rPr>
          <w:rFonts w:ascii="Arial" w:cs="Arial" w:eastAsia="Arial" w:hAnsi="Arial"/>
          <w:sz w:val="18"/>
          <w:szCs w:val="18"/>
          <w:color w:val="auto"/>
        </w:rPr>
      </w:pPr>
    </w:p>
    <w:p>
      <w:pPr>
        <w:ind w:left="880" w:right="600" w:hanging="440"/>
        <w:spacing w:after="0" w:line="308"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Report any inaccurate, false, or misleading records to your supervisor, the Controller, the Internal Audit Manager for RCP, the General Counsel, or report suspected violations by calling the toll-free ethics and compliance line for your location.</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Political Contributions and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right="740" w:firstLine="432"/>
        <w:spacing w:after="0" w:line="342" w:lineRule="auto"/>
        <w:rPr>
          <w:sz w:val="20"/>
          <w:szCs w:val="20"/>
          <w:color w:val="auto"/>
        </w:rPr>
      </w:pPr>
      <w:r>
        <w:rPr>
          <w:rFonts w:ascii="Arial" w:cs="Arial" w:eastAsia="Arial" w:hAnsi="Arial"/>
          <w:sz w:val="16"/>
          <w:szCs w:val="16"/>
          <w:color w:val="auto"/>
        </w:rPr>
        <w:t>Employee participation in government elections and the political process must be undertaken on their own time and expense. No corporate contributions or assets may be used to support specific issues, candidates, or political parties without the approval of the General Counsel.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189"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Any political activities (lobbying, donations, public positions, etc.) by or in the name of RCP must be approved by RCP’s CEO and Group Legal Counsel. Nothing in this policy is intended to restrict in any way any persons from participating in political activities of any type; however, unless specifically approved in advance no person should use RCP’s resources for political activities or attribute any political position to RCP or any of its employees. For further information, consult the General Counsel.</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Know and obey restrictions imposed by law upon personal and corporate participation in politics.</w:t>
      </w:r>
    </w:p>
    <w:p>
      <w:pPr>
        <w:spacing w:after="0" w:line="184"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RCP’s contact with public and elected officials is regulated by a variety of laws and regulations. Any dealings with these officials regarding RCP must be coordinated with the General Counsel.</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Never represent your personal political activity as being RCP.</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Never use RCP or its assets or employees in support of political activities without approval of the General Counsel.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Stewardship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committed to responsible environmental behavior. We will conduct business with respect and care for the environment and the communities in which we work. We must obtain environmental permits when required, understand the terms and conditions and follow the rules. If something occurs in our facility that might harm employees or the community, we communicate these situations as appropriate and develop a plan to correct them effectively and quickly.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w:t>
      </w:r>
    </w:p>
    <w:p>
      <w:pPr>
        <w:spacing w:after="0" w:line="202"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We will implement responsible programs and processes to eliminate and/or minimize environmental incidents. When it is financially and technologically feasible, material will be reused and/or recycled to minimize the need for treatment or disposal to conserve resources. Where waste is generated, it will be handled and disposed of safely, responsibly and in conformance with applicable regulations. We respond truthfully and responsibly to questions and concerns about our environmental actions. Adhere to all company policies related to the environment. For further information on Environmental Stewardship, consult the location environmental representative at your location or the General Counsel.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Understand and follow RCP and its business segments’ environmental policy, procedures and principles.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Understand the specific environmental requirements for your job function.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Conduct all activities in accordance with applicable environmental laws, regulations, permits, and facility policy.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Ensure that environmental records, documents and labels are complete, accurate, and truthful.</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Handle, store, and dispose of hazardous materials using identified methods and practices.</w:t>
      </w:r>
    </w:p>
    <w:p>
      <w:pPr>
        <w:spacing w:after="0" w:line="184" w:lineRule="exact"/>
        <w:rPr>
          <w:rFonts w:ascii="Arial" w:cs="Arial" w:eastAsia="Arial" w:hAnsi="Arial"/>
          <w:sz w:val="18"/>
          <w:szCs w:val="18"/>
          <w:color w:val="auto"/>
        </w:rPr>
      </w:pPr>
    </w:p>
    <w:p>
      <w:pPr>
        <w:ind w:left="880" w:right="60" w:hanging="440"/>
        <w:spacing w:after="0" w:line="263"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Report immediately to your supervisor or local RCP environmental representative, any unpermitted leaks, spills or releases, or any potential or suspected violation of environmental guidelines; or report suspected violations by calling the toll-free ethics and compliance line for your location.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Violations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8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Ensuring compliance with Code is the responsibility of all employees. We urge all employees to familiarize themselves with this Code, and raise any questions they may have with their supervisor or HR or legal representative, as appropriate. RCP has established a toll-free hotline where violations of any health, safety or environmental concerns, any suspected violations or concerns regarding bribery or banking and financial crime, and, where permitted by law, other violations of this Code may be reported. Employees, officers and directors should promptly report any concerns about accounting, internal accounting controls or auditing matters to the Audit Committee of the Board of Directors. These procedures allow you to report matters anonymously; however, if you</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9" w:name="page120"/>
    <w:bookmarkEnd w:id="119"/>
    <w:p>
      <w:pPr>
        <w:jc w:val="both"/>
        <w:ind w:right="180"/>
        <w:spacing w:after="0" w:line="259" w:lineRule="auto"/>
        <w:rPr>
          <w:sz w:val="20"/>
          <w:szCs w:val="20"/>
          <w:color w:val="auto"/>
        </w:rPr>
      </w:pPr>
      <w:r>
        <w:rPr>
          <w:rFonts w:ascii="Arial" w:cs="Arial" w:eastAsia="Arial" w:hAnsi="Arial"/>
          <w:sz w:val="18"/>
          <w:szCs w:val="18"/>
          <w:color w:val="auto"/>
        </w:rPr>
        <w:t>identify yourself, we will be able to follow up with you and provide feedback. In any case, confidentiality is respected: your identity and the information you provide will be shared only on a “need-to-know” basis with those responsible for resolving the concern. RCP absolutely prohibits retaliation against anyone who in good faith raises or helps to address a violation of this Code or other ethics or integrity concerns. We also respect all laws concerning the collection and use of personal data and other privacy laws.</w:t>
      </w:r>
    </w:p>
    <w:p>
      <w:pPr>
        <w:spacing w:after="0" w:line="146"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Any concerns about a violation of ethics, laws, rules, regulations or this Code by any senior executive officer or director should be reported promptly to the General Counsel. Any such concerns involving the General Counsel should be reported to the Compensation, Nominating and Corporate Governance Committee.</w:t>
      </w:r>
    </w:p>
    <w:p>
      <w:pPr>
        <w:spacing w:after="0" w:line="157"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If you become aware of an internal investigation, or if you are asked to provide information or to assist with an internal investigation: (1) you may not discuss anything about the investigation with any person, either inside or outside of RCP, without the express consent of those authorized to conduct the investigation; (2) you are required to disclose any relevant information in a complete and truthful manner, and to cooperate fully with the authorized investigation team throughout the course of the investigation; and (3) if you interfere with or provide false information in the course of the investigation, you may be subject to disciplinary action. For additional information, contact your Human Resources Representative.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Responsibilities</w:t>
      </w:r>
    </w:p>
    <w:p>
      <w:pPr>
        <w:spacing w:after="0" w:line="185" w:lineRule="exact"/>
        <w:rPr>
          <w:sz w:val="20"/>
          <w:szCs w:val="20"/>
          <w:color w:val="auto"/>
        </w:rPr>
      </w:pPr>
    </w:p>
    <w:p>
      <w:pPr>
        <w:ind w:left="880" w:hanging="440"/>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Familiarize yourself with this Code.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Understand when you might use RCP’s toll free hotline.</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Respect anyone who in good faith raises or helps address a violation of this Code or other ethics or integrity concern.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Respect the privacy and personal data of others.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Co-operate fully with any internal investigation with which you are asked to assist.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Violations to a Governmental Agency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understand that you have the right to:</w:t>
      </w:r>
    </w:p>
    <w:p>
      <w:pPr>
        <w:spacing w:after="0" w:line="185" w:lineRule="exact"/>
        <w:rPr>
          <w:sz w:val="20"/>
          <w:szCs w:val="20"/>
          <w:color w:val="auto"/>
        </w:rPr>
      </w:pPr>
    </w:p>
    <w:p>
      <w:pPr>
        <w:ind w:left="880" w:right="360" w:hanging="440"/>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Report possible violations of state or federal law or regulation that have occurred, are occurring, or are about to occur to any governmental agency or entity, or self-regulatory organization;</w:t>
      </w:r>
    </w:p>
    <w:p>
      <w:pPr>
        <w:spacing w:after="0" w:line="129"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Cooperate voluntarily with, or respond to any inquiry from, or provide testimony before any self-regulatory organization or any other federal, state or local regulatory or law enforcement authority;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Make reports or disclosures to law enforcement or a regulatory authority without prior notice to, or authorization from, the Company; and</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Respond truthfully to a valid subpoena.</w:t>
      </w:r>
    </w:p>
    <w:p>
      <w:pPr>
        <w:spacing w:after="0" w:line="18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You have the right to not be retaliated against for reporting, either internally to the Company or to any governmental agency or entity or self-regulatory organization, information which you reasonably believe relates to a possible violation of law. It is a violation of federal law to retaliate against anyone who has reported such potential misconduct either internally or to any governmental agency or entity or self-regulatory organization. Retaliatory conduct includes discharge, demotion, suspension, threats, harassment, and any other manner of discrimination in the terms and conditions of employment because of any lawful act you may have performed. It is unlawful for the company to retaliate against you for reporting possible misconduct either internally or to any governmental agency or entity or self-regulatory organization.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0" w:name="page121"/>
    <w:bookmarkEnd w:id="120"/>
    <w:p>
      <w:pPr>
        <w:ind w:right="20" w:firstLine="432"/>
        <w:spacing w:after="0" w:line="263" w:lineRule="auto"/>
        <w:rPr>
          <w:sz w:val="20"/>
          <w:szCs w:val="20"/>
          <w:color w:val="auto"/>
        </w:rPr>
      </w:pPr>
      <w:r>
        <w:rPr>
          <w:rFonts w:ascii="Arial" w:cs="Arial" w:eastAsia="Arial" w:hAnsi="Arial"/>
          <w:sz w:val="18"/>
          <w:szCs w:val="18"/>
          <w:color w:val="auto"/>
        </w:rPr>
        <w:t>Notwithstanding anything contained in this Code or otherwise, you may disclose confidential Company information, including the existence and terms of any confidential agreements between yourself and the Company (including employment or severance agreements), to any governmental agency or entity or self-regulatory organization.</w:t>
      </w:r>
    </w:p>
    <w:p>
      <w:pPr>
        <w:spacing w:after="0" w:line="14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Company cannot require you to withdraw reports or filings alleging possible violations of federal, state or local law or regulation, and the company may not offer you any kind of inducement, including payment, to do so.</w:t>
      </w:r>
    </w:p>
    <w:p>
      <w:pPr>
        <w:spacing w:after="0" w:line="14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Your rights and remedies as a whistleblower protected under applicable whistleblower laws, including a monetary award, if any, may not be waived by any agreement, policy form, or condition of employment, including by a predispute arbitration agreement.</w:t>
      </w:r>
    </w:p>
    <w:p>
      <w:pPr>
        <w:spacing w:after="0" w:line="13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Even if you have participated in a possible violation of law, you may be eligible to participate in the confidentiality and retaliation protections afforded under applicable whistleblower laws, and you may also be eligible to receive an award under such laws.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Waivers and Amendments</w:t>
      </w:r>
    </w:p>
    <w:p>
      <w:pPr>
        <w:spacing w:after="0" w:line="192" w:lineRule="exact"/>
        <w:rPr>
          <w:sz w:val="20"/>
          <w:szCs w:val="20"/>
          <w:color w:val="auto"/>
        </w:rPr>
      </w:pPr>
    </w:p>
    <w:p>
      <w:pPr>
        <w:ind w:right="140" w:firstLine="432"/>
        <w:spacing w:after="0" w:line="274" w:lineRule="auto"/>
        <w:rPr>
          <w:sz w:val="20"/>
          <w:szCs w:val="20"/>
          <w:color w:val="auto"/>
        </w:rPr>
      </w:pPr>
      <w:r>
        <w:rPr>
          <w:rFonts w:ascii="Arial" w:cs="Arial" w:eastAsia="Arial" w:hAnsi="Arial"/>
          <w:sz w:val="17"/>
          <w:szCs w:val="17"/>
          <w:color w:val="auto"/>
        </w:rPr>
        <w:t>Any waiver of the provisions in this Code for executive officers or directors may only be granted by the Board of Directors and will be disclosed to the Company’s shareholders within four business days. Any waiver of this Code for other employees may only be granted by the Legal</w:t>
      </w:r>
    </w:p>
    <w:p>
      <w:pPr>
        <w:ind w:right="720"/>
        <w:spacing w:after="0" w:line="323" w:lineRule="auto"/>
        <w:rPr>
          <w:sz w:val="20"/>
          <w:szCs w:val="20"/>
          <w:color w:val="auto"/>
        </w:rPr>
      </w:pPr>
      <w:r>
        <w:rPr>
          <w:rFonts w:ascii="Arial" w:cs="Arial" w:eastAsia="Arial" w:hAnsi="Arial"/>
          <w:sz w:val="16"/>
          <w:szCs w:val="16"/>
          <w:color w:val="auto"/>
        </w:rPr>
        <w:t>Department. Amendments to this Code must be approved by the Compensation, Nominating and Governance Committee and amendments of the provisions in this Code applicable to the CEO and the senior financial officers will also be promptly disclosed to the Company’s shareholders.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02"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Each employee shall receive a copy of this policy at their hire date; or upon request. It is the duty of management to make this policy accessible to all employees, contractors, vendors via the corporate website at ReynoldsConsumerProducts.com and to employees via the corporate internet site. Management shall monitor compliance with the policies and, if need be, implement special monitoring programs. Non-compliance with the policy by employees may result in disciplinary action, including dismissal. For additional information, contact your Human Resources Representative.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w:t>
      </w:r>
    </w:p>
    <w:p>
      <w:pPr>
        <w:spacing w:after="0" w:line="175" w:lineRule="exact"/>
        <w:rPr>
          <w:sz w:val="20"/>
          <w:szCs w:val="20"/>
          <w:color w:val="auto"/>
        </w:rPr>
      </w:pPr>
    </w:p>
    <w:p>
      <w:pPr>
        <w:jc w:val="both"/>
        <w:ind w:right="300" w:firstLine="432"/>
        <w:spacing w:after="0" w:line="266" w:lineRule="auto"/>
        <w:rPr>
          <w:sz w:val="20"/>
          <w:szCs w:val="20"/>
          <w:color w:val="auto"/>
        </w:rPr>
      </w:pPr>
      <w:r>
        <w:rPr>
          <w:rFonts w:ascii="Arial" w:cs="Arial" w:eastAsia="Arial" w:hAnsi="Arial"/>
          <w:sz w:val="18"/>
          <w:szCs w:val="18"/>
          <w:b w:val="1"/>
          <w:bCs w:val="1"/>
          <w:color w:val="auto"/>
        </w:rPr>
        <w:t xml:space="preserve">Bribery </w:t>
      </w:r>
      <w:r>
        <w:rPr>
          <w:rFonts w:ascii="Arial" w:cs="Arial" w:eastAsia="Arial" w:hAnsi="Arial"/>
          <w:sz w:val="18"/>
          <w:szCs w:val="18"/>
          <w:color w:val="auto"/>
        </w:rPr>
        <w:t>- A bribe is an inducement or reward offered, promised or provided in order to gain any commercial, contractual, regulatory or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The advantage sought or the inducement offered does not have to be financial or remunerative in nature, and may take the form of improper performance of an activity or function.</w:t>
      </w:r>
    </w:p>
    <w:p>
      <w:pPr>
        <w:spacing w:after="0" w:line="149" w:lineRule="exact"/>
        <w:rPr>
          <w:sz w:val="20"/>
          <w:szCs w:val="20"/>
          <w:color w:val="auto"/>
        </w:rPr>
      </w:pPr>
    </w:p>
    <w:p>
      <w:pPr>
        <w:ind w:right="80" w:firstLine="432"/>
        <w:spacing w:after="0" w:line="282" w:lineRule="auto"/>
        <w:rPr>
          <w:sz w:val="20"/>
          <w:szCs w:val="20"/>
          <w:color w:val="auto"/>
        </w:rPr>
      </w:pPr>
      <w:r>
        <w:rPr>
          <w:rFonts w:ascii="Arial" w:cs="Arial" w:eastAsia="Arial" w:hAnsi="Arial"/>
          <w:sz w:val="18"/>
          <w:szCs w:val="18"/>
          <w:b w:val="1"/>
          <w:bCs w:val="1"/>
          <w:color w:val="auto"/>
        </w:rPr>
        <w:t xml:space="preserve">Conflict of Interest </w:t>
      </w:r>
      <w:r>
        <w:rPr>
          <w:rFonts w:ascii="Arial" w:cs="Arial" w:eastAsia="Arial" w:hAnsi="Arial"/>
          <w:sz w:val="18"/>
          <w:szCs w:val="18"/>
          <w:color w:val="auto"/>
        </w:rPr>
        <w:t>- A situation in which a person has a private or personal interest sufficient to appear to influence the objective exercise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official duties as an employee, a public official, or a professional.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FCPA </w:t>
      </w:r>
      <w:r>
        <w:rPr>
          <w:rFonts w:ascii="Arial" w:cs="Arial" w:eastAsia="Arial" w:hAnsi="Arial"/>
          <w:sz w:val="18"/>
          <w:szCs w:val="18"/>
          <w:color w:val="auto"/>
        </w:rPr>
        <w:t>- Foreign Corrupt Practices Act, a U.S. statute concerning the bribery of foreign officials.</w:t>
      </w:r>
    </w:p>
    <w:p>
      <w:pPr>
        <w:spacing w:after="0" w:line="185" w:lineRule="exact"/>
        <w:rPr>
          <w:sz w:val="20"/>
          <w:szCs w:val="20"/>
          <w:color w:val="auto"/>
        </w:rPr>
      </w:pPr>
    </w:p>
    <w:p>
      <w:pPr>
        <w:ind w:right="20" w:firstLine="432"/>
        <w:spacing w:after="0" w:line="266" w:lineRule="auto"/>
        <w:rPr>
          <w:sz w:val="20"/>
          <w:szCs w:val="20"/>
          <w:color w:val="auto"/>
        </w:rPr>
      </w:pPr>
      <w:r>
        <w:rPr>
          <w:rFonts w:ascii="Arial" w:cs="Arial" w:eastAsia="Arial" w:hAnsi="Arial"/>
          <w:sz w:val="18"/>
          <w:szCs w:val="18"/>
          <w:b w:val="1"/>
          <w:bCs w:val="1"/>
          <w:color w:val="auto"/>
        </w:rPr>
        <w:t xml:space="preserve">Fraud </w:t>
      </w:r>
      <w:r>
        <w:rPr>
          <w:rFonts w:ascii="Arial" w:cs="Arial" w:eastAsia="Arial" w:hAnsi="Arial"/>
          <w:sz w:val="18"/>
          <w:szCs w:val="18"/>
          <w:color w:val="auto"/>
        </w:rPr>
        <w:t>- Fraud is a deliberate, intentional and premeditated dishonest act or omission acted out from a position of trust or authority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deceiving to gain advantage for themselves or others, or to cause loss to RCP. It includes acts such as theft, making false statements or representations, evasion, manipulation of information, criminal deception and abuse of property or time.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Irregular Activity </w:t>
      </w:r>
      <w:r>
        <w:rPr>
          <w:rFonts w:ascii="Arial" w:cs="Arial" w:eastAsia="Arial" w:hAnsi="Arial"/>
          <w:sz w:val="17"/>
          <w:szCs w:val="17"/>
          <w:color w:val="auto"/>
        </w:rPr>
        <w:t>- Irregular activity is defined as not acting in accordance with applicable laws, rules, or established policies and procedures.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Irregular activity includes, but is not limited to, bribery, conflict of interest, and fraud.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RCP </w:t>
      </w:r>
      <w:r>
        <w:rPr>
          <w:rFonts w:ascii="Arial" w:cs="Arial" w:eastAsia="Arial" w:hAnsi="Arial"/>
          <w:sz w:val="18"/>
          <w:szCs w:val="18"/>
          <w:color w:val="auto"/>
        </w:rPr>
        <w:t>- Reynolds Consumer Products Inc.</w:t>
      </w:r>
    </w:p>
    <w:p>
      <w:pPr>
        <w:spacing w:after="0" w:line="185" w:lineRule="exact"/>
        <w:rPr>
          <w:sz w:val="20"/>
          <w:szCs w:val="20"/>
          <w:color w:val="auto"/>
        </w:rPr>
      </w:pPr>
    </w:p>
    <w:p>
      <w:pPr>
        <w:ind w:right="160" w:firstLine="432"/>
        <w:spacing w:after="0" w:line="282" w:lineRule="auto"/>
        <w:rPr>
          <w:sz w:val="20"/>
          <w:szCs w:val="20"/>
          <w:color w:val="auto"/>
        </w:rPr>
      </w:pPr>
      <w:r>
        <w:rPr>
          <w:rFonts w:ascii="Arial" w:cs="Arial" w:eastAsia="Arial" w:hAnsi="Arial"/>
          <w:sz w:val="18"/>
          <w:szCs w:val="18"/>
          <w:b w:val="1"/>
          <w:bCs w:val="1"/>
          <w:color w:val="auto"/>
        </w:rPr>
        <w:t xml:space="preserve">Risk Assessment </w:t>
      </w:r>
      <w:r>
        <w:rPr>
          <w:rFonts w:ascii="Arial" w:cs="Arial" w:eastAsia="Arial" w:hAnsi="Arial"/>
          <w:sz w:val="18"/>
          <w:szCs w:val="18"/>
          <w:color w:val="auto"/>
        </w:rPr>
        <w:t>- A process that analyzes the risks, including fraud risks, that may prejudice or prevent achievement of organizational objectives,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determines whether those risks are to be prevented.</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341" w:right="3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333-236204) of Reynolds Consumer Products Inc. of our report dated March 10, 2020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2020</w:t>
      </w:r>
    </w:p>
    <w:p>
      <w:pPr>
        <w:sectPr>
          <w:pgSz w:w="11900" w:h="16838" w:orient="portrait"/>
          <w:cols w:equalWidth="0" w:num="1">
            <w:col w:w="11240"/>
          </w:cols>
          <w:pgMar w:left="320" w:top="36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Lance Mitchell, certify that:</w:t>
      </w:r>
    </w:p>
    <w:p>
      <w:pPr>
        <w:spacing w:after="0" w:line="225" w:lineRule="exact"/>
        <w:rPr>
          <w:sz w:val="20"/>
          <w:szCs w:val="20"/>
          <w:color w:val="auto"/>
        </w:rPr>
      </w:pPr>
    </w:p>
    <w:p>
      <w:pPr>
        <w:ind w:left="580" w:hanging="572"/>
        <w:spacing w:after="0"/>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Reynolds Consumer Products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March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Lance Mitchell</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Graham, certify that:</w:t>
      </w:r>
    </w:p>
    <w:p>
      <w:pPr>
        <w:spacing w:after="0" w:line="225"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Reynolds Consumer Products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March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In connection with the Annual Report of Reynolds Consumer Products Inc. (the “Company”) on Form 10-K for the period ending December 31, 2019 as filed with the Securities and Exchange Commission on the date hereof (the “Report”), I, Lance Mitchell, President and Chief Executive Officer,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March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Lance Mitchell</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connection with the Annual Report of Reynolds Consumer Products Inc. (the “Company”) on Form 10-K for the period ending December 31, 2019 as filed with the Securities and Exchange Commission on the date hereof (the “Report”), I, Michael Graham, Chief Financial Officer,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March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4"/>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½"/>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lvl w:ilvl="1">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jpeg"/><Relationship Id="rId168" Type="http://schemas.openxmlformats.org/officeDocument/2006/relationships/image" Target="media/image129.jpe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22" Type="http://schemas.openxmlformats.org/officeDocument/2006/relationships/hyperlink" Target="http://www.sec.gov/Archives/edgar/data/0001786431/000119312520024304/d874780dex31.htm" TargetMode="External"/><Relationship Id="rId123" Type="http://schemas.openxmlformats.org/officeDocument/2006/relationships/hyperlink" Target="http://www.sec.gov/Archives/edgar/data/0001786431/000119312520024304/d874780dex32.htm" TargetMode="External"/><Relationship Id="rId124" Type="http://schemas.openxmlformats.org/officeDocument/2006/relationships/hyperlink" Target="http://www.sec.gov/Archives/edgar/data/0001786431/000119312519293392/d769843dex101.htm" TargetMode="External"/><Relationship Id="rId125" Type="http://schemas.openxmlformats.org/officeDocument/2006/relationships/hyperlink" Target="http://www.sec.gov/Archives/edgar/data/0001786431/000095010320001611/dp119867_ex99.htm" TargetMode="External"/><Relationship Id="rId126" Type="http://schemas.openxmlformats.org/officeDocument/2006/relationships/hyperlink" Target="http://www.sec.gov/Archives/edgar/data/0001786431/000119312519293392/d769843dex103.htm" TargetMode="External"/><Relationship Id="rId127" Type="http://schemas.openxmlformats.org/officeDocument/2006/relationships/hyperlink" Target="http://www.sec.gov/Archives/edgar/data/0001786431/000119312519293392/d769843dex104.htm" TargetMode="External"/><Relationship Id="rId128" Type="http://schemas.openxmlformats.org/officeDocument/2006/relationships/hyperlink" Target="http://www.sec.gov/Archives/edgar/data/0001786431/000119312519293392/d769843dex105.htm" TargetMode="External"/><Relationship Id="rId129" Type="http://schemas.openxmlformats.org/officeDocument/2006/relationships/hyperlink" Target="http://www.sec.gov/Archives/edgar/data/0001786431/000119312519293392/d769843dex106.htm" TargetMode="External"/><Relationship Id="rId130" Type="http://schemas.openxmlformats.org/officeDocument/2006/relationships/hyperlink" Target="http://www.sec.gov/Archives/edgar/data/0001786431/000119312519293392/d769843dex107.htm" TargetMode="External"/><Relationship Id="rId131" Type="http://schemas.openxmlformats.org/officeDocument/2006/relationships/hyperlink" Target="http://www.sec.gov/Archives/edgar/data/0001786431/000119312519293392/d769843dex108.htm" TargetMode="External"/><Relationship Id="rId132" Type="http://schemas.openxmlformats.org/officeDocument/2006/relationships/hyperlink" Target="http://www.sec.gov/Archives/edgar/data/0001786431/000119312519293392/d769843dex109.htm" TargetMode="External"/><Relationship Id="rId133" Type="http://schemas.openxmlformats.org/officeDocument/2006/relationships/hyperlink" Target="http://www.sec.gov/Archives/edgar/data/0001786431/000119312520016457/d769843dex1029.htm" TargetMode="External"/><Relationship Id="rId134" Type="http://schemas.openxmlformats.org/officeDocument/2006/relationships/hyperlink" Target="http://www.sec.gov/Archives/edgar/data/0001786431/000119312519293392/d769843dex1010.htm" TargetMode="External"/><Relationship Id="rId135" Type="http://schemas.openxmlformats.org/officeDocument/2006/relationships/hyperlink" Target="http://www.sec.gov/Archives/edgar/data/0001786431/000119312519293392/d769843dex1011.htm" TargetMode="External"/><Relationship Id="rId136" Type="http://schemas.openxmlformats.org/officeDocument/2006/relationships/hyperlink" Target="http://www.sec.gov/Archives/edgar/data/0001786431/000119312519293392/d769843dex1012.htm" TargetMode="External"/><Relationship Id="rId137" Type="http://schemas.openxmlformats.org/officeDocument/2006/relationships/hyperlink" Target="http://www.sec.gov/Archives/edgar/data/0001786431/000119312519293392/d769843dex1013.htm" TargetMode="External"/><Relationship Id="rId138" Type="http://schemas.openxmlformats.org/officeDocument/2006/relationships/hyperlink" Target="http://www.sec.gov/Archives/edgar/data/0001786431/000119312519293392/d769843dex1014.htm" TargetMode="External"/><Relationship Id="rId139" Type="http://schemas.openxmlformats.org/officeDocument/2006/relationships/hyperlink" Target="http://www.sec.gov/Archives/edgar/data/0001786431/000119312519293392/d769843dex1015.htm" TargetMode="External"/><Relationship Id="rId140" Type="http://schemas.openxmlformats.org/officeDocument/2006/relationships/hyperlink" Target="http://www.sec.gov/Archives/edgar/data/0001786431/000119312519293392/d769843dex1016.htm" TargetMode="External"/><Relationship Id="rId141" Type="http://schemas.openxmlformats.org/officeDocument/2006/relationships/hyperlink" Target="http://www.sec.gov/Archives/edgar/data/0001786431/000119312519293392/d769843dex1017.htm" TargetMode="External"/><Relationship Id="rId142" Type="http://schemas.openxmlformats.org/officeDocument/2006/relationships/hyperlink" Target="http://www.sec.gov/Archives/edgar/data/0001786431/000119312519293392/d769843dex1018.htm" TargetMode="External"/><Relationship Id="rId143" Type="http://schemas.openxmlformats.org/officeDocument/2006/relationships/hyperlink" Target="http://www.sec.gov/Archives/edgar/data/0001786431/000119312519293392/d769843dex1019.htm" TargetMode="External"/><Relationship Id="rId146" Type="http://schemas.openxmlformats.org/officeDocument/2006/relationships/hyperlink" Target="http://www.sec.gov/Archives/edgar/data/0001786431/000119312519293392/d769843dex1020.htm" TargetMode="External"/><Relationship Id="rId147" Type="http://schemas.openxmlformats.org/officeDocument/2006/relationships/hyperlink" Target="http://www.sec.gov/Archives/edgar/data/0001786431/000119312519293392/d769843dex1021.htm" TargetMode="External"/><Relationship Id="rId148" Type="http://schemas.openxmlformats.org/officeDocument/2006/relationships/hyperlink" Target="http://www.sec.gov/Archives/edgar/data/0001786431/000119312520024304/d874780dex106.htm" TargetMode="External"/><Relationship Id="rId149" Type="http://schemas.openxmlformats.org/officeDocument/2006/relationships/hyperlink" Target="http://www.sec.gov/Archives/edgar/data/0001786431/000119312520024304/d874780dex105.htm" TargetMode="External"/><Relationship Id="rId150" Type="http://schemas.openxmlformats.org/officeDocument/2006/relationships/hyperlink" Target="http://www.sec.gov/Archives/edgar/data/0001786431/000119312520010446/d769843dex1023.htm" TargetMode="External"/><Relationship Id="rId151" Type="http://schemas.openxmlformats.org/officeDocument/2006/relationships/hyperlink" Target="http://www.sec.gov/Archives/edgar/data/0001786431/000119312520024304/d874780dex103.htm" TargetMode="External"/><Relationship Id="rId152" Type="http://schemas.openxmlformats.org/officeDocument/2006/relationships/hyperlink" Target="http://www.sec.gov/Archives/edgar/data/0001786431/000119312520024304/d874780dex101.htm" TargetMode="External"/><Relationship Id="rId153" Type="http://schemas.openxmlformats.org/officeDocument/2006/relationships/hyperlink" Target="http://www.sec.gov/Archives/edgar/data/0001786431/000119312520024304/d874780dex102.htm" TargetMode="External"/><Relationship Id="rId154" Type="http://schemas.openxmlformats.org/officeDocument/2006/relationships/hyperlink" Target="http://www.sec.gov/Archives/edgar/data/0001786431/000119312520024304/d874780dex104.htm" TargetMode="External"/><Relationship Id="rId155" Type="http://schemas.openxmlformats.org/officeDocument/2006/relationships/hyperlink" Target="http://www.sec.gov/Archives/edgar/data/0001786431/000119312519293392/d76984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2020-03-10T15:08:33Z</dcterms:created>
  <dcterms:modified xsi:type="dcterms:W3CDTF">2020-03-10T15:08:33Z</dcterms:modified>
</cp:coreProperties>
</file>