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437.xml.htm"/>
      <w:bookmarkStart w:id="1" w:name="kswkform4_17776664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Stangl Rolf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REYNOLDS CONSUMER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W. FIELD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FOREST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Reynolds Consumer Products Inc.</w:t>
              </w:r>
            </w:hyperlink>
            <w:r>
              <w:rPr/>
              <w:t xml:space="preserve"> [ </w:t>
            </w:r>
            <w:r>
              <w:rPr>
                <w:rFonts w:ascii="Times;serif" w:hAnsi="Times;serif"/>
                <w:color w:val="0000FF"/>
                <w:sz w:val="24"/>
                <w:shd w:fill="FFFFFF" w:val="clear"/>
              </w:rPr>
              <w:t>REYN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Reynolds Consumer Products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the earlier of the first anniversary of the grant date or immediately prior to the next year's annual meeting of stockholders and will be settled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 Barnett,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910" TargetMode="External"/><Relationship Id="rId5" Type="http://schemas.openxmlformats.org/officeDocument/2006/relationships/hyperlink" Target="http://www.sec.gov/cgi-bin/browse-edgar?action=getcompany&amp;CIK=000178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3410</Characters>
  <CharactersWithSpaces>3979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