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w:t>
      </w:r>
    </w:p>
    <w:p>
      <w:pPr>
        <w:pStyle w:val="TextBody"/>
        <w:bidi w:val="0"/>
        <w:spacing w:lineRule="auto" w:line="288" w:before="120" w:after="283"/>
        <w:jc w:val="center"/>
        <w:rPr>
          <w:rFonts w:ascii="Times New Roman;serif" w:hAnsi="Times New Roman;serif"/>
          <w:b/>
          <w:color w:val="000000"/>
          <w:sz w:val="36"/>
        </w:rPr>
      </w:pPr>
      <w:r>
        <w:rPr>
          <w:rFonts w:ascii="Times New Roman;serif" w:hAnsi="Times New Roman;serif"/>
          <w:b/>
          <w:color w:val="000000"/>
          <w:sz w:val="36"/>
        </w:rPr>
        <w:t>FORM 8-K</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w:t>
      </w:r>
    </w:p>
    <w:p>
      <w:pPr>
        <w:pStyle w:val="TextBody"/>
        <w:bidi w:val="0"/>
        <w:spacing w:lineRule="auto" w:line="288" w:before="80" w:after="283"/>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Pursuant to Section 13 or 15(d)</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of the Securities Exchange Act of 1934</w:t>
      </w:r>
    </w:p>
    <w:p>
      <w:pPr>
        <w:pStyle w:val="TextBody"/>
        <w:bidi w:val="0"/>
        <w:spacing w:lineRule="auto" w:line="288" w:before="80" w:after="283"/>
        <w:jc w:val="center"/>
        <w:rPr>
          <w:rFonts w:ascii="Times New Roman;serif" w:hAnsi="Times New Roman;serif"/>
          <w:b/>
          <w:color w:val="000000"/>
          <w:sz w:val="24"/>
        </w:rPr>
      </w:pPr>
      <w:r>
        <w:rPr>
          <w:rFonts w:ascii="Times New Roman;serif" w:hAnsi="Times New Roman;serif"/>
          <w:b/>
          <w:color w:val="000000"/>
          <w:sz w:val="24"/>
        </w:rPr>
        <w:t>Date of Report (Date of earliest event reported): July 29, 2026</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w:t>
      </w:r>
    </w:p>
    <w:p>
      <w:pPr>
        <w:pStyle w:val="TextBody"/>
        <w:bidi w:val="0"/>
        <w:spacing w:lineRule="auto" w:line="288" w:before="120" w:after="283"/>
        <w:jc w:val="center"/>
        <w:rPr>
          <w:rFonts w:ascii="Times New Roman;serif" w:hAnsi="Times New Roman;serif"/>
          <w:b/>
          <w:color w:val="000000"/>
          <w:sz w:val="48"/>
        </w:rPr>
      </w:pPr>
      <w:r>
        <w:rPr>
          <w:rFonts w:ascii="Times New Roman;serif" w:hAnsi="Times New Roman;serif"/>
          <w:b/>
          <w:color w:val="000000"/>
          <w:sz w:val="48"/>
        </w:rPr>
        <w:t>REYNOLDS CONSUMER PRODUCTS INC.</w:t>
      </w:r>
    </w:p>
    <w:p>
      <w:pPr>
        <w:pStyle w:val="TextBody"/>
        <w:bidi w:val="0"/>
        <w:spacing w:lineRule="auto" w:line="288" w:before="80" w:after="283"/>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w:t>
      </w:r>
    </w:p>
    <w:tbl>
      <w:tblPr>
        <w:tblW w:w="4617" w:type="dxa"/>
        <w:jc w:val="left"/>
        <w:tblInd w:w="0" w:type="dxa"/>
        <w:tblLayout w:type="fixed"/>
        <w:tblCellMar>
          <w:top w:w="28" w:type="dxa"/>
          <w:left w:w="28" w:type="dxa"/>
          <w:bottom w:w="28" w:type="dxa"/>
          <w:right w:w="28" w:type="dxa"/>
        </w:tblCellMar>
      </w:tblPr>
      <w:tblGrid>
        <w:gridCol w:w="748"/>
        <w:gridCol w:w="658"/>
        <w:gridCol w:w="663"/>
        <w:gridCol w:w="353"/>
        <w:gridCol w:w="353"/>
        <w:gridCol w:w="358"/>
        <w:gridCol w:w="432"/>
        <w:gridCol w:w="432"/>
        <w:gridCol w:w="620"/>
      </w:tblGrid>
      <w:tr>
        <w:trPr/>
        <w:tc>
          <w:tcPr>
            <w:tcW w:w="748"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r>
      <w:tr>
        <w:trPr/>
        <w:tc>
          <w:tcPr>
            <w:tcW w:w="206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Delaware</w:t>
            </w:r>
          </w:p>
        </w:tc>
        <w:tc>
          <w:tcPr>
            <w:tcW w:w="106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001-39205</w:t>
            </w:r>
          </w:p>
        </w:tc>
        <w:tc>
          <w:tcPr>
            <w:tcW w:w="148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45-3464426</w:t>
            </w:r>
          </w:p>
        </w:tc>
      </w:tr>
      <w:tr>
        <w:trPr/>
        <w:tc>
          <w:tcPr>
            <w:tcW w:w="206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(State or other jurisdiction</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of incorporation)</w:t>
            </w:r>
          </w:p>
        </w:tc>
        <w:tc>
          <w:tcPr>
            <w:tcW w:w="106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(Commission</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File Number)</w:t>
            </w:r>
          </w:p>
        </w:tc>
        <w:tc>
          <w:tcPr>
            <w:tcW w:w="148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(I.R.S. Employer</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Identification No.)</w:t>
            </w:r>
          </w:p>
        </w:tc>
      </w:tr>
    </w:tbl>
    <w:tbl>
      <w:tblPr>
        <w:tblW w:w="3943" w:type="dxa"/>
        <w:jc w:val="left"/>
        <w:tblInd w:w="0" w:type="dxa"/>
        <w:tblLayout w:type="fixed"/>
        <w:tblCellMar>
          <w:top w:w="28" w:type="dxa"/>
          <w:left w:w="28" w:type="dxa"/>
          <w:bottom w:w="28" w:type="dxa"/>
          <w:right w:w="28" w:type="dxa"/>
        </w:tblCellMar>
      </w:tblPr>
      <w:tblGrid>
        <w:gridCol w:w="1090"/>
        <w:gridCol w:w="960"/>
        <w:gridCol w:w="964"/>
        <w:gridCol w:w="272"/>
        <w:gridCol w:w="272"/>
        <w:gridCol w:w="385"/>
      </w:tblGrid>
      <w:tr>
        <w:trPr/>
        <w:tc>
          <w:tcPr>
            <w:tcW w:w="1090"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r>
      <w:tr>
        <w:trPr/>
        <w:tc>
          <w:tcPr>
            <w:tcW w:w="3014" w:type="dxa"/>
            <w:gridSpan w:val="3"/>
            <w:tcBorders/>
            <w:tcMar>
              <w:top w:w="0" w:type="dxa"/>
              <w:left w:w="0" w:type="dxa"/>
              <w:bottom w:w="0" w:type="dxa"/>
              <w:right w:w="0" w:type="dxa"/>
            </w:tcMar>
            <w:vAlign w:val="center"/>
          </w:tcPr>
          <w:p>
            <w:pPr>
              <w:pStyle w:val="TableContents"/>
              <w:bidi w:val="0"/>
              <w:spacing w:lineRule="auto" w:line="288" w:before="120" w:after="283"/>
              <w:jc w:val="center"/>
              <w:rPr>
                <w:color w:val="000000"/>
              </w:rPr>
            </w:pPr>
            <w:r>
              <w:rPr>
                <w:color w:val="000000"/>
              </w:rPr>
              <w:t> </w:t>
            </w:r>
            <w:r>
              <w:rPr>
                <w:rFonts w:ascii="Times New Roman;serif" w:hAnsi="Times New Roman;serif"/>
                <w:b/>
                <w:color w:val="000000"/>
                <w:sz w:val="18"/>
              </w:rPr>
              <w:t>1900 W. Field Court</w:t>
            </w:r>
          </w:p>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Lake Forest, Illinois</w:t>
            </w:r>
          </w:p>
        </w:tc>
        <w:tc>
          <w:tcPr>
            <w:tcW w:w="92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60045</w:t>
            </w:r>
          </w:p>
        </w:tc>
      </w:tr>
      <w:tr>
        <w:trPr/>
        <w:tc>
          <w:tcPr>
            <w:tcW w:w="30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(Address of Principal Executive Offices)</w:t>
            </w:r>
          </w:p>
        </w:tc>
        <w:tc>
          <w:tcPr>
            <w:tcW w:w="9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(Zip Code)</w:t>
            </w:r>
          </w:p>
        </w:tc>
      </w:tr>
    </w:tbl>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Registrant’s telephone number, including area code: (800) 879-5067</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Not Applicable</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(Former name or former address, if changed since last report)</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 (see General Instruction A.2. below):</w:t>
      </w:r>
    </w:p>
    <w:tbl>
      <w:tblPr>
        <w:tblW w:w="9522" w:type="dxa"/>
        <w:jc w:val="left"/>
        <w:tblInd w:w="0" w:type="dxa"/>
        <w:tblLayout w:type="fixed"/>
        <w:tblCellMar>
          <w:top w:w="28" w:type="dxa"/>
          <w:left w:w="28" w:type="dxa"/>
          <w:bottom w:w="28" w:type="dxa"/>
          <w:right w:w="28" w:type="dxa"/>
        </w:tblCellMar>
      </w:tblPr>
      <w:tblGrid>
        <w:gridCol w:w="124"/>
        <w:gridCol w:w="109"/>
        <w:gridCol w:w="109"/>
        <w:gridCol w:w="2685"/>
        <w:gridCol w:w="2685"/>
        <w:gridCol w:w="38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7476" w:type="dxa"/>
        <w:jc w:val="left"/>
        <w:tblInd w:w="0" w:type="dxa"/>
        <w:tblLayout w:type="fixed"/>
        <w:tblCellMar>
          <w:top w:w="28" w:type="dxa"/>
          <w:left w:w="28" w:type="dxa"/>
          <w:bottom w:w="28" w:type="dxa"/>
          <w:right w:w="28" w:type="dxa"/>
        </w:tblCellMar>
      </w:tblPr>
      <w:tblGrid>
        <w:gridCol w:w="981"/>
        <w:gridCol w:w="861"/>
        <w:gridCol w:w="872"/>
        <w:gridCol w:w="109"/>
        <w:gridCol w:w="109"/>
        <w:gridCol w:w="109"/>
        <w:gridCol w:w="264"/>
        <w:gridCol w:w="264"/>
        <w:gridCol w:w="266"/>
        <w:gridCol w:w="109"/>
        <w:gridCol w:w="109"/>
        <w:gridCol w:w="109"/>
        <w:gridCol w:w="970"/>
        <w:gridCol w:w="970"/>
        <w:gridCol w:w="1374"/>
      </w:tblGrid>
      <w:tr>
        <w:trPr/>
        <w:tc>
          <w:tcPr>
            <w:tcW w:w="981"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r>
      <w:tr>
        <w:trPr/>
        <w:tc>
          <w:tcPr>
            <w:tcW w:w="27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Trading</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Name of each exchange on which registered</w:t>
            </w:r>
          </w:p>
        </w:tc>
      </w:tr>
      <w:tr>
        <w:trPr/>
        <w:tc>
          <w:tcPr>
            <w:tcW w:w="27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Common Stock, $0.001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REYN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The Nasdaq Stock Market LLC</w:t>
            </w:r>
          </w:p>
        </w:tc>
      </w:tr>
    </w:tbl>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120" w:after="283"/>
        <w:jc w:val="left"/>
        <w:rPr/>
      </w:pPr>
      <w:r>
        <w:rPr>
          <w:rFonts w:ascii="Times New Roman;serif" w:hAnsi="Times New Roman;serif"/>
          <w:b w:val="false"/>
          <w:color w:val="000000"/>
          <w:sz w:val="20"/>
        </w:rPr>
        <w:t xml:space="preserve">Emerging growth company  </w:t>
      </w:r>
      <w:r>
        <w:rPr>
          <w:rFonts w:ascii="Wingdings;sans-serif" w:hAnsi="Wingdings;sans-serif"/>
          <w:b w:val="false"/>
          <w:color w:val="000000"/>
          <w:sz w:val="20"/>
        </w:rPr>
        <w:t>o</w:t>
      </w:r>
    </w:p>
    <w:p>
      <w:pPr>
        <w:pStyle w:val="TextBody"/>
        <w:bidi w:val="0"/>
        <w:spacing w:lineRule="auto" w:line="288" w:before="120" w:after="283"/>
        <w:jc w:val="left"/>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20"/>
        </w:rPr>
        <w:t>o</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Item 2.02. Results of Operations and Financial Condition</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On July 29, 2026, Reynolds Consumer Products Inc. (the “Company”) issued a press release announcing its financial results for the second quarter ended June 30, 2026. A copy of the press release is furnished as Exhibit 99.1 to this Current Report on Form 8-K.</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information included in Item 2.02 of this Current Report on Form 8-K, including Exhibit 99.1 attached hereto, is being furnished and shall not be deemed “filed” for purposes of Section 18 of the Securities Exchange Act of 1934, as amended (the “Exchange Act”), or otherwise subject to the liabilities of that Section and shall not be deemed incorporated by reference into any other filing under the Securities Act of 1933, as amended, or the Exchange Act, except as otherwise expressly stated in such filing.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lineRule="auto" w:line="288" w:before="120" w:after="283"/>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(d)Exhibits</w:t>
      </w:r>
    </w:p>
    <w:tbl>
      <w:tblPr>
        <w:tblW w:w="7680" w:type="dxa"/>
        <w:jc w:val="left"/>
        <w:tblInd w:w="0" w:type="dxa"/>
        <w:tblLayout w:type="fixed"/>
        <w:tblCellMar>
          <w:top w:w="28" w:type="dxa"/>
          <w:left w:w="28" w:type="dxa"/>
          <w:bottom w:w="28" w:type="dxa"/>
          <w:right w:w="28" w:type="dxa"/>
        </w:tblCellMar>
      </w:tblPr>
      <w:tblGrid>
        <w:gridCol w:w="391"/>
        <w:gridCol w:w="344"/>
        <w:gridCol w:w="345"/>
        <w:gridCol w:w="1928"/>
        <w:gridCol w:w="1928"/>
        <w:gridCol w:w="2744"/>
      </w:tblGrid>
      <w:tr>
        <w:trPr/>
        <w:tc>
          <w:tcPr>
            <w:tcW w:w="39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928" w:type="dxa"/>
            <w:tcBorders/>
            <w:vAlign w:val="center"/>
          </w:tcPr>
          <w:p>
            <w:pPr>
              <w:pStyle w:val="TableContents"/>
              <w:bidi w:val="0"/>
              <w:spacing w:before="0" w:after="283"/>
              <w:jc w:val="left"/>
              <w:rPr>
                <w:sz w:val="4"/>
                <w:szCs w:val="4"/>
              </w:rPr>
            </w:pPr>
            <w:r>
              <w:rPr>
                <w:sz w:val="4"/>
                <w:szCs w:val="4"/>
              </w:rPr>
            </w:r>
          </w:p>
        </w:tc>
        <w:tc>
          <w:tcPr>
            <w:tcW w:w="1928" w:type="dxa"/>
            <w:tcBorders/>
            <w:vAlign w:val="center"/>
          </w:tcPr>
          <w:p>
            <w:pPr>
              <w:pStyle w:val="TableContents"/>
              <w:bidi w:val="0"/>
              <w:spacing w:before="0" w:after="283"/>
              <w:jc w:val="left"/>
              <w:rPr>
                <w:sz w:val="4"/>
                <w:szCs w:val="4"/>
              </w:rPr>
            </w:pPr>
            <w:r>
              <w:rPr>
                <w:sz w:val="4"/>
                <w:szCs w:val="4"/>
              </w:rPr>
            </w:r>
          </w:p>
        </w:tc>
        <w:tc>
          <w:tcPr>
            <w:tcW w:w="2744" w:type="dxa"/>
            <w:tcBorders/>
            <w:vAlign w:val="center"/>
          </w:tcPr>
          <w:p>
            <w:pPr>
              <w:pStyle w:val="TableContents"/>
              <w:bidi w:val="0"/>
              <w:spacing w:before="0" w:after="283"/>
              <w:jc w:val="left"/>
              <w:rPr>
                <w:sz w:val="4"/>
                <w:szCs w:val="4"/>
              </w:rPr>
            </w:pPr>
            <w:r>
              <w:rPr>
                <w:sz w:val="4"/>
                <w:szCs w:val="4"/>
              </w:rPr>
            </w:r>
          </w:p>
        </w:tc>
      </w:tr>
      <w:tr>
        <w:trPr/>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Exhibit No.</w:t>
            </w:r>
          </w:p>
        </w:tc>
        <w:tc>
          <w:tcPr>
            <w:tcW w:w="66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Description</w:t>
            </w:r>
          </w:p>
        </w:tc>
      </w:tr>
      <w:tr>
        <w:trPr/>
        <w:tc>
          <w:tcPr>
            <w:tcW w:w="1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660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reyn-20260729xex991.htm">
              <w:r>
                <w:rPr>
                  <w:rStyle w:val="InternetLink"/>
                  <w:rFonts w:ascii="Times New Roman;serif" w:hAnsi="Times New Roman;serif"/>
                  <w:b w:val="false"/>
                  <w:color w:val="000080"/>
                  <w:sz w:val="20"/>
                  <w:u w:val="single"/>
                </w:rPr>
                <w:t xml:space="preserve">Press Release issued by Reynolds Consumer Products Inc., dated </w:t>
              </w:r>
            </w:hyperlink>
            <w:hyperlink w:anchor="reyn-20260729xex991.htm">
              <w:r>
                <w:rPr>
                  <w:rStyle w:val="InternetLink"/>
                  <w:rFonts w:ascii="Times New Roman;serif" w:hAnsi="Times New Roman;serif"/>
                  <w:b w:val="false"/>
                  <w:color w:val="000080"/>
                  <w:sz w:val="20"/>
                  <w:u w:val="single"/>
                </w:rPr>
                <w:t>July</w:t>
              </w:r>
            </w:hyperlink>
            <w:hyperlink w:anchor="reyn-20260729xex991.htm">
              <w:r>
                <w:rPr>
                  <w:rStyle w:val="InternetLink"/>
                  <w:rFonts w:ascii="Times New Roman;serif" w:hAnsi="Times New Roman;serif"/>
                  <w:b w:val="false"/>
                  <w:color w:val="000080"/>
                  <w:sz w:val="20"/>
                  <w:u w:val="single"/>
                </w:rPr>
                <w:t xml:space="preserve"> </w:t>
              </w:r>
            </w:hyperlink>
            <w:hyperlink w:anchor="reyn-20260729xex991.htm">
              <w:r>
                <w:rPr>
                  <w:rStyle w:val="InternetLink"/>
                  <w:rFonts w:ascii="Times New Roman;serif" w:hAnsi="Times New Roman;serif"/>
                  <w:b w:val="false"/>
                  <w:color w:val="000080"/>
                  <w:sz w:val="20"/>
                  <w:u w:val="single"/>
                </w:rPr>
                <w:t>29</w:t>
              </w:r>
            </w:hyperlink>
            <w:hyperlink w:anchor="reyn-20260729xex991.htm">
              <w:r>
                <w:rPr>
                  <w:rStyle w:val="InternetLink"/>
                  <w:rFonts w:ascii="Times New Roman;serif" w:hAnsi="Times New Roman;serif"/>
                  <w:b w:val="false"/>
                  <w:color w:val="000080"/>
                  <w:sz w:val="20"/>
                  <w:u w:val="single"/>
                </w:rPr>
                <w:t>, 2026</w:t>
              </w:r>
            </w:hyperlink>
          </w:p>
        </w:tc>
      </w:tr>
      <w:tr>
        <w:trPr/>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66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240" w:after="283"/>
        <w:ind w:left="0" w:right="0" w:firstLine="108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as amended, the registrant has duly caused this report to be signed on its behalf by the undersigned hereunto duly authorized.</w:t>
      </w:r>
    </w:p>
    <w:tbl>
      <w:tblPr>
        <w:tblW w:w="6310" w:type="dxa"/>
        <w:jc w:val="left"/>
        <w:tblInd w:w="0" w:type="dxa"/>
        <w:tblLayout w:type="fixed"/>
        <w:tblCellMar>
          <w:top w:w="28" w:type="dxa"/>
          <w:left w:w="28" w:type="dxa"/>
          <w:bottom w:w="28" w:type="dxa"/>
          <w:right w:w="28" w:type="dxa"/>
        </w:tblCellMar>
      </w:tblPr>
      <w:tblGrid>
        <w:gridCol w:w="618"/>
        <w:gridCol w:w="544"/>
        <w:gridCol w:w="547"/>
        <w:gridCol w:w="584"/>
        <w:gridCol w:w="584"/>
        <w:gridCol w:w="584"/>
        <w:gridCol w:w="827"/>
        <w:gridCol w:w="827"/>
        <w:gridCol w:w="1195"/>
      </w:tblGrid>
      <w:tr>
        <w:trPr/>
        <w:tc>
          <w:tcPr>
            <w:tcW w:w="618"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July 29, 2026</w:t>
            </w:r>
          </w:p>
        </w:tc>
        <w:tc>
          <w:tcPr>
            <w:tcW w:w="17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1"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REYNOLDS CONSUMER PRODUCTS INC.</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8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Jill E. Barnett</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Jill E. Barnett</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Legal Officer and Secretary</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240" w:after="283"/>
        <w:jc w:val="right"/>
        <w:rPr>
          <w:rFonts w:ascii="Times New Roman;serif" w:hAnsi="Times New Roman;serif"/>
          <w:b/>
          <w:color w:val="000000"/>
          <w:sz w:val="24"/>
        </w:rPr>
      </w:pPr>
      <w:r>
        <w:rPr>
          <w:rFonts w:ascii="Times New Roman;serif" w:hAnsi="Times New Roman;serif"/>
          <w:b/>
          <w:color w:val="000000"/>
          <w:sz w:val="24"/>
        </w:rPr>
        <w:t>Exhibit 99.1</w:t>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240" w:after="283"/>
        <w:ind w:left="0" w:right="0" w:firstLine="720"/>
        <w:jc w:val="center"/>
        <w:rPr/>
      </w:pPr>
      <w:r>
        <w:rPr/>
        <w:drawing>
          <wp:inline distT="0" distB="0" distL="0" distR="0">
            <wp:extent cx="2362200" cy="809625"/>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2362200" cy="809625"/>
                    </a:xfrm>
                    <a:prstGeom prst="rect">
                      <a:avLst/>
                    </a:prstGeom>
                  </pic:spPr>
                </pic:pic>
              </a:graphicData>
            </a:graphic>
          </wp:inline>
        </w:drawing>
      </w:r>
    </w:p>
    <w:p>
      <w:pPr>
        <w:pStyle w:val="TextBody"/>
        <w:bidi w:val="0"/>
        <w:spacing w:lineRule="auto" w:line="288" w:before="240" w:after="283"/>
        <w:jc w:val="center"/>
        <w:rPr>
          <w:rFonts w:ascii="Times New Roman;serif" w:hAnsi="Times New Roman;serif"/>
          <w:b/>
          <w:color w:val="000000"/>
          <w:sz w:val="32"/>
          <w:shd w:fill="FFFFFF" w:val="clear"/>
        </w:rPr>
      </w:pPr>
      <w:r>
        <w:rPr>
          <w:rFonts w:ascii="Times New Roman;serif" w:hAnsi="Times New Roman;serif"/>
          <w:b/>
          <w:color w:val="000000"/>
          <w:sz w:val="32"/>
          <w:shd w:fill="FFFFFF" w:val="clear"/>
        </w:rPr>
        <w:t xml:space="preserve">Reynolds Consumer Products Reports </w:t>
      </w:r>
    </w:p>
    <w:p>
      <w:pPr>
        <w:pStyle w:val="TextBody"/>
        <w:bidi w:val="0"/>
        <w:spacing w:lineRule="auto" w:line="288" w:before="0" w:after="120"/>
        <w:jc w:val="center"/>
        <w:rPr>
          <w:rFonts w:ascii="Times New Roman;serif" w:hAnsi="Times New Roman;serif"/>
          <w:b/>
          <w:color w:val="000000"/>
          <w:sz w:val="32"/>
          <w:shd w:fill="FFFFFF" w:val="clear"/>
        </w:rPr>
      </w:pPr>
      <w:r>
        <w:rPr>
          <w:rFonts w:ascii="Times New Roman;serif" w:hAnsi="Times New Roman;serif"/>
          <w:b/>
          <w:color w:val="000000"/>
          <w:sz w:val="32"/>
          <w:shd w:fill="FFFFFF" w:val="clear"/>
        </w:rPr>
        <w:t>Second Quarter 2026 Financial Results</w:t>
      </w:r>
    </w:p>
    <w:p>
      <w:pPr>
        <w:pStyle w:val="TextBody"/>
        <w:bidi w:val="0"/>
        <w:spacing w:lineRule="auto" w:line="288" w:before="0" w:after="0"/>
        <w:jc w:val="center"/>
        <w:rPr>
          <w:rFonts w:ascii="Times New Roman;serif" w:hAnsi="Times New Roman;serif"/>
          <w:b/>
          <w:i/>
          <w:color w:val="000000"/>
          <w:sz w:val="24"/>
        </w:rPr>
      </w:pPr>
      <w:r>
        <w:rPr>
          <w:rFonts w:ascii="Times New Roman;serif" w:hAnsi="Times New Roman;serif"/>
          <w:b/>
          <w:i/>
          <w:color w:val="000000"/>
          <w:sz w:val="24"/>
        </w:rPr>
        <w:t>Delivering Earnings Growth in Dynamic Consumer &amp; Cost Environment</w:t>
      </w:r>
    </w:p>
    <w:p>
      <w:pPr>
        <w:pStyle w:val="TextBody"/>
        <w:bidi w:val="0"/>
        <w:spacing w:lineRule="auto" w:line="288" w:before="240" w:after="283"/>
        <w:jc w:val="center"/>
        <w:rPr>
          <w:rFonts w:ascii="Times New Roman;serif" w:hAnsi="Times New Roman;serif"/>
          <w:b/>
          <w:i/>
          <w:color w:val="000000"/>
          <w:sz w:val="24"/>
        </w:rPr>
      </w:pPr>
      <w:r>
        <w:rPr>
          <w:rFonts w:ascii="Times New Roman;serif" w:hAnsi="Times New Roman;serif"/>
          <w:b/>
          <w:i/>
          <w:color w:val="000000"/>
          <w:sz w:val="24"/>
        </w:rPr>
        <w:t>Productivity Initiatives Fueling Investments In The Business</w:t>
      </w:r>
    </w:p>
    <w:p>
      <w:pPr>
        <w:pStyle w:val="TextBody"/>
        <w:bidi w:val="0"/>
        <w:spacing w:lineRule="auto" w:line="288" w:before="240" w:after="283"/>
        <w:jc w:val="center"/>
        <w:rPr>
          <w:rFonts w:ascii="Times New Roman;serif" w:hAnsi="Times New Roman;serif"/>
          <w:b/>
          <w:i/>
          <w:color w:val="000000"/>
          <w:sz w:val="24"/>
        </w:rPr>
      </w:pPr>
      <w:r>
        <w:rPr>
          <w:rFonts w:ascii="Times New Roman;serif" w:hAnsi="Times New Roman;serif"/>
          <w:b/>
          <w:i/>
          <w:color w:val="000000"/>
          <w:sz w:val="24"/>
        </w:rPr>
        <w:t>Reiterates Full Year 2026 Earnings Outlook</w:t>
      </w:r>
    </w:p>
    <w:p>
      <w:pPr>
        <w:pStyle w:val="TextBody"/>
        <w:bidi w:val="0"/>
        <w:spacing w:before="0" w:after="0"/>
        <w:jc w:val="center"/>
        <w:rPr/>
      </w:pPr>
      <w:r>
        <w:rPr/>
      </w:r>
    </w:p>
    <w:p>
      <w:pPr>
        <w:pStyle w:val="TextBody"/>
        <w:bidi w:val="0"/>
        <w:spacing w:lineRule="auto" w:line="288" w:before="0" w:after="0"/>
        <w:jc w:val="left"/>
        <w:rPr/>
      </w:pPr>
      <w:r>
        <w:rPr>
          <w:rFonts w:ascii="Times New Roman;serif" w:hAnsi="Times New Roman;serif"/>
          <w:b/>
          <w:color w:val="000000"/>
          <w:sz w:val="20"/>
        </w:rPr>
        <w:t>LAKE FOREST, Ill., July 29, 2026 – (BUSINESSWIRE) </w:t>
      </w:r>
      <w:r>
        <w:rPr>
          <w:color w:val="000000"/>
        </w:rPr>
        <w:t xml:space="preserve">– </w:t>
      </w:r>
      <w:r>
        <w:rPr>
          <w:rFonts w:ascii="Times New Roman;serif" w:hAnsi="Times New Roman;serif"/>
          <w:b w:val="false"/>
          <w:color w:val="000000"/>
          <w:sz w:val="20"/>
        </w:rPr>
        <w:t>Reynolds Consumer Products Inc. (the “Company”) (Nasdaq: REYN) today reported financial results for the second quarter ended June 30, 2026.</w:t>
      </w:r>
    </w:p>
    <w:p>
      <w:pPr>
        <w:pStyle w:val="TextBody"/>
        <w:bidi w:val="0"/>
        <w:spacing w:before="0" w:after="0"/>
        <w:jc w:val="left"/>
        <w:rPr/>
      </w:pPr>
      <w:r>
        <w:rPr/>
      </w:r>
    </w:p>
    <w:p>
      <w:pPr>
        <w:pStyle w:val="TextBody"/>
        <w:bidi w:val="0"/>
        <w:spacing w:lineRule="auto" w:line="276" w:before="0" w:after="0"/>
        <w:jc w:val="both"/>
        <w:rPr>
          <w:color w:val="000000"/>
        </w:rPr>
      </w:pPr>
      <w:r>
        <w:rPr>
          <w:color w:val="000000"/>
        </w:rPr>
        <w:t>“</w:t>
      </w:r>
      <w:r>
        <w:rPr>
          <w:rFonts w:ascii="Times New Roman;serif" w:hAnsi="Times New Roman;serif"/>
          <w:b w:val="false"/>
          <w:color w:val="000000"/>
          <w:sz w:val="20"/>
        </w:rPr>
        <w:t>Our solid second quarter and year-to-date results reflect the consistency of our execution against our priorities," said Scott Huckins, President and Chief Executive Officer. "We held or gained share across the majority of our categories, delivered operational efficiencies, and invested behind our brands, innovation and strategic initiatives. Our trusted brands, compelling consumer value, and strong retail partnerships position us well to execute in a tough operating environment and against our longer-term strategic priorities to drive shareholder value.”</w:t>
      </w:r>
    </w:p>
    <w:p>
      <w:pPr>
        <w:pStyle w:val="TextBody"/>
        <w:bidi w:val="0"/>
        <w:spacing w:before="0" w:after="0"/>
        <w:jc w:val="left"/>
        <w:rPr/>
      </w:pPr>
      <w:r>
        <w:rPr/>
      </w:r>
    </w:p>
    <w:p>
      <w:pPr>
        <w:pStyle w:val="TextBody"/>
        <w:bidi w:val="0"/>
        <w:spacing w:lineRule="auto" w:line="288" w:before="60" w:after="283"/>
        <w:jc w:val="left"/>
        <w:rPr>
          <w:rFonts w:ascii="Times New Roman;serif" w:hAnsi="Times New Roman;serif"/>
          <w:b/>
          <w:color w:val="000000"/>
          <w:sz w:val="20"/>
        </w:rPr>
      </w:pPr>
      <w:r>
        <w:rPr>
          <w:rFonts w:ascii="Times New Roman;serif" w:hAnsi="Times New Roman;serif"/>
          <w:b/>
          <w:color w:val="000000"/>
          <w:sz w:val="20"/>
        </w:rPr>
        <w:t>Second Quarter 2026 Highlights</w:t>
      </w:r>
    </w:p>
    <w:p>
      <w:pPr>
        <w:pStyle w:val="TextBody"/>
        <w:bidi w:val="0"/>
        <w:spacing w:lineRule="auto" w:line="288" w:before="60" w:after="283"/>
        <w:jc w:val="left"/>
        <w:rPr/>
      </w:pPr>
      <w:r>
        <w:rPr>
          <w:color w:val="000000"/>
        </w:rPr>
        <w:t>•</w:t>
      </w:r>
      <w:r>
        <w:rPr>
          <w:rFonts w:ascii="Times New Roman;serif" w:hAnsi="Times New Roman;serif"/>
          <w:b/>
          <w:color w:val="000000"/>
          <w:sz w:val="20"/>
        </w:rPr>
        <w:t>Net Revenues</w:t>
      </w:r>
      <w:r>
        <w:rPr>
          <w:color w:val="000000"/>
        </w:rPr>
        <w:t> </w:t>
      </w:r>
      <w:r>
        <w:rPr>
          <w:rFonts w:ascii="Times New Roman;serif" w:hAnsi="Times New Roman;serif"/>
          <w:b w:val="false"/>
          <w:color w:val="000000"/>
          <w:sz w:val="20"/>
        </w:rPr>
        <w:t>of $944 million compared to $938 million in Q2 2025</w:t>
      </w:r>
    </w:p>
    <w:p>
      <w:pPr>
        <w:pStyle w:val="TextBody"/>
        <w:bidi w:val="0"/>
        <w:spacing w:lineRule="auto" w:line="288" w:before="60" w:after="283"/>
        <w:jc w:val="left"/>
        <w:rPr/>
      </w:pPr>
      <w:r>
        <w:rPr>
          <w:color w:val="000000"/>
        </w:rPr>
        <w:t>◦</w:t>
      </w:r>
      <w:r>
        <w:rPr>
          <w:rFonts w:ascii="Times New Roman;serif" w:hAnsi="Times New Roman;serif"/>
          <w:b w:val="false"/>
          <w:color w:val="000000"/>
          <w:sz w:val="20"/>
        </w:rPr>
        <w:t>Retail Net Revenues of $888 million compared to $887 million in Q2 2025</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color w:val="000000"/>
          <w:sz w:val="20"/>
        </w:rPr>
        <w:t xml:space="preserve">Retail volumes decreased 5%; excluding foam Retail volumes decreased 2% </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color w:val="000000"/>
          <w:sz w:val="20"/>
        </w:rPr>
        <w:t>Non-Retail Net Revenues</w:t>
      </w: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of $56 million compared to $51 million in Q2 2025</w:t>
      </w:r>
    </w:p>
    <w:p>
      <w:pPr>
        <w:pStyle w:val="TextBody"/>
        <w:bidi w:val="0"/>
        <w:spacing w:lineRule="auto" w:line="288" w:before="60" w:after="283"/>
        <w:ind w:left="0" w:right="0" w:hanging="360"/>
        <w:jc w:val="left"/>
        <w:rPr/>
      </w:pPr>
      <w:r>
        <w:rPr>
          <w:color w:val="000000"/>
        </w:rPr>
        <w:t>•</w:t>
      </w:r>
      <w:r>
        <w:rPr>
          <w:rFonts w:ascii="Times New Roman;serif" w:hAnsi="Times New Roman;serif"/>
          <w:b/>
          <w:color w:val="000000"/>
          <w:sz w:val="20"/>
        </w:rPr>
        <w:t>Net Income</w:t>
      </w:r>
      <w:r>
        <w:rPr>
          <w:color w:val="000000"/>
        </w:rPr>
        <w:t> </w:t>
      </w:r>
      <w:r>
        <w:rPr>
          <w:rFonts w:ascii="Times New Roman;serif" w:hAnsi="Times New Roman;serif"/>
          <w:b w:val="false"/>
          <w:color w:val="000000"/>
          <w:sz w:val="20"/>
        </w:rPr>
        <w:t xml:space="preserve">of $89 million compared to $73 million in Q2 2025, and </w:t>
      </w:r>
      <w:r>
        <w:rPr>
          <w:rFonts w:ascii="Times New Roman;serif" w:hAnsi="Times New Roman;serif"/>
          <w:b/>
          <w:color w:val="000000"/>
          <w:sz w:val="20"/>
        </w:rPr>
        <w:t>Adjusted Net Inc</w:t>
      </w:r>
      <w:r>
        <w:rPr>
          <w:rFonts w:ascii="Times New Roman;serif" w:hAnsi="Times New Roman;serif"/>
          <w:b/>
          <w:color w:val="000000"/>
          <w:sz w:val="20"/>
          <w:shd w:fill="FFFFFF" w:val="clear"/>
        </w:rPr>
        <w:t xml:space="preserve">ome </w:t>
      </w:r>
      <w:r>
        <w:rPr>
          <w:rFonts w:ascii="Times New Roman;serif" w:hAnsi="Times New Roman;serif"/>
          <w:b w:val="false"/>
          <w:color w:val="000000"/>
          <w:sz w:val="20"/>
          <w:shd w:fill="FFFFFF" w:val="clear"/>
        </w:rPr>
        <w:t xml:space="preserve">of $89 million compared to $83 million in Q2 2025 </w:t>
      </w:r>
    </w:p>
    <w:p>
      <w:pPr>
        <w:pStyle w:val="TextBody"/>
        <w:bidi w:val="0"/>
        <w:spacing w:lineRule="auto" w:line="288" w:before="60" w:after="283"/>
        <w:jc w:val="left"/>
        <w:rPr/>
      </w:pPr>
      <w:r>
        <w:rPr>
          <w:color w:val="000000"/>
          <w:shd w:fill="FFFFFF" w:val="clear"/>
        </w:rPr>
        <w:t>•</w:t>
      </w:r>
      <w:r>
        <w:rPr>
          <w:rFonts w:ascii="Times New Roman;serif" w:hAnsi="Times New Roman;serif"/>
          <w:b/>
          <w:color w:val="000000"/>
          <w:sz w:val="20"/>
          <w:shd w:fill="FFFFFF" w:val="clear"/>
        </w:rPr>
        <w:t>Adjusted EBITDA </w:t>
      </w:r>
      <w:r>
        <w:rPr>
          <w:rFonts w:ascii="Times New Roman;serif" w:hAnsi="Times New Roman;serif"/>
          <w:b w:val="false"/>
          <w:color w:val="000000"/>
          <w:sz w:val="20"/>
          <w:shd w:fill="FFFFFF" w:val="clear"/>
        </w:rPr>
        <w:t xml:space="preserve">of </w:t>
      </w:r>
      <w:r>
        <w:rPr>
          <w:rFonts w:ascii="Times New Roman;serif" w:hAnsi="Times New Roman;serif"/>
          <w:b w:val="false"/>
          <w:color w:val="000000"/>
          <w:sz w:val="20"/>
        </w:rPr>
        <w:t xml:space="preserve">$171 million </w:t>
      </w:r>
      <w:r>
        <w:rPr>
          <w:rFonts w:ascii="Times New Roman;serif" w:hAnsi="Times New Roman;serif"/>
          <w:b w:val="false"/>
          <w:color w:val="000000"/>
          <w:sz w:val="20"/>
          <w:shd w:fill="FFFFFF" w:val="clear"/>
        </w:rPr>
        <w:t>compared to $163 million in Q2 2025</w:t>
      </w:r>
    </w:p>
    <w:p>
      <w:pPr>
        <w:pStyle w:val="TextBody"/>
        <w:bidi w:val="0"/>
        <w:spacing w:lineRule="auto" w:line="288" w:before="60" w:after="283"/>
        <w:ind w:left="0" w:right="0" w:hanging="360"/>
        <w:jc w:val="left"/>
        <w:rPr/>
      </w:pPr>
      <w:r>
        <w:rPr>
          <w:color w:val="000000"/>
          <w:shd w:fill="FFFFFF" w:val="clear"/>
        </w:rPr>
        <w:t>•</w:t>
      </w:r>
      <w:r>
        <w:rPr>
          <w:rFonts w:ascii="Times New Roman;serif" w:hAnsi="Times New Roman;serif"/>
          <w:b/>
          <w:color w:val="000000"/>
          <w:sz w:val="20"/>
          <w:shd w:fill="FFFFFF" w:val="clear"/>
        </w:rPr>
        <w:t xml:space="preserve">Earnings Per Share </w:t>
      </w:r>
      <w:r>
        <w:rPr>
          <w:rFonts w:ascii="Times New Roman;serif" w:hAnsi="Times New Roman;serif"/>
          <w:b w:val="false"/>
          <w:color w:val="000000"/>
          <w:sz w:val="20"/>
          <w:shd w:fill="FFFFFF" w:val="clear"/>
        </w:rPr>
        <w:t xml:space="preserve">increased 20% to $0.42 compared to $0.35 in Q2 2025, and </w:t>
      </w:r>
      <w:r>
        <w:rPr>
          <w:rFonts w:ascii="Times New Roman;serif" w:hAnsi="Times New Roman;serif"/>
          <w:b/>
          <w:color w:val="000000"/>
          <w:sz w:val="20"/>
          <w:shd w:fill="FFFFFF" w:val="clear"/>
        </w:rPr>
        <w:t>Adjusted Earnings Per Share</w:t>
      </w:r>
      <w:r>
        <w:rPr>
          <w:color w:val="000000"/>
          <w:shd w:fill="FFFFFF" w:val="clear"/>
        </w:rPr>
        <w:t> </w:t>
      </w:r>
      <w:r>
        <w:rPr>
          <w:rFonts w:ascii="Times New Roman;serif" w:hAnsi="Times New Roman;serif"/>
          <w:b w:val="false"/>
          <w:color w:val="000000"/>
          <w:sz w:val="20"/>
          <w:shd w:fill="FFFFFF" w:val="clear"/>
        </w:rPr>
        <w:t xml:space="preserve">increased 8% to $0.42 vs. $0.39 in Q2 2025 </w:t>
      </w:r>
    </w:p>
    <w:p>
      <w:pPr>
        <w:pStyle w:val="TextBody"/>
        <w:bidi w:val="0"/>
        <w:spacing w:lineRule="auto" w:line="288" w:before="200" w:after="283"/>
        <w:jc w:val="both"/>
        <w:rPr/>
      </w:pPr>
      <w:r>
        <w:rPr>
          <w:rFonts w:ascii="Times New Roman;serif" w:hAnsi="Times New Roman;serif"/>
          <w:b w:val="false"/>
          <w:color w:val="000000"/>
          <w:sz w:val="20"/>
        </w:rPr>
        <w:t>Net Income increased 22% to $89 million</w:t>
      </w:r>
      <w:r>
        <w:rPr>
          <w:color w:val="000000"/>
          <w:shd w:fill="FFFFFF" w:val="clear"/>
        </w:rPr>
        <w:t xml:space="preserve"> </w:t>
      </w:r>
      <w:r>
        <w:rPr>
          <w:rFonts w:ascii="Times New Roman;serif" w:hAnsi="Times New Roman;serif"/>
          <w:b w:val="false"/>
          <w:color w:val="000000"/>
          <w:sz w:val="20"/>
          <w:shd w:fill="FFFFFF" w:val="clear"/>
        </w:rPr>
        <w:t xml:space="preserve">from $73 million in Q2 2025 and </w:t>
      </w:r>
      <w:r>
        <w:rPr>
          <w:rFonts w:ascii="Times New Roman;serif" w:hAnsi="Times New Roman;serif"/>
          <w:b w:val="false"/>
          <w:color w:val="000000"/>
          <w:sz w:val="20"/>
        </w:rPr>
        <w:t xml:space="preserve">Adjusted Net Income increased $6 million compared to Adjusted Net Income of </w:t>
      </w:r>
      <w:r>
        <w:rPr>
          <w:rFonts w:ascii="Times New Roman;serif" w:hAnsi="Times New Roman;serif"/>
          <w:b w:val="false"/>
          <w:color w:val="000000"/>
          <w:sz w:val="20"/>
          <w:shd w:fill="FFFFFF" w:val="clear"/>
        </w:rPr>
        <w:t>$83 million</w:t>
      </w:r>
      <w:r>
        <w:rPr>
          <w:color w:val="000000"/>
        </w:rPr>
        <w:t xml:space="preserve"> </w:t>
      </w:r>
      <w:r>
        <w:rPr>
          <w:rFonts w:ascii="Times New Roman;serif" w:hAnsi="Times New Roman;serif"/>
          <w:b w:val="false"/>
          <w:color w:val="000000"/>
          <w:sz w:val="20"/>
        </w:rPr>
        <w:t xml:space="preserve">for the second quarter of </w:t>
      </w:r>
      <w:r>
        <w:rPr>
          <w:rFonts w:ascii="Times New Roman;serif" w:hAnsi="Times New Roman;serif"/>
          <w:b w:val="false"/>
          <w:color w:val="000000"/>
          <w:sz w:val="20"/>
          <w:shd w:fill="FFFFFF" w:val="clear"/>
        </w:rPr>
        <w:t>2025, reflecting improved operating performance</w:t>
      </w:r>
      <w:r>
        <w:rPr>
          <w:rFonts w:ascii="Times New Roman;serif" w:hAnsi="Times New Roman;serif"/>
          <w:b w:val="false"/>
          <w:color w:val="000000"/>
          <w:sz w:val="20"/>
        </w:rPr>
        <w:t xml:space="preserve">. </w:t>
      </w:r>
      <w:r>
        <w:rPr>
          <w:rFonts w:ascii="Times New Roman;serif" w:hAnsi="Times New Roman;serif"/>
          <w:b w:val="false"/>
          <w:color w:val="000000"/>
          <w:sz w:val="20"/>
          <w:shd w:fill="FFFFFF" w:val="clear"/>
        </w:rPr>
        <w:t xml:space="preserve">Adjusted EBITDA increased $8 million to $171 million compared to the prior year </w:t>
      </w:r>
      <w:r>
        <w:rPr>
          <w:rFonts w:ascii="Times New Roman;serif" w:hAnsi="Times New Roman;serif"/>
          <w:b w:val="false"/>
          <w:color w:val="000000"/>
          <w:sz w:val="20"/>
        </w:rPr>
        <w:t xml:space="preserve">period, primarily driven by manufacturing efficiency gains, partially offset by the impact of lower volumes and increased selling, general and administrative (SG&amp;A) costs. These results reflect continued margin expansion through productivity initiatives, supporting ongoing investment in growth and other strategic initiatives. </w:t>
      </w:r>
    </w:p>
    <w:p>
      <w:pPr>
        <w:pStyle w:val="TextBody"/>
        <w:bidi w:val="0"/>
        <w:spacing w:before="200" w:after="283"/>
        <w:jc w:val="left"/>
        <w:rPr/>
      </w:pPr>
      <w:r>
        <w:rPr/>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9"/>
        </w:rPr>
      </w:pPr>
      <w:r>
        <w:rPr>
          <w:rFonts w:ascii="Times New Roman;serif" w:hAnsi="Times New Roman;serif"/>
          <w:b w:val="false"/>
          <w:color w:val="000000"/>
          <w:sz w:val="9"/>
        </w:rPr>
        <w:t>__________________________________________________</w:t>
      </w:r>
    </w:p>
    <w:p>
      <w:pPr>
        <w:pStyle w:val="TextBody"/>
        <w:bidi w:val="0"/>
        <w:spacing w:lineRule="auto" w:line="268"/>
        <w:jc w:val="both"/>
        <w:rPr/>
      </w:pPr>
      <w:r>
        <w:rPr>
          <w:rFonts w:ascii="Times New Roman;serif" w:hAnsi="Times New Roman;serif"/>
          <w:b w:val="false"/>
          <w:color w:val="000000"/>
          <w:sz w:val="9"/>
        </w:rPr>
        <w:t>1</w:t>
      </w:r>
      <w:r>
        <w:rPr>
          <w:rFonts w:ascii="Times New Roman;serif" w:hAnsi="Times New Roman;serif"/>
          <w:b w:val="false"/>
          <w:color w:val="000000"/>
          <w:sz w:val="14"/>
        </w:rPr>
        <w:t xml:space="preserve">Non-Retail Revenues consist of aluminum sales made to food service and industrial customers. </w:t>
      </w:r>
    </w:p>
    <w:p>
      <w:pPr>
        <w:pStyle w:val="TextBody"/>
        <w:bidi w:val="0"/>
        <w:spacing w:before="240" w:after="283"/>
        <w:jc w:val="righ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60" w:after="283"/>
        <w:jc w:val="left"/>
        <w:rPr/>
      </w:pPr>
      <w:r>
        <w:rPr>
          <w:rFonts w:ascii="Times New Roman;serif" w:hAnsi="Times New Roman;serif"/>
          <w:b/>
          <w:color w:val="000000"/>
          <w:sz w:val="20"/>
          <w:shd w:fill="FFFFFF" w:val="clear"/>
        </w:rPr>
        <w:t>Second Quarter Key Business Segment Results</w:t>
      </w:r>
      <w:r>
        <w:rPr>
          <w:color w:val="000000"/>
          <w:shd w:fill="FFFFFF" w:val="clear"/>
        </w:rPr>
        <w:t xml:space="preserve"> </w:t>
      </w:r>
    </w:p>
    <w:p>
      <w:pPr>
        <w:pStyle w:val="TextBody"/>
        <w:bidi w:val="0"/>
        <w:spacing w:lineRule="auto" w:line="268" w:before="6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As outlined in our first quarter earnings release, effective January 1, the Company realigned its former Hefty Waste &amp; Storage and Presto Products operating segments to enhance efficiency, sharpen its innovation focus, and better support future expansion into adjacent categories. These changes did not impact previously reported consolidated results. All prior periods are recast to conform with current year presentation.</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Reynolds Cooking &amp; Kitchen Essentials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Net Revenues increased $19 million to $314 million, reflecting increases in both Retail and Non-retail Revenues, and includes 19 points of pricing to offset commodity cost increases.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Retail volumes decreased 8%, in part from promotional timing differences in foil, while Reynolds parchment, oven bags and slow cooker liners drove share gains.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Adjusted EBITDA increased $4 million to $53 million, primarily driven by manufacturing efficiency gains, partially offset by the impact of lower volumes.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Hefty® Waste &amp; Clean-Up</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Net Revenues decreased $3 million to $233 million. Retail volumes remained flat and branded volume gains offset previously communicated private label distribution losses.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Hefty</w:t>
      </w:r>
      <w:r>
        <w:rPr>
          <w:rFonts w:ascii="Times New Roman;serif" w:hAnsi="Times New Roman;serif"/>
          <w:b w:val="false"/>
          <w:color w:val="000000"/>
          <w:sz w:val="16"/>
        </w:rPr>
        <w:t>®</w:t>
      </w:r>
      <w:r>
        <w:rPr>
          <w:color w:val="000000"/>
        </w:rPr>
        <w:t xml:space="preserve"> </w:t>
      </w:r>
      <w:r>
        <w:rPr>
          <w:rFonts w:ascii="Times New Roman;serif" w:hAnsi="Times New Roman;serif"/>
          <w:b w:val="false"/>
          <w:color w:val="000000"/>
          <w:sz w:val="20"/>
        </w:rPr>
        <w:t>waste maintained share,</w:t>
      </w:r>
      <w:r>
        <w:rPr>
          <w:color w:val="000000"/>
        </w:rPr>
        <w:t xml:space="preserve"> </w:t>
      </w:r>
      <w:r>
        <w:rPr>
          <w:rFonts w:ascii="Times New Roman;serif" w:hAnsi="Times New Roman;serif"/>
          <w:b w:val="false"/>
          <w:color w:val="000000"/>
          <w:sz w:val="20"/>
        </w:rPr>
        <w:t>despite a heightened promotional environment. Hefty</w:t>
      </w:r>
      <w:r>
        <w:rPr>
          <w:rFonts w:ascii="Times New Roman;serif" w:hAnsi="Times New Roman;serif"/>
          <w:b w:val="false"/>
          <w:color w:val="000000"/>
          <w:sz w:val="16"/>
        </w:rPr>
        <w:t>®</w:t>
      </w:r>
      <w:r>
        <w:rPr>
          <w:color w:val="000000"/>
        </w:rPr>
        <w:t xml:space="preserve"> </w:t>
      </w:r>
      <w:r>
        <w:rPr>
          <w:rFonts w:ascii="Times New Roman;serif" w:hAnsi="Times New Roman;serif"/>
          <w:b w:val="false"/>
          <w:color w:val="000000"/>
          <w:sz w:val="20"/>
        </w:rPr>
        <w:t>Ultra Strong trash bags were listed as a top 5 selling item on Amazon Prime Day 2026.</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Adjusted EBITDA decreased $3 million to $69 million due to the impact of lower revenues.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Hefty® Home &amp; Tableware</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Net Revenues decreased $25 million to $217 million, due to the impact of lower volumes driven primarily by foam declines, partially offset by reduced promotional activity.</w:t>
      </w:r>
    </w:p>
    <w:p>
      <w:pPr>
        <w:pStyle w:val="TextBody"/>
        <w:bidi w:val="0"/>
        <w:spacing w:lineRule="auto" w:line="288" w:before="0" w:after="0"/>
        <w:jc w:val="both"/>
        <w:rPr/>
      </w:pPr>
      <w:r>
        <w:rPr>
          <w:color w:val="000000"/>
        </w:rPr>
        <w:t>•</w:t>
      </w:r>
      <w:r>
        <w:rPr>
          <w:rFonts w:ascii="Times New Roman;serif" w:hAnsi="Times New Roman;serif"/>
          <w:b w:val="false"/>
          <w:color w:val="000000"/>
          <w:sz w:val="20"/>
        </w:rPr>
        <w:t>Retail volumes decreased 14%; excluding foam Retail volumes decreased 8%.</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Adjusted EBITDA increased $8 million to $43 million, driven by manufacturing efficiency gains. The impact of lower volumes was offset by decreased promotional activity.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 xml:space="preserve">Hefty® Storage &amp; Organization </w:t>
      </w:r>
    </w:p>
    <w:p>
      <w:pPr>
        <w:pStyle w:val="TextBody"/>
        <w:bidi w:val="0"/>
        <w:spacing w:lineRule="auto" w:line="288" w:before="0" w:after="0"/>
        <w:jc w:val="both"/>
        <w:rPr/>
      </w:pPr>
      <w:r>
        <w:rPr>
          <w:color w:val="000000"/>
        </w:rPr>
        <w:t>•</w:t>
      </w:r>
      <w:r>
        <w:rPr>
          <w:rFonts w:ascii="Times New Roman;serif" w:hAnsi="Times New Roman;serif"/>
          <w:b w:val="false"/>
          <w:color w:val="000000"/>
          <w:sz w:val="20"/>
        </w:rPr>
        <w:t xml:space="preserve">Net Revenues increased </w:t>
      </w:r>
      <w:r>
        <w:rPr>
          <w:rFonts w:ascii="Times New Roman;serif" w:hAnsi="Times New Roman;serif"/>
          <w:b w:val="false"/>
          <w:color w:val="000000"/>
          <w:sz w:val="20"/>
          <w:shd w:fill="FFFFFF" w:val="clear"/>
        </w:rPr>
        <w:t>$9 million to a record second quarter of $176 million, reflecting stronger volumes.</w:t>
      </w:r>
    </w:p>
    <w:p>
      <w:pPr>
        <w:pStyle w:val="TextBody"/>
        <w:bidi w:val="0"/>
        <w:spacing w:lineRule="auto" w:line="288" w:before="0" w:after="0"/>
        <w:jc w:val="both"/>
        <w:rPr/>
      </w:pPr>
      <w:r>
        <w:rPr>
          <w:color w:val="000000"/>
          <w:shd w:fill="FFFFFF" w:val="clear"/>
        </w:rPr>
        <w:t>•</w:t>
      </w:r>
      <w:r>
        <w:rPr>
          <w:rFonts w:ascii="Times New Roman;serif" w:hAnsi="Times New Roman;serif"/>
          <w:b w:val="false"/>
          <w:color w:val="000000"/>
          <w:sz w:val="20"/>
          <w:shd w:fill="FFFFFF" w:val="clear"/>
        </w:rPr>
        <w:t>Retail volumes incre</w:t>
      </w:r>
      <w:r>
        <w:rPr>
          <w:rFonts w:ascii="Times New Roman;serif" w:hAnsi="Times New Roman;serif"/>
          <w:b w:val="false"/>
          <w:color w:val="000000"/>
          <w:sz w:val="20"/>
        </w:rPr>
        <w:t>ased 8%, driven by strong performance of Hefty</w:t>
      </w:r>
      <w:r>
        <w:rPr>
          <w:rFonts w:ascii="Times New Roman;serif" w:hAnsi="Times New Roman;serif"/>
          <w:b w:val="false"/>
          <w:color w:val="000000"/>
          <w:sz w:val="16"/>
        </w:rPr>
        <w:t>®</w:t>
      </w:r>
      <w:r>
        <w:rPr>
          <w:color w:val="000000"/>
        </w:rPr>
        <w:t xml:space="preserve"> </w:t>
      </w:r>
      <w:r>
        <w:rPr>
          <w:rFonts w:ascii="Times New Roman;serif" w:hAnsi="Times New Roman;serif"/>
          <w:b w:val="false"/>
          <w:color w:val="000000"/>
          <w:sz w:val="20"/>
        </w:rPr>
        <w:t>and store brand food bags.</w:t>
      </w:r>
    </w:p>
    <w:p>
      <w:pPr>
        <w:pStyle w:val="TextBody"/>
        <w:bidi w:val="0"/>
        <w:spacing w:lineRule="auto" w:line="268" w:before="0" w:after="0"/>
        <w:ind w:left="0" w:right="0" w:hanging="360"/>
        <w:jc w:val="both"/>
        <w:rPr/>
      </w:pPr>
      <w:r>
        <w:rPr>
          <w:color w:val="000000"/>
          <w:shd w:fill="FFFFFF" w:val="clear"/>
        </w:rPr>
        <w:t>•</w:t>
      </w:r>
      <w:r>
        <w:rPr>
          <w:rFonts w:ascii="Times New Roman;serif" w:hAnsi="Times New Roman;serif"/>
          <w:b w:val="false"/>
          <w:color w:val="000000"/>
          <w:sz w:val="20"/>
          <w:shd w:fill="FFFFFF" w:val="clear"/>
        </w:rPr>
        <w:t xml:space="preserve">Adjusted EBITDA decreased $3 million to $27 million, driven primarily by costs associated with the ramp up of new business and promoting behind new distribution. </w:t>
      </w:r>
    </w:p>
    <w:p>
      <w:pPr>
        <w:pStyle w:val="TextBody"/>
        <w:bidi w:val="0"/>
        <w:spacing w:before="0" w:after="0"/>
        <w:jc w:val="left"/>
        <w:rPr/>
      </w:pPr>
      <w:r>
        <w:rPr/>
      </w:r>
    </w:p>
    <w:p>
      <w:pPr>
        <w:pStyle w:val="TextBody"/>
        <w:bidi w:val="0"/>
        <w:spacing w:lineRule="auto" w:line="288" w:before="60" w:after="283"/>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Year to Date 2026 Highlights</w:t>
      </w:r>
    </w:p>
    <w:p>
      <w:pPr>
        <w:pStyle w:val="TextBody"/>
        <w:bidi w:val="0"/>
        <w:spacing w:lineRule="auto" w:line="288" w:before="60" w:after="283"/>
        <w:ind w:left="0" w:right="0" w:hanging="360"/>
        <w:jc w:val="left"/>
        <w:rPr/>
      </w:pPr>
      <w:r>
        <w:rPr>
          <w:color w:val="000000"/>
        </w:rPr>
        <w:t>•</w:t>
      </w:r>
      <w:r>
        <w:rPr>
          <w:rFonts w:ascii="Times New Roman;serif" w:hAnsi="Times New Roman;serif"/>
          <w:b/>
          <w:color w:val="000000"/>
          <w:sz w:val="20"/>
        </w:rPr>
        <w:t>Net Revenues</w:t>
      </w:r>
      <w:r>
        <w:rPr>
          <w:color w:val="000000"/>
        </w:rPr>
        <w:t> </w:t>
      </w:r>
      <w:r>
        <w:rPr>
          <w:rFonts w:ascii="Times New Roman;serif" w:hAnsi="Times New Roman;serif"/>
          <w:b w:val="false"/>
          <w:color w:val="000000"/>
          <w:sz w:val="20"/>
        </w:rPr>
        <w:t>of $1,821 million compared to $1,756 million in the comparable prior year period</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color w:val="000000"/>
          <w:sz w:val="20"/>
        </w:rPr>
        <w:t>Retail Net Revenues of $1,692 million compared to $1,652 million in the comparable prior year period</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color w:val="000000"/>
          <w:sz w:val="20"/>
        </w:rPr>
        <w:t xml:space="preserve">Retail volumes decreased 1%; excluding foam Retail volumes increased 1%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Non-Retail Net Revenues of $129 million compared to $104 million in the comparable prior year period</w:t>
      </w:r>
    </w:p>
    <w:p>
      <w:pPr>
        <w:pStyle w:val="TextBody"/>
        <w:bidi w:val="0"/>
        <w:spacing w:lineRule="auto" w:line="288" w:before="0" w:after="0"/>
        <w:ind w:left="0" w:right="0" w:hanging="360"/>
        <w:jc w:val="left"/>
        <w:rPr/>
      </w:pPr>
      <w:r>
        <w:rPr>
          <w:color w:val="000000"/>
        </w:rPr>
        <w:t>•</w:t>
      </w:r>
      <w:r>
        <w:rPr>
          <w:rFonts w:ascii="Times New Roman;serif" w:hAnsi="Times New Roman;serif"/>
          <w:b/>
          <w:color w:val="000000"/>
          <w:sz w:val="20"/>
        </w:rPr>
        <w:t>Net Income</w:t>
      </w:r>
      <w:r>
        <w:rPr>
          <w:color w:val="000000"/>
        </w:rPr>
        <w:t> </w:t>
      </w:r>
      <w:r>
        <w:rPr>
          <w:rFonts w:ascii="Times New Roman;serif" w:hAnsi="Times New Roman;serif"/>
          <w:b w:val="false"/>
          <w:color w:val="000000"/>
          <w:sz w:val="20"/>
        </w:rPr>
        <w:t xml:space="preserve">of $148 million compared to $105 million in the comparable prior year period, and </w:t>
      </w:r>
      <w:r>
        <w:rPr>
          <w:rFonts w:ascii="Times New Roman;serif" w:hAnsi="Times New Roman;serif"/>
          <w:b/>
          <w:color w:val="000000"/>
          <w:sz w:val="20"/>
        </w:rPr>
        <w:t>Adjusted Net Inc</w:t>
      </w:r>
      <w:r>
        <w:rPr>
          <w:rFonts w:ascii="Times New Roman;serif" w:hAnsi="Times New Roman;serif"/>
          <w:b/>
          <w:color w:val="000000"/>
          <w:sz w:val="20"/>
          <w:shd w:fill="FFFFFF" w:val="clear"/>
        </w:rPr>
        <w:t xml:space="preserve">ome </w:t>
      </w:r>
      <w:r>
        <w:rPr>
          <w:rFonts w:ascii="Times New Roman;serif" w:hAnsi="Times New Roman;serif"/>
          <w:b w:val="false"/>
          <w:color w:val="000000"/>
          <w:sz w:val="20"/>
          <w:shd w:fill="FFFFFF" w:val="clear"/>
        </w:rPr>
        <w:t xml:space="preserve">of </w:t>
      </w:r>
      <w:r>
        <w:rPr>
          <w:rFonts w:ascii="Times New Roman;serif" w:hAnsi="Times New Roman;serif"/>
          <w:b w:val="false"/>
          <w:color w:val="000000"/>
          <w:sz w:val="20"/>
        </w:rPr>
        <w:t>$148 million c</w:t>
      </w:r>
      <w:r>
        <w:rPr>
          <w:rFonts w:ascii="Times New Roman;serif" w:hAnsi="Times New Roman;serif"/>
          <w:b w:val="false"/>
          <w:color w:val="000000"/>
          <w:sz w:val="20"/>
          <w:shd w:fill="FFFFFF" w:val="clear"/>
        </w:rPr>
        <w:t>ompared to</w:t>
      </w:r>
      <w:r>
        <w:rPr>
          <w:color w:val="000000"/>
        </w:rPr>
        <w:t xml:space="preserve"> </w:t>
      </w:r>
      <w:r>
        <w:rPr>
          <w:rFonts w:ascii="Times New Roman;serif" w:hAnsi="Times New Roman;serif"/>
          <w:b w:val="false"/>
          <w:color w:val="000000"/>
          <w:sz w:val="20"/>
        </w:rPr>
        <w:t>$132 million in the comparable prior year period</w:t>
      </w:r>
    </w:p>
    <w:p>
      <w:pPr>
        <w:pStyle w:val="TextBody"/>
        <w:bidi w:val="0"/>
        <w:spacing w:lineRule="auto" w:line="288" w:before="0" w:after="0"/>
        <w:ind w:left="0" w:right="0" w:hanging="360"/>
        <w:jc w:val="left"/>
        <w:rPr/>
      </w:pPr>
      <w:r>
        <w:rPr>
          <w:color w:val="000000"/>
        </w:rPr>
        <w:t>•</w:t>
      </w:r>
      <w:r>
        <w:rPr>
          <w:rFonts w:ascii="Times New Roman;serif" w:hAnsi="Times New Roman;serif"/>
          <w:b/>
          <w:color w:val="000000"/>
          <w:sz w:val="20"/>
          <w:shd w:fill="FFFFFF" w:val="clear"/>
        </w:rPr>
        <w:t>Adjusted EBITDA </w:t>
      </w:r>
      <w:r>
        <w:rPr>
          <w:rFonts w:ascii="Times New Roman;serif" w:hAnsi="Times New Roman;serif"/>
          <w:b w:val="false"/>
          <w:color w:val="000000"/>
          <w:sz w:val="20"/>
          <w:shd w:fill="FFFFFF" w:val="clear"/>
        </w:rPr>
        <w:t xml:space="preserve">of </w:t>
      </w:r>
      <w:r>
        <w:rPr>
          <w:rFonts w:ascii="Times New Roman;serif" w:hAnsi="Times New Roman;serif"/>
          <w:b w:val="false"/>
          <w:color w:val="000000"/>
          <w:sz w:val="20"/>
        </w:rPr>
        <w:t>$302 million compared to $279 million in the comparable prior year period</w:t>
      </w:r>
    </w:p>
    <w:p>
      <w:pPr>
        <w:pStyle w:val="TextBody"/>
        <w:bidi w:val="0"/>
        <w:spacing w:lineRule="auto" w:line="288" w:before="0" w:after="0"/>
        <w:ind w:left="0" w:right="0" w:hanging="360"/>
        <w:jc w:val="left"/>
        <w:rPr/>
      </w:pPr>
      <w:r>
        <w:rPr>
          <w:color w:val="000000"/>
        </w:rPr>
        <w:t>•</w:t>
      </w:r>
      <w:r>
        <w:rPr>
          <w:rFonts w:ascii="Times New Roman;serif" w:hAnsi="Times New Roman;serif"/>
          <w:b/>
          <w:color w:val="000000"/>
          <w:sz w:val="20"/>
        </w:rPr>
        <w:t xml:space="preserve">Earnings Per Share </w:t>
      </w:r>
      <w:r>
        <w:rPr>
          <w:rFonts w:ascii="Times New Roman;serif" w:hAnsi="Times New Roman;serif"/>
          <w:b w:val="false"/>
          <w:color w:val="000000"/>
          <w:sz w:val="20"/>
        </w:rPr>
        <w:t>of $0.70 compared to $0.50 in the comparable prior year period</w:t>
      </w:r>
      <w:r>
        <w:rPr>
          <w:rFonts w:ascii="Times New Roman;serif" w:hAnsi="Times New Roman;serif"/>
          <w:b w:val="false"/>
          <w:color w:val="000000"/>
          <w:sz w:val="20"/>
          <w:shd w:fill="FFFFFF" w:val="clear"/>
        </w:rPr>
        <w:t xml:space="preserve">, and </w:t>
      </w:r>
      <w:r>
        <w:rPr>
          <w:rFonts w:ascii="Times New Roman;serif" w:hAnsi="Times New Roman;serif"/>
          <w:b/>
          <w:color w:val="000000"/>
          <w:sz w:val="20"/>
          <w:shd w:fill="FFFFFF" w:val="clear"/>
        </w:rPr>
        <w:t>Adjusted Earnings Per Sha</w:t>
      </w:r>
      <w:r>
        <w:rPr>
          <w:rFonts w:ascii="Times New Roman;serif" w:hAnsi="Times New Roman;serif"/>
          <w:b w:val="false"/>
          <w:color w:val="000000"/>
          <w:sz w:val="20"/>
          <w:shd w:fill="FFFFFF" w:val="clear"/>
        </w:rPr>
        <w:t xml:space="preserve">re of </w:t>
      </w:r>
      <w:r>
        <w:rPr>
          <w:rFonts w:ascii="Times New Roman;serif" w:hAnsi="Times New Roman;serif"/>
          <w:b w:val="false"/>
          <w:color w:val="000000"/>
          <w:sz w:val="20"/>
        </w:rPr>
        <w:t>$0.70</w:t>
      </w:r>
      <w:r>
        <w:rPr>
          <w:color w:val="000000"/>
          <w:shd w:fill="FFFFFF" w:val="clear"/>
        </w:rPr>
        <w:t xml:space="preserve"> </w:t>
      </w:r>
      <w:r>
        <w:rPr>
          <w:rFonts w:ascii="Times New Roman;serif" w:hAnsi="Times New Roman;serif"/>
          <w:b w:val="false"/>
          <w:color w:val="000000"/>
          <w:sz w:val="20"/>
          <w:shd w:fill="FFFFFF" w:val="clear"/>
        </w:rPr>
        <w:t xml:space="preserve">vs. </w:t>
      </w:r>
      <w:r>
        <w:rPr>
          <w:rFonts w:ascii="Times New Roman;serif" w:hAnsi="Times New Roman;serif"/>
          <w:b w:val="false"/>
          <w:color w:val="000000"/>
          <w:sz w:val="20"/>
        </w:rPr>
        <w:t>$0.63 in the comparable prior year period</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Net Income was $148 million compared to $105 million in the comparable period of 2025, which included $27 million of after-tax debt refinancing costs, CEO transition costs, and strategic investments in cost savings and revenue growth initiatives that did not repeat. Adjusted Net Income was $148 million compared to Adjusted Net Income of $132 million in the comparable period of 2025. Adjusted EBITDA was $302 million compared to $279 million in the comparable period of 2025, primarily attributable to the timing of pricing actions in relation to input cost increases and lower operational costs, partially offset by higher SG&amp;A costs.</w:t>
      </w:r>
    </w:p>
    <w:p>
      <w:pPr>
        <w:pStyle w:val="TextBody"/>
        <w:bidi w:val="0"/>
        <w:spacing w:before="200" w:after="283"/>
        <w:jc w:val="left"/>
        <w:rPr/>
      </w:pPr>
      <w:r>
        <w:rPr/>
      </w:r>
    </w:p>
    <w:p>
      <w:pPr>
        <w:pStyle w:val="TextBody"/>
        <w:bidi w:val="0"/>
        <w:spacing w:before="240" w:after="283"/>
        <w:jc w:val="left"/>
        <w:rPr/>
      </w:pPr>
      <w:r>
        <w:rPr/>
      </w:r>
    </w:p>
    <w:p>
      <w:pPr>
        <w:pStyle w:val="TextBody"/>
        <w:bidi w:val="0"/>
        <w:spacing w:before="240" w:after="283"/>
        <w:jc w:val="righ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60" w:after="283"/>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Balance Sheet and Cash Flow Highlights</w:t>
      </w:r>
    </w:p>
    <w:p>
      <w:pPr>
        <w:pStyle w:val="TextBody"/>
        <w:bidi w:val="0"/>
        <w:spacing w:lineRule="auto" w:line="288" w:before="60" w:after="283"/>
        <w:jc w:val="left"/>
        <w:rPr/>
      </w:pPr>
      <w:r>
        <w:rPr>
          <w:rFonts w:ascii="Times New Roman;serif" w:hAnsi="Times New Roman;serif"/>
          <w:b w:val="false"/>
          <w:color w:val="000000"/>
          <w:sz w:val="20"/>
          <w:shd w:fill="FFFFFF" w:val="clear"/>
        </w:rPr>
        <w:t>Cash and cash equivalents were $66 million at June 30, 2026 and debt was $1,530 million, resulting in Net Debt of $1,464 million. Net Debt t</w:t>
      </w:r>
      <w:r>
        <w:rPr>
          <w:rFonts w:ascii="Times New Roman;serif" w:hAnsi="Times New Roman;serif"/>
          <w:b w:val="false"/>
          <w:color w:val="000000"/>
          <w:sz w:val="20"/>
        </w:rPr>
        <w:t>o Trailing Twelve Months Adjusted EBITDA</w:t>
      </w: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 xml:space="preserve">was 2.1x on June 30, 2026 and at the lower end of the Company’s target leverage range.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shd w:fill="FFFFFF" w:val="clear"/>
        </w:rPr>
        <w:t xml:space="preserve">During the </w:t>
      </w:r>
      <w:r>
        <w:rPr>
          <w:rFonts w:ascii="Times New Roman;serif" w:hAnsi="Times New Roman;serif"/>
          <w:b w:val="false"/>
          <w:color w:val="000000"/>
          <w:sz w:val="20"/>
        </w:rPr>
        <w:t xml:space="preserve">six months ended June 30, 2026, we made a voluntary principal repayment of $50 million. </w:t>
      </w:r>
    </w:p>
    <w:p>
      <w:pPr>
        <w:pStyle w:val="TextBody"/>
        <w:bidi w:val="0"/>
        <w:spacing w:before="0" w:after="0"/>
        <w:jc w:val="left"/>
        <w:rPr/>
      </w:pPr>
      <w:r>
        <w:rPr/>
      </w:r>
    </w:p>
    <w:p>
      <w:pPr>
        <w:pStyle w:val="TextBody"/>
        <w:bidi w:val="0"/>
        <w:spacing w:lineRule="auto" w:line="268" w:before="0" w:after="0"/>
        <w:jc w:val="both"/>
        <w:rPr>
          <w:color w:val="000000"/>
        </w:rPr>
      </w:pPr>
      <w:r>
        <w:rPr>
          <w:color w:val="000000"/>
        </w:rPr>
        <w:t>“</w:t>
      </w:r>
      <w:r>
        <w:rPr>
          <w:rFonts w:ascii="Times New Roman;serif" w:hAnsi="Times New Roman;serif"/>
          <w:b w:val="false"/>
          <w:color w:val="000000"/>
          <w:sz w:val="20"/>
        </w:rPr>
        <w:t>Our second quarter results demonstrate disciplined execution across the business, targeted productivity initiatives and prudent capital deployment,” said Nathan Lowe, Chief Financial Officer. “We grew earnings through improved profitability, maintained leverage at the low end of our target range and continued investing behind initiatives that support long-term growth and cash generation, while remaining focused on managing through a dynamic consumer and cost environment.”</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9"/>
        </w:rPr>
        <w:t>1</w:t>
      </w:r>
      <w:r>
        <w:rPr>
          <w:rFonts w:ascii="Times New Roman;serif" w:hAnsi="Times New Roman;serif"/>
          <w:b w:val="false"/>
          <w:color w:val="000000"/>
          <w:sz w:val="14"/>
        </w:rPr>
        <w:t>Net Debt is defined as current portion of long-term debt plus long-term debt less cash and cash equivalents. Net Debt Leverage is defined as Net Debt divided by Trailing Twelve Months Adjusted EBITDA. See “Use of Non-GAAP Financia</w:t>
      </w:r>
      <w:r>
        <w:rPr>
          <w:rFonts w:ascii="Times New Roman;serif" w:hAnsi="Times New Roman;serif"/>
          <w:b w:val="false"/>
          <w:color w:val="000000"/>
          <w:sz w:val="14"/>
          <w:shd w:fill="FFFFFF" w:val="clear"/>
        </w:rPr>
        <w:t>l Measures” for additional information.</w:t>
      </w:r>
    </w:p>
    <w:p>
      <w:pPr>
        <w:pStyle w:val="TextBody"/>
        <w:bidi w:val="0"/>
        <w:spacing w:before="0" w:after="0"/>
        <w:jc w:val="left"/>
        <w:rPr/>
      </w:pPr>
      <w:r>
        <w:rPr/>
      </w:r>
    </w:p>
    <w:p>
      <w:pPr>
        <w:pStyle w:val="TextBody"/>
        <w:bidi w:val="0"/>
        <w:spacing w:lineRule="auto" w:line="288" w:before="60" w:after="283"/>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Full Year 2026 and Third Quarter Outlook</w:t>
      </w:r>
    </w:p>
    <w:p>
      <w:pPr>
        <w:pStyle w:val="TextBody"/>
        <w:bidi w:val="0"/>
        <w:spacing w:lineRule="auto" w:line="288" w:before="60" w:after="283"/>
        <w:jc w:val="both"/>
        <w:rPr/>
      </w:pPr>
      <w:r>
        <w:rPr>
          <w:rFonts w:ascii="Times New Roman;serif" w:hAnsi="Times New Roman;serif"/>
          <w:b w:val="false"/>
          <w:color w:val="000000"/>
          <w:sz w:val="20"/>
          <w:shd w:fill="FFFFFF" w:val="clear"/>
        </w:rPr>
        <w:t>The Co</w:t>
      </w:r>
      <w:r>
        <w:rPr>
          <w:rFonts w:ascii="Times New Roman;serif" w:hAnsi="Times New Roman;serif"/>
          <w:b w:val="false"/>
          <w:color w:val="000000"/>
          <w:sz w:val="20"/>
        </w:rPr>
        <w:t xml:space="preserve">mpany is increasing its full year 2026 Net Revenues outlook to a range of +1% to +3%, compared to 2025 Net Revenues of $3,721 million, to account for increased pricing net of elasticity. The Company continues to expect Net Income and Adjusted Net Income to be in the range of $331 million to $343 million, full-year EPS and Adjusted EPS to be in the range of $1.57 to $1.63, and full-year Adjusted EBITDA to be in the range of $660 million and $675 million.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Third quarter 2026 Net Revenues are expected to be approximately flat compared to third quarter 2025 Net Revenues of $931 million. Net Income and Adjusted Net Income are expected to be in the range of $79 million to $83 million in the third quarter, with EPS and Adjusted EPS expected to be in the range of $0.37 to $0.39. The Company expects third quarter Adjusted EBITDA to be in the range of $160 million to $165 million.</w:t>
      </w:r>
    </w:p>
    <w:p>
      <w:pPr>
        <w:pStyle w:val="TextBody"/>
        <w:bidi w:val="0"/>
        <w:spacing w:before="0" w:after="0"/>
        <w:jc w:val="both"/>
        <w:rPr/>
      </w:pPr>
      <w:r>
        <w:rPr/>
      </w:r>
    </w:p>
    <w:p>
      <w:pPr>
        <w:pStyle w:val="TextBody"/>
        <w:bidi w:val="0"/>
        <w:spacing w:lineRule="auto" w:line="288" w:before="60" w:after="283"/>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Quarterly Dividend</w:t>
      </w:r>
    </w:p>
    <w:p>
      <w:pPr>
        <w:pStyle w:val="TextBody"/>
        <w:bidi w:val="0"/>
        <w:spacing w:lineRule="auto" w:line="288" w:before="6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Company’s Board of Directors has approved a quarterly dividend of $0.23 per common share. The Company expects to pay this dividend on August 31, 2026, to shareholders of record as of August 17, 2026.</w:t>
      </w:r>
    </w:p>
    <w:p>
      <w:pPr>
        <w:pStyle w:val="TextBody"/>
        <w:bidi w:val="0"/>
        <w:spacing w:before="0" w:after="0"/>
        <w:jc w:val="both"/>
        <w:rPr/>
      </w:pPr>
      <w:r>
        <w:rPr/>
      </w:r>
    </w:p>
    <w:p>
      <w:pPr>
        <w:pStyle w:val="TextBody"/>
        <w:bidi w:val="0"/>
        <w:spacing w:lineRule="auto" w:line="288" w:before="60" w:after="283"/>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Earnings Webcast </w:t>
      </w:r>
    </w:p>
    <w:p>
      <w:pPr>
        <w:pStyle w:val="TextBody"/>
        <w:bidi w:val="0"/>
        <w:spacing w:lineRule="auto" w:line="288" w:before="6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The Company will host a live webcast this morning at 7:00 a.m. CT (8:00 a.m. ET). A link to the webcast and all related earnings materials will be available on the Company’s Investor Relations website at </w:t>
      </w:r>
    </w:p>
    <w:p>
      <w:pPr>
        <w:pStyle w:val="TextBody"/>
        <w:bidi w:val="0"/>
        <w:spacing w:lineRule="auto" w:line="288" w:before="0" w:after="0"/>
        <w:jc w:val="both"/>
        <w:rPr>
          <w:rFonts w:ascii="Times New Roman;serif" w:hAnsi="Times New Roman;serif"/>
          <w:b w:val="false"/>
          <w:color w:val="0000FF"/>
          <w:sz w:val="20"/>
          <w:shd w:fill="FFFFFF" w:val="clear"/>
        </w:rPr>
      </w:pPr>
      <w:r>
        <w:rPr>
          <w:rFonts w:ascii="Times New Roman;serif" w:hAnsi="Times New Roman;serif"/>
          <w:b w:val="false"/>
          <w:color w:val="0000FF"/>
          <w:sz w:val="20"/>
          <w:shd w:fill="FFFFFF" w:val="clear"/>
        </w:rPr>
        <w:t>https://investors.reynoldsconsumerproducts.com.</w:t>
      </w:r>
    </w:p>
    <w:p>
      <w:pPr>
        <w:pStyle w:val="TextBody"/>
        <w:bidi w:val="0"/>
        <w:spacing w:before="0" w:after="0"/>
        <w:jc w:val="both"/>
        <w:rPr/>
      </w:pPr>
      <w:r>
        <w:rPr/>
      </w:r>
    </w:p>
    <w:p>
      <w:pPr>
        <w:pStyle w:val="TextBody"/>
        <w:bidi w:val="0"/>
        <w:spacing w:lineRule="auto" w:line="288" w:before="60" w:after="283"/>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About Reynolds Consumer Products Inc.</w:t>
      </w:r>
    </w:p>
    <w:p>
      <w:pPr>
        <w:pStyle w:val="TextBody"/>
        <w:bidi w:val="0"/>
        <w:spacing w:lineRule="auto" w:line="288" w:before="60" w:after="283"/>
        <w:jc w:val="both"/>
        <w:rPr/>
      </w:pPr>
      <w:r>
        <w:rPr>
          <w:rFonts w:ascii="Times New Roman;serif" w:hAnsi="Times New Roman;serif"/>
          <w:b w:val="false"/>
          <w:color w:val="000000"/>
          <w:sz w:val="20"/>
          <w:shd w:fill="FFFFFF" w:val="clear"/>
        </w:rPr>
        <w:t>Reynolds Consumer Products is a leading provider of household essentials designed to simplify daily life, so consumers can enjoy what matters most. Found in 95% of U.S. homes, the Company offers trusted solutions</w:t>
      </w:r>
      <w:r>
        <w:rPr>
          <w:color w:val="000000"/>
        </w:rPr>
        <w:t xml:space="preserve"> </w:t>
      </w:r>
      <w:r>
        <w:rPr>
          <w:rFonts w:ascii="Times New Roman;serif" w:hAnsi="Times New Roman;serif"/>
          <w:b w:val="false"/>
          <w:color w:val="000000"/>
          <w:sz w:val="20"/>
        </w:rPr>
        <w:t xml:space="preserve">for cooking, serving, clean-up, and storage. Its portfolio features iconic brands like Reynolds® and Hefty®, along with store brand products tailored to retail partners. Reynolds holds the No. 1 or No. 2 market share in most of the categories it serves. Learn more at: </w:t>
      </w:r>
      <w:r>
        <w:rPr>
          <w:rFonts w:ascii="Times New Roman;serif" w:hAnsi="Times New Roman;serif"/>
          <w:b w:val="false"/>
          <w:color w:val="0000FF"/>
          <w:sz w:val="20"/>
        </w:rPr>
        <w:t>investors.reynoldsconsumerproducts.com</w:t>
      </w:r>
    </w:p>
    <w:p>
      <w:pPr>
        <w:pStyle w:val="TextBody"/>
        <w:bidi w:val="0"/>
        <w:spacing w:before="200" w:after="283"/>
        <w:jc w:val="both"/>
        <w:rPr/>
      </w:pPr>
      <w:r>
        <w:rPr/>
      </w:r>
    </w:p>
    <w:p>
      <w:pPr>
        <w:pStyle w:val="TextBody"/>
        <w:bidi w:val="0"/>
        <w:spacing w:lineRule="auto" w:line="288" w:before="60" w:after="283"/>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Forward Looking Statements</w:t>
      </w:r>
    </w:p>
    <w:p>
      <w:pPr>
        <w:pStyle w:val="TextBody"/>
        <w:bidi w:val="0"/>
        <w:spacing w:lineRule="auto" w:line="268"/>
        <w:jc w:val="both"/>
        <w:rPr/>
      </w:pPr>
      <w:r>
        <w:rPr>
          <w:rFonts w:ascii="Times New Roman;serif" w:hAnsi="Times New Roman;serif"/>
          <w:b w:val="false"/>
          <w:color w:val="000000"/>
          <w:sz w:val="20"/>
        </w:rPr>
        <w:t xml:space="preserve">This press release contains statements reflecting our views about our future performance that constitute “forward-looking statements” within the meaning of the Private Securities Litigation Reform Act of 1995, </w:t>
      </w:r>
      <w:r>
        <w:rPr>
          <w:rFonts w:ascii="Times New Roman;serif" w:hAnsi="Times New Roman;serif"/>
          <w:b w:val="false"/>
          <w:color w:val="000000"/>
          <w:sz w:val="20"/>
          <w:shd w:fill="FFFFFF" w:val="clear"/>
        </w:rPr>
        <w:t>which are based on information available to us on the date of this release. These forward-looking statements include, but are not limited to, our priorities to realize benefits from past initiatives and invest in future growth, and our expectations for sustainable earnings growth and long-term shareholder value, and our anticipated Net Revenue, Net Income, Adjusted Net Income, EPS, Adjusted EPS and Adjusted EBITDA</w:t>
      </w:r>
      <w:r>
        <w:rPr>
          <w:color w:val="000000"/>
        </w:rPr>
        <w:t xml:space="preserve"> </w:t>
      </w:r>
      <w:r>
        <w:rPr>
          <w:rFonts w:ascii="Times New Roman;serif" w:hAnsi="Times New Roman;serif"/>
          <w:b w:val="false"/>
          <w:color w:val="000000"/>
          <w:sz w:val="20"/>
        </w:rPr>
        <w:t xml:space="preserve">for third quarter and fiscal year 2026 guidance. </w:t>
      </w:r>
      <w:r>
        <w:rPr>
          <w:rFonts w:ascii="Times New Roman;serif" w:hAnsi="Times New Roman;serif"/>
          <w:b w:val="false"/>
          <w:color w:val="000000"/>
          <w:sz w:val="20"/>
          <w:shd w:fill="FFFFFF" w:val="clear"/>
        </w:rPr>
        <w:t xml:space="preserve">In some cases, you can identify these statements by forward-looking words such as “anticipate,” “believe,” “estimate,” “expect,” “will,” “should,” “may,” “might,” “intends,” “outlook,” “forecast”, “position,” “committed,” “plans,” “predicts,” “model,” “assumes,” “confident,” “look forward,” “potential,” “on track,” or “continue,” the negative of these terms and other comparable terminology. These forward-looking statements, which are subject to risks, uncertainties and assumptions about us, may include projections of our future financial performance, our anticipated growth and profitability, management of costs and other disruptions and other strategies, the impact of the imposition of tariffs, consumer demand trends, retailer inventory and promotional decisions, </w:t>
      </w:r>
    </w:p>
    <w:p>
      <w:pPr>
        <w:pStyle w:val="TextBody"/>
        <w:bidi w:val="0"/>
        <w:spacing w:before="240" w:after="283"/>
        <w:jc w:val="righ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inflationary pressures, our ability to recover commodity cost increases through pricing actions, and anticipated trends in our business, including expected levels of commodity costs and volume. These statements are only predictions based on our current expectations and projections about future events. There are important factors that could cause our actual results, level of activity, performance or achievements to differ materially from the results, level of activity, performance or achievements expressed or implied by the forward-looking statements, including but not limited to the risk factors set forth in our most recent Annual Report on Form 10-K and in our Quarterly Reports on Form 10-Q.</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For additional information on these and other factors that could cause our actual results to materially differ from those set forth herein, please see our filings with the Securities and Exchange Commission, including our most recent Annual Report on Form 10-K and subsequent filings. Investors are cautioned not to place undue reliance on any such forward-looking statements, which speak only as of the date they are made. The Company undertakes no obligation to update any forward-looking statement, whether as a result of new information, future events or otherwise.</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REYN-F</w:t>
      </w:r>
    </w:p>
    <w:p>
      <w:pPr>
        <w:pStyle w:val="TextBody"/>
        <w:bidi w:val="0"/>
        <w:spacing w:before="240" w:after="283"/>
        <w:jc w:val="left"/>
        <w:rPr/>
      </w:pPr>
      <w:r>
        <w:rPr/>
      </w:r>
    </w:p>
    <w:p>
      <w:pPr>
        <w:pStyle w:val="TextBody"/>
        <w:bidi w:val="0"/>
        <w:spacing w:lineRule="auto" w:line="288" w:before="0" w:after="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Investor Contact</w:t>
      </w: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Jill Koval</w:t>
      </w: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Jill.Koval@ReynoldsBrands.com</w:t>
      </w: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(203) 832-4449</w:t>
      </w:r>
    </w:p>
    <w:p>
      <w:pPr>
        <w:pStyle w:val="TextBody"/>
        <w:bidi w:val="0"/>
        <w:spacing w:before="24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8"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Reynolds Consumer Products Inc.</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Consolidated Statements of Income</w:t>
      </w:r>
    </w:p>
    <w:p>
      <w:pPr>
        <w:pStyle w:val="TextBody"/>
        <w:bidi w:val="0"/>
        <w:spacing w:lineRule="auto" w:line="288" w:before="0" w:after="0"/>
        <w:jc w:val="center"/>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(amounts in millions, except for per share data)</w:t>
      </w:r>
    </w:p>
    <w:tbl>
      <w:tblPr>
        <w:tblW w:w="8494" w:type="dxa"/>
        <w:jc w:val="left"/>
        <w:tblInd w:w="0" w:type="dxa"/>
        <w:tblLayout w:type="fixed"/>
        <w:tblCellMar>
          <w:top w:w="28" w:type="dxa"/>
          <w:left w:w="28" w:type="dxa"/>
          <w:bottom w:w="28" w:type="dxa"/>
          <w:right w:w="28" w:type="dxa"/>
        </w:tblCellMar>
      </w:tblPr>
      <w:tblGrid>
        <w:gridCol w:w="1350"/>
        <w:gridCol w:w="1191"/>
        <w:gridCol w:w="1194"/>
        <w:gridCol w:w="232"/>
        <w:gridCol w:w="562"/>
        <w:gridCol w:w="120"/>
        <w:gridCol w:w="120"/>
        <w:gridCol w:w="120"/>
        <w:gridCol w:w="120"/>
        <w:gridCol w:w="232"/>
        <w:gridCol w:w="562"/>
        <w:gridCol w:w="120"/>
        <w:gridCol w:w="109"/>
        <w:gridCol w:w="109"/>
        <w:gridCol w:w="109"/>
        <w:gridCol w:w="211"/>
        <w:gridCol w:w="616"/>
        <w:gridCol w:w="109"/>
        <w:gridCol w:w="109"/>
        <w:gridCol w:w="109"/>
        <w:gridCol w:w="109"/>
        <w:gridCol w:w="211"/>
        <w:gridCol w:w="616"/>
        <w:gridCol w:w="154"/>
      </w:tblGrid>
      <w:tr>
        <w:trPr/>
        <w:tc>
          <w:tcPr>
            <w:tcW w:w="1350" w:type="dxa"/>
            <w:tcBorders/>
            <w:vAlign w:val="center"/>
          </w:tcPr>
          <w:p>
            <w:pPr>
              <w:pStyle w:val="TableContents"/>
              <w:bidi w:val="0"/>
              <w:spacing w:before="0" w:after="283"/>
              <w:jc w:val="left"/>
              <w:rPr>
                <w:sz w:val="4"/>
                <w:szCs w:val="4"/>
              </w:rPr>
            </w:pPr>
            <w:r>
              <w:rPr>
                <w:sz w:val="4"/>
                <w:szCs w:val="4"/>
              </w:rPr>
            </w:r>
          </w:p>
        </w:tc>
        <w:tc>
          <w:tcPr>
            <w:tcW w:w="1191" w:type="dxa"/>
            <w:tcBorders/>
            <w:vAlign w:val="center"/>
          </w:tcPr>
          <w:p>
            <w:pPr>
              <w:pStyle w:val="TableContents"/>
              <w:bidi w:val="0"/>
              <w:spacing w:before="0" w:after="283"/>
              <w:jc w:val="left"/>
              <w:rPr>
                <w:sz w:val="4"/>
                <w:szCs w:val="4"/>
              </w:rPr>
            </w:pPr>
            <w:r>
              <w:rPr>
                <w:sz w:val="4"/>
                <w:szCs w:val="4"/>
              </w:rPr>
            </w:r>
          </w:p>
        </w:tc>
        <w:tc>
          <w:tcPr>
            <w:tcW w:w="1194"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Six Months Ended</w:t>
            </w:r>
          </w:p>
        </w:tc>
      </w:tr>
      <w:tr>
        <w:trPr/>
        <w:tc>
          <w:tcPr>
            <w:tcW w:w="3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r>
          </w:p>
        </w:tc>
      </w:tr>
      <w:tr>
        <w:trPr/>
        <w:tc>
          <w:tcPr>
            <w:tcW w:w="3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60"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revenues</w:t>
            </w:r>
          </w:p>
        </w:tc>
        <w:tc>
          <w:tcPr>
            <w:tcW w:w="232"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2"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944 </w:t>
            </w:r>
          </w:p>
        </w:tc>
        <w:tc>
          <w:tcPr>
            <w:tcW w:w="120"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2"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938 </w:t>
            </w:r>
          </w:p>
        </w:tc>
        <w:tc>
          <w:tcPr>
            <w:tcW w:w="120"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1,821 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1,739 </w:t>
            </w:r>
          </w:p>
        </w:tc>
        <w:tc>
          <w:tcPr>
            <w:tcW w:w="15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Related party net revenues</w:t>
            </w:r>
          </w:p>
        </w:tc>
        <w:tc>
          <w:tcPr>
            <w:tcW w:w="7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net revenues</w:t>
            </w:r>
          </w:p>
        </w:tc>
        <w:tc>
          <w:tcPr>
            <w:tcW w:w="794"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944</w:t>
            </w:r>
            <w:r>
              <w:rPr>
                <w:color w:val="000000"/>
              </w:rPr>
              <w:t> </w:t>
            </w:r>
          </w:p>
        </w:tc>
        <w:tc>
          <w:tcPr>
            <w:tcW w:w="120"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938</w:t>
            </w:r>
            <w:r>
              <w:rPr>
                <w:color w:val="000000"/>
              </w:rPr>
              <w:t> </w:t>
            </w:r>
          </w:p>
        </w:tc>
        <w:tc>
          <w:tcPr>
            <w:tcW w:w="120"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1,821</w:t>
            </w:r>
            <w:r>
              <w:rPr>
                <w:color w:val="000000"/>
              </w:rPr>
              <w:t>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1,756</w:t>
            </w:r>
            <w:r>
              <w:rPr>
                <w:color w:val="000000"/>
              </w:rPr>
              <w:t> </w:t>
            </w:r>
          </w:p>
        </w:tc>
        <w:tc>
          <w:tcPr>
            <w:tcW w:w="15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w:t>
            </w:r>
          </w:p>
        </w:tc>
        <w:tc>
          <w:tcPr>
            <w:tcW w:w="7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(699)</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(712)</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Gross profit</w:t>
            </w:r>
          </w:p>
        </w:tc>
        <w:tc>
          <w:tcPr>
            <w:tcW w:w="794"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245</w:t>
            </w:r>
            <w:r>
              <w:rPr>
                <w:color w:val="000000"/>
              </w:rPr>
              <w:t> </w:t>
            </w:r>
          </w:p>
        </w:tc>
        <w:tc>
          <w:tcPr>
            <w:tcW w:w="120"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226</w:t>
            </w:r>
            <w:r>
              <w:rPr>
                <w:color w:val="000000"/>
              </w:rPr>
              <w:t> </w:t>
            </w:r>
          </w:p>
        </w:tc>
        <w:tc>
          <w:tcPr>
            <w:tcW w:w="120"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453</w:t>
            </w:r>
            <w:r>
              <w:rPr>
                <w:color w:val="000000"/>
              </w:rPr>
              <w:t>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415</w:t>
            </w:r>
            <w:r>
              <w:rPr>
                <w:color w:val="000000"/>
              </w:rPr>
              <w:t> </w:t>
            </w:r>
          </w:p>
        </w:tc>
        <w:tc>
          <w:tcPr>
            <w:tcW w:w="15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w:t>
            </w:r>
          </w:p>
        </w:tc>
        <w:tc>
          <w:tcPr>
            <w:tcW w:w="7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net</w:t>
            </w:r>
          </w:p>
        </w:tc>
        <w:tc>
          <w:tcPr>
            <w:tcW w:w="7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Income from operations</w:t>
            </w:r>
          </w:p>
        </w:tc>
        <w:tc>
          <w:tcPr>
            <w:tcW w:w="794"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138</w:t>
            </w:r>
            <w:r>
              <w:rPr>
                <w:color w:val="000000"/>
              </w:rPr>
              <w:t> </w:t>
            </w:r>
          </w:p>
        </w:tc>
        <w:tc>
          <w:tcPr>
            <w:tcW w:w="120"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118</w:t>
            </w:r>
            <w:r>
              <w:rPr>
                <w:color w:val="000000"/>
              </w:rPr>
              <w:t> </w:t>
            </w:r>
          </w:p>
        </w:tc>
        <w:tc>
          <w:tcPr>
            <w:tcW w:w="120"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237</w:t>
            </w:r>
            <w:r>
              <w:rPr>
                <w:color w:val="000000"/>
              </w:rPr>
              <w:t>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193</w:t>
            </w:r>
            <w:r>
              <w:rPr>
                <w:color w:val="000000"/>
              </w:rPr>
              <w:t> </w:t>
            </w:r>
          </w:p>
        </w:tc>
        <w:tc>
          <w:tcPr>
            <w:tcW w:w="15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7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Debt refinancing expense</w:t>
            </w:r>
          </w:p>
        </w:tc>
        <w:tc>
          <w:tcPr>
            <w:tcW w:w="7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Income before income taxes</w:t>
            </w:r>
          </w:p>
        </w:tc>
        <w:tc>
          <w:tcPr>
            <w:tcW w:w="794"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116</w:t>
            </w:r>
            <w:r>
              <w:rPr>
                <w:color w:val="000000"/>
              </w:rPr>
              <w:t> </w:t>
            </w:r>
          </w:p>
        </w:tc>
        <w:tc>
          <w:tcPr>
            <w:tcW w:w="120"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96</w:t>
            </w:r>
            <w:r>
              <w:rPr>
                <w:color w:val="000000"/>
              </w:rPr>
              <w:t> </w:t>
            </w:r>
          </w:p>
        </w:tc>
        <w:tc>
          <w:tcPr>
            <w:tcW w:w="120"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193</w:t>
            </w:r>
            <w:r>
              <w:rPr>
                <w:color w:val="000000"/>
              </w:rPr>
              <w:t>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138</w:t>
            </w:r>
            <w:r>
              <w:rPr>
                <w:color w:val="000000"/>
              </w:rPr>
              <w:t> </w:t>
            </w:r>
          </w:p>
        </w:tc>
        <w:tc>
          <w:tcPr>
            <w:tcW w:w="15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7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w:t>
            </w:r>
          </w:p>
        </w:tc>
        <w:tc>
          <w:tcPr>
            <w:tcW w:w="232"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62"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89</w:t>
            </w:r>
            <w:r>
              <w:rPr>
                <w:color w:val="000000"/>
              </w:rPr>
              <w:t> </w:t>
            </w:r>
          </w:p>
        </w:tc>
        <w:tc>
          <w:tcPr>
            <w:tcW w:w="120"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62"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73</w:t>
            </w:r>
            <w:r>
              <w:rPr>
                <w:color w:val="000000"/>
              </w:rPr>
              <w:t> </w:t>
            </w:r>
          </w:p>
        </w:tc>
        <w:tc>
          <w:tcPr>
            <w:tcW w:w="120"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1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148</w:t>
            </w:r>
            <w:r>
              <w:rPr>
                <w:color w:val="000000"/>
              </w:rPr>
              <w:t>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1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105</w:t>
            </w:r>
            <w:r>
              <w:rPr>
                <w:color w:val="000000"/>
              </w:rPr>
              <w:t> </w:t>
            </w:r>
          </w:p>
        </w:tc>
        <w:tc>
          <w:tcPr>
            <w:tcW w:w="15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op w:val="double" w:sz="5"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op w:val="double" w:sz="5"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5"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double" w:sz="5"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per share:</w:t>
            </w:r>
          </w:p>
        </w:tc>
        <w:tc>
          <w:tcPr>
            <w:tcW w:w="9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Basic</w:t>
            </w:r>
          </w:p>
        </w:tc>
        <w:tc>
          <w:tcPr>
            <w:tcW w:w="2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0.42 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0.35 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Diluted</w:t>
            </w:r>
          </w:p>
        </w:tc>
        <w:tc>
          <w:tcPr>
            <w:tcW w:w="2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0.42 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0.35 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shares outstanding:</w:t>
            </w:r>
          </w:p>
        </w:tc>
        <w:tc>
          <w:tcPr>
            <w:tcW w:w="9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Basic</w:t>
            </w:r>
          </w:p>
        </w:tc>
        <w:tc>
          <w:tcPr>
            <w:tcW w:w="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210.6</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Diluted</w:t>
            </w:r>
          </w:p>
        </w:tc>
        <w:tc>
          <w:tcPr>
            <w:tcW w:w="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211.9</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9"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Reynolds Consumer Products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Balance Sheets</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(amounts in millions, except for per share data)</w:t>
      </w:r>
    </w:p>
    <w:tbl>
      <w:tblPr>
        <w:tblW w:w="10205" w:type="dxa"/>
        <w:jc w:val="left"/>
        <w:tblInd w:w="0" w:type="dxa"/>
        <w:tblLayout w:type="fixed"/>
        <w:tblCellMar>
          <w:top w:w="28" w:type="dxa"/>
          <w:left w:w="28" w:type="dxa"/>
          <w:bottom w:w="28" w:type="dxa"/>
          <w:right w:w="28" w:type="dxa"/>
        </w:tblCellMar>
      </w:tblPr>
      <w:tblGrid>
        <w:gridCol w:w="2612"/>
        <w:gridCol w:w="2273"/>
        <w:gridCol w:w="2291"/>
        <w:gridCol w:w="257"/>
        <w:gridCol w:w="770"/>
        <w:gridCol w:w="132"/>
        <w:gridCol w:w="109"/>
        <w:gridCol w:w="109"/>
        <w:gridCol w:w="109"/>
        <w:gridCol w:w="326"/>
        <w:gridCol w:w="976"/>
        <w:gridCol w:w="241"/>
      </w:tblGrid>
      <w:tr>
        <w:trPr/>
        <w:tc>
          <w:tcPr>
            <w:tcW w:w="2612" w:type="dxa"/>
            <w:tcBorders/>
            <w:vAlign w:val="center"/>
          </w:tcPr>
          <w:p>
            <w:pPr>
              <w:pStyle w:val="TableContents"/>
              <w:bidi w:val="0"/>
              <w:spacing w:before="0" w:after="283"/>
              <w:jc w:val="left"/>
              <w:rPr>
                <w:sz w:val="4"/>
                <w:szCs w:val="4"/>
              </w:rPr>
            </w:pPr>
            <w:r>
              <w:rPr>
                <w:sz w:val="4"/>
                <w:szCs w:val="4"/>
              </w:rPr>
            </w:r>
          </w:p>
        </w:tc>
        <w:tc>
          <w:tcPr>
            <w:tcW w:w="2273" w:type="dxa"/>
            <w:tcBorders/>
            <w:vAlign w:val="center"/>
          </w:tcPr>
          <w:p>
            <w:pPr>
              <w:pStyle w:val="TableContents"/>
              <w:bidi w:val="0"/>
              <w:spacing w:before="0" w:after="283"/>
              <w:jc w:val="left"/>
              <w:rPr>
                <w:sz w:val="4"/>
                <w:szCs w:val="4"/>
              </w:rPr>
            </w:pPr>
            <w:r>
              <w:rPr>
                <w:sz w:val="4"/>
                <w:szCs w:val="4"/>
              </w:rPr>
            </w:r>
          </w:p>
        </w:tc>
        <w:tc>
          <w:tcPr>
            <w:tcW w:w="2291"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r>
      <w:tr>
        <w:trPr/>
        <w:tc>
          <w:tcPr>
            <w:tcW w:w="7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As of June 30, </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As of December 31, </w:t>
              <w:br/>
              <w:t>2025</w:t>
            </w:r>
          </w:p>
        </w:tc>
      </w:tr>
      <w:tr>
        <w:trPr/>
        <w:tc>
          <w:tcPr>
            <w:tcW w:w="71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159"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3"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5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(net of allowance for doubtful accounts of $1 and $2)</w:t>
            </w:r>
          </w:p>
        </w:tc>
        <w:tc>
          <w:tcPr>
            <w:tcW w:w="10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receivables</w:t>
            </w:r>
          </w:p>
        </w:tc>
        <w:tc>
          <w:tcPr>
            <w:tcW w:w="10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6"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3" w:type="dxa"/>
            <w:gridSpan w:val="3"/>
            <w:tcBorders/>
            <w:vAlign w:val="center"/>
          </w:tcPr>
          <w:p>
            <w:pPr>
              <w:pStyle w:val="TableContents"/>
              <w:bidi w:val="0"/>
              <w:spacing w:before="0" w:after="283"/>
              <w:jc w:val="left"/>
              <w:rPr>
                <w:sz w:val="4"/>
                <w:szCs w:val="4"/>
              </w:rPr>
            </w:pPr>
            <w:r>
              <w:rPr>
                <w:sz w:val="4"/>
                <w:szCs w:val="4"/>
              </w:rPr>
            </w:r>
          </w:p>
        </w:tc>
      </w:tr>
      <w:tr>
        <w:trPr/>
        <w:tc>
          <w:tcPr>
            <w:tcW w:w="71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w:t>
            </w:r>
          </w:p>
        </w:tc>
        <w:tc>
          <w:tcPr>
            <w:tcW w:w="10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718 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584 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assets</w:t>
            </w:r>
          </w:p>
        </w:tc>
        <w:tc>
          <w:tcPr>
            <w:tcW w:w="10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current assets</w:t>
            </w:r>
          </w:p>
        </w:tc>
        <w:tc>
          <w:tcPr>
            <w:tcW w:w="102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1,185</w:t>
            </w:r>
            <w:r>
              <w:rPr>
                <w:color w:val="000000"/>
              </w:rPr>
              <w:t> </w:t>
            </w:r>
          </w:p>
        </w:tc>
        <w:tc>
          <w:tcPr>
            <w:tcW w:w="132"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1,116</w:t>
            </w:r>
            <w:r>
              <w:rPr>
                <w:color w:val="000000"/>
              </w:rPr>
              <w:t> </w:t>
            </w:r>
          </w:p>
        </w:tc>
        <w:tc>
          <w:tcPr>
            <w:tcW w:w="24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plant and equipment (net of accumulated depreciation of $1,081 and $1,034)</w:t>
            </w:r>
          </w:p>
        </w:tc>
        <w:tc>
          <w:tcPr>
            <w:tcW w:w="10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855 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823 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assets, net</w:t>
            </w:r>
          </w:p>
        </w:tc>
        <w:tc>
          <w:tcPr>
            <w:tcW w:w="10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10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1,895 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1,895 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 net</w:t>
            </w:r>
          </w:p>
        </w:tc>
        <w:tc>
          <w:tcPr>
            <w:tcW w:w="10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931 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943 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10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assets</w:t>
            </w:r>
          </w:p>
        </w:tc>
        <w:tc>
          <w:tcPr>
            <w:tcW w:w="25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70"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5,079</w:t>
            </w:r>
            <w:r>
              <w:rPr>
                <w:color w:val="000000"/>
              </w:rPr>
              <w:t> </w:t>
            </w:r>
          </w:p>
        </w:tc>
        <w:tc>
          <w:tcPr>
            <w:tcW w:w="132"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7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4,936</w:t>
            </w:r>
            <w:r>
              <w:rPr>
                <w:color w:val="000000"/>
              </w:rPr>
              <w:t> </w:t>
            </w:r>
          </w:p>
        </w:tc>
        <w:tc>
          <w:tcPr>
            <w:tcW w:w="24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w:t>
            </w:r>
          </w:p>
        </w:tc>
        <w:tc>
          <w:tcPr>
            <w:tcW w:w="1159" w:type="dxa"/>
            <w:gridSpan w:val="3"/>
            <w:tcBorders>
              <w:top w:val="double" w:sz="5"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3" w:type="dxa"/>
            <w:gridSpan w:val="3"/>
            <w:tcBorders>
              <w:top w:val="double" w:sz="5"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25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433 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6"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3" w:type="dxa"/>
            <w:gridSpan w:val="3"/>
            <w:tcBorders/>
            <w:vAlign w:val="center"/>
          </w:tcPr>
          <w:p>
            <w:pPr>
              <w:pStyle w:val="TableContents"/>
              <w:bidi w:val="0"/>
              <w:spacing w:before="0" w:after="283"/>
              <w:jc w:val="left"/>
              <w:rPr>
                <w:sz w:val="4"/>
                <w:szCs w:val="4"/>
              </w:rPr>
            </w:pPr>
            <w:r>
              <w:rPr>
                <w:sz w:val="4"/>
                <w:szCs w:val="4"/>
              </w:rPr>
            </w:r>
          </w:p>
        </w:tc>
      </w:tr>
      <w:tr>
        <w:trPr/>
        <w:tc>
          <w:tcPr>
            <w:tcW w:w="7176"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3" w:type="dxa"/>
            <w:gridSpan w:val="3"/>
            <w:tcBorders/>
            <w:vAlign w:val="center"/>
          </w:tcPr>
          <w:p>
            <w:pPr>
              <w:pStyle w:val="TableContents"/>
              <w:bidi w:val="0"/>
              <w:spacing w:before="0" w:after="283"/>
              <w:jc w:val="left"/>
              <w:rPr>
                <w:sz w:val="4"/>
                <w:szCs w:val="4"/>
              </w:rPr>
            </w:pPr>
            <w:r>
              <w:rPr>
                <w:sz w:val="4"/>
                <w:szCs w:val="4"/>
              </w:rPr>
            </w:r>
          </w:p>
        </w:tc>
      </w:tr>
      <w:tr>
        <w:trPr/>
        <w:tc>
          <w:tcPr>
            <w:tcW w:w="71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operating lease liabilities</w:t>
            </w:r>
          </w:p>
        </w:tc>
        <w:tc>
          <w:tcPr>
            <w:tcW w:w="10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taxes payable</w:t>
            </w:r>
          </w:p>
        </w:tc>
        <w:tc>
          <w:tcPr>
            <w:tcW w:w="10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and other current liabilities</w:t>
            </w:r>
          </w:p>
        </w:tc>
        <w:tc>
          <w:tcPr>
            <w:tcW w:w="10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current liabilities</w:t>
            </w:r>
          </w:p>
        </w:tc>
        <w:tc>
          <w:tcPr>
            <w:tcW w:w="102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660</w:t>
            </w:r>
            <w:r>
              <w:rPr>
                <w:color w:val="000000"/>
              </w:rPr>
              <w:t> </w:t>
            </w:r>
          </w:p>
        </w:tc>
        <w:tc>
          <w:tcPr>
            <w:tcW w:w="132"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577</w:t>
            </w:r>
            <w:r>
              <w:rPr>
                <w:color w:val="000000"/>
              </w:rPr>
              <w:t> </w:t>
            </w:r>
          </w:p>
        </w:tc>
        <w:tc>
          <w:tcPr>
            <w:tcW w:w="24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w:t>
            </w:r>
          </w:p>
        </w:tc>
        <w:tc>
          <w:tcPr>
            <w:tcW w:w="10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1,530 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operating lease liabilities</w:t>
            </w:r>
          </w:p>
        </w:tc>
        <w:tc>
          <w:tcPr>
            <w:tcW w:w="10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taxes</w:t>
            </w:r>
          </w:p>
        </w:tc>
        <w:tc>
          <w:tcPr>
            <w:tcW w:w="10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postretirement benefit obligation</w:t>
            </w:r>
          </w:p>
        </w:tc>
        <w:tc>
          <w:tcPr>
            <w:tcW w:w="10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w:t>
            </w:r>
          </w:p>
        </w:tc>
        <w:tc>
          <w:tcPr>
            <w:tcW w:w="10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liabilities</w:t>
            </w:r>
          </w:p>
        </w:tc>
        <w:tc>
          <w:tcPr>
            <w:tcW w:w="25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70"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2,769</w:t>
            </w:r>
            <w:r>
              <w:rPr>
                <w:color w:val="000000"/>
              </w:rPr>
              <w:t> </w:t>
            </w:r>
          </w:p>
        </w:tc>
        <w:tc>
          <w:tcPr>
            <w:tcW w:w="132"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7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2,683</w:t>
            </w:r>
            <w:r>
              <w:rPr>
                <w:color w:val="000000"/>
              </w:rPr>
              <w:t> </w:t>
            </w:r>
          </w:p>
        </w:tc>
        <w:tc>
          <w:tcPr>
            <w:tcW w:w="24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Stockholders’ equity</w:t>
            </w:r>
          </w:p>
        </w:tc>
        <w:tc>
          <w:tcPr>
            <w:tcW w:w="11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$0.001 par value; 2,000 shares authorized; 210.8 shares issued and outstanding</w:t>
            </w:r>
          </w:p>
        </w:tc>
        <w:tc>
          <w:tcPr>
            <w:tcW w:w="10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10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1,432 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1,431 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income</w:t>
            </w:r>
          </w:p>
        </w:tc>
        <w:tc>
          <w:tcPr>
            <w:tcW w:w="10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Retained earnings</w:t>
            </w:r>
          </w:p>
        </w:tc>
        <w:tc>
          <w:tcPr>
            <w:tcW w:w="10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853 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802 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stockholders’ equity</w:t>
            </w:r>
          </w:p>
        </w:tc>
        <w:tc>
          <w:tcPr>
            <w:tcW w:w="102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2,310</w:t>
            </w:r>
            <w:r>
              <w:rPr>
                <w:color w:val="000000"/>
              </w:rPr>
              <w:t> </w:t>
            </w:r>
          </w:p>
        </w:tc>
        <w:tc>
          <w:tcPr>
            <w:tcW w:w="132"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2,253</w:t>
            </w:r>
            <w:r>
              <w:rPr>
                <w:color w:val="000000"/>
              </w:rPr>
              <w:t> </w:t>
            </w:r>
          </w:p>
        </w:tc>
        <w:tc>
          <w:tcPr>
            <w:tcW w:w="24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liabilities and stockholders’ equity</w:t>
            </w:r>
          </w:p>
        </w:tc>
        <w:tc>
          <w:tcPr>
            <w:tcW w:w="257" w:type="dxa"/>
            <w:tcBorders>
              <w:top w:val="single" w:sz="4" w:space="0" w:color="000000"/>
              <w:bottom w:val="double" w:sz="5"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70" w:type="dxa"/>
            <w:tcBorders>
              <w:top w:val="single" w:sz="4" w:space="0" w:color="000000"/>
              <w:bottom w:val="double" w:sz="5"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5,079</w:t>
            </w:r>
            <w:r>
              <w:rPr>
                <w:color w:val="000000"/>
              </w:rPr>
              <w:t> </w:t>
            </w:r>
          </w:p>
        </w:tc>
        <w:tc>
          <w:tcPr>
            <w:tcW w:w="132" w:type="dxa"/>
            <w:tcBorders>
              <w:top w:val="single" w:sz="4" w:space="0" w:color="000000"/>
              <w:bottom w:val="double" w:sz="5"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top w:val="single" w:sz="4" w:space="0" w:color="000000"/>
              <w:bottom w:val="double" w:sz="5"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76" w:type="dxa"/>
            <w:tcBorders>
              <w:top w:val="single" w:sz="4" w:space="0" w:color="000000"/>
              <w:bottom w:val="double" w:sz="5"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4,936</w:t>
            </w:r>
            <w:r>
              <w:rPr>
                <w:color w:val="000000"/>
              </w:rPr>
              <w:t> </w:t>
            </w:r>
          </w:p>
        </w:tc>
        <w:tc>
          <w:tcPr>
            <w:tcW w:w="241" w:type="dxa"/>
            <w:tcBorders>
              <w:top w:val="single" w:sz="4" w:space="0" w:color="000000"/>
              <w:bottom w:val="double" w:sz="5"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10"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Reynolds Consumer Products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Cash Flows</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(amounts in millions)</w:t>
      </w:r>
    </w:p>
    <w:tbl>
      <w:tblPr>
        <w:tblW w:w="7180" w:type="dxa"/>
        <w:jc w:val="left"/>
        <w:tblInd w:w="0" w:type="dxa"/>
        <w:tblLayout w:type="fixed"/>
        <w:tblCellMar>
          <w:top w:w="28" w:type="dxa"/>
          <w:left w:w="28" w:type="dxa"/>
          <w:bottom w:w="28" w:type="dxa"/>
          <w:right w:w="28" w:type="dxa"/>
        </w:tblCellMar>
      </w:tblPr>
      <w:tblGrid>
        <w:gridCol w:w="1832"/>
        <w:gridCol w:w="1613"/>
        <w:gridCol w:w="1624"/>
        <w:gridCol w:w="229"/>
        <w:gridCol w:w="507"/>
        <w:gridCol w:w="118"/>
        <w:gridCol w:w="118"/>
        <w:gridCol w:w="118"/>
        <w:gridCol w:w="118"/>
        <w:gridCol w:w="229"/>
        <w:gridCol w:w="507"/>
        <w:gridCol w:w="167"/>
      </w:tblGrid>
      <w:tr>
        <w:trPr/>
        <w:tc>
          <w:tcPr>
            <w:tcW w:w="1832" w:type="dxa"/>
            <w:tcBorders/>
            <w:vAlign w:val="center"/>
          </w:tcPr>
          <w:p>
            <w:pPr>
              <w:pStyle w:val="TableContents"/>
              <w:bidi w:val="0"/>
              <w:spacing w:before="0" w:after="283"/>
              <w:jc w:val="left"/>
              <w:rPr>
                <w:sz w:val="4"/>
                <w:szCs w:val="4"/>
              </w:rPr>
            </w:pPr>
            <w:r>
              <w:rPr>
                <w:sz w:val="4"/>
                <w:szCs w:val="4"/>
              </w:rPr>
            </w:r>
          </w:p>
        </w:tc>
        <w:tc>
          <w:tcPr>
            <w:tcW w:w="1613" w:type="dxa"/>
            <w:tcBorders/>
            <w:vAlign w:val="center"/>
          </w:tcPr>
          <w:p>
            <w:pPr>
              <w:pStyle w:val="TableContents"/>
              <w:bidi w:val="0"/>
              <w:spacing w:before="0" w:after="283"/>
              <w:jc w:val="left"/>
              <w:rPr>
                <w:sz w:val="4"/>
                <w:szCs w:val="4"/>
              </w:rPr>
            </w:pPr>
            <w:r>
              <w:rPr>
                <w:sz w:val="4"/>
                <w:szCs w:val="4"/>
              </w:rPr>
            </w:r>
          </w:p>
        </w:tc>
        <w:tc>
          <w:tcPr>
            <w:tcW w:w="1624"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5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5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50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provided by operating activities</w:t>
            </w:r>
          </w:p>
        </w:tc>
        <w:tc>
          <w:tcPr>
            <w:tcW w:w="854"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income to operating cash flows:</w:t>
            </w:r>
          </w:p>
        </w:tc>
        <w:tc>
          <w:tcPr>
            <w:tcW w:w="8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taxes</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compensation expense</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assets and liabilities:</w:t>
            </w:r>
          </w:p>
        </w:tc>
        <w:tc>
          <w:tcPr>
            <w:tcW w:w="8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net</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receivables</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Related party receivables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Related party payables</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taxes payable / receivable</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and other current liabilities</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 and liabilities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cash provided by operating activities</w:t>
            </w:r>
          </w:p>
        </w:tc>
        <w:tc>
          <w:tcPr>
            <w:tcW w:w="73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173</w:t>
            </w:r>
            <w:r>
              <w:rPr>
                <w:color w:val="000000"/>
              </w:rPr>
              <w:t> </w:t>
            </w:r>
          </w:p>
        </w:tc>
        <w:tc>
          <w:tcPr>
            <w:tcW w:w="118"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147</w:t>
            </w:r>
            <w:r>
              <w:rPr>
                <w:color w:val="000000"/>
              </w:rPr>
              <w:t> </w:t>
            </w:r>
          </w:p>
        </w:tc>
        <w:tc>
          <w:tcPr>
            <w:tcW w:w="167"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used in investing activities</w:t>
            </w:r>
          </w:p>
        </w:tc>
        <w:tc>
          <w:tcPr>
            <w:tcW w:w="854"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 of property, plant and equipment</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cash used in investing activities</w:t>
            </w:r>
          </w:p>
        </w:tc>
        <w:tc>
          <w:tcPr>
            <w:tcW w:w="736"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(101)</w:t>
            </w:r>
          </w:p>
        </w:tc>
        <w:tc>
          <w:tcPr>
            <w:tcW w:w="118"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(79)</w:t>
            </w:r>
          </w:p>
        </w:tc>
        <w:tc>
          <w:tcPr>
            <w:tcW w:w="167"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used in financing activities</w:t>
            </w:r>
          </w:p>
        </w:tc>
        <w:tc>
          <w:tcPr>
            <w:tcW w:w="854"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Repayment of long-term debt</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Dividends paid</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term loan refinancing</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743 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Repayments of existing term loan</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(743)</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financing activities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cash used in financing activities</w:t>
            </w:r>
          </w:p>
        </w:tc>
        <w:tc>
          <w:tcPr>
            <w:tcW w:w="73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(153)</w:t>
            </w:r>
          </w:p>
        </w:tc>
        <w:tc>
          <w:tcPr>
            <w:tcW w:w="118"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(148)</w:t>
            </w:r>
          </w:p>
        </w:tc>
        <w:tc>
          <w:tcPr>
            <w:tcW w:w="167"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decrease in cash and cash equivalents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at beginning of period</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and cash equivalents at end of period</w:t>
            </w:r>
          </w:p>
        </w:tc>
        <w:tc>
          <w:tcPr>
            <w:tcW w:w="229"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07"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66</w:t>
            </w:r>
            <w:r>
              <w:rPr>
                <w:color w:val="000000"/>
              </w:rPr>
              <w:t> </w:t>
            </w:r>
          </w:p>
        </w:tc>
        <w:tc>
          <w:tcPr>
            <w:tcW w:w="118"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07"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57</w:t>
            </w:r>
            <w:r>
              <w:rPr>
                <w:color w:val="000000"/>
              </w:rPr>
              <w:t> </w:t>
            </w:r>
          </w:p>
        </w:tc>
        <w:tc>
          <w:tcPr>
            <w:tcW w:w="167"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top w:val="double" w:sz="5"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op w:val="double" w:sz="5"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w:t>
            </w:r>
          </w:p>
        </w:tc>
        <w:tc>
          <w:tcPr>
            <w:tcW w:w="8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 long-term debt, net of interest rate swaps</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taxes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4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11" name="Frame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Reynolds Consumer Products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Segment Results</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(amounts in millions)</w:t>
      </w:r>
    </w:p>
    <w:tbl>
      <w:tblPr>
        <w:tblW w:w="10205" w:type="dxa"/>
        <w:jc w:val="left"/>
        <w:tblInd w:w="0" w:type="dxa"/>
        <w:tblLayout w:type="fixed"/>
        <w:tblCellMar>
          <w:top w:w="28" w:type="dxa"/>
          <w:left w:w="28" w:type="dxa"/>
          <w:bottom w:w="28" w:type="dxa"/>
          <w:right w:w="28" w:type="dxa"/>
        </w:tblCellMar>
      </w:tblPr>
      <w:tblGrid>
        <w:gridCol w:w="665"/>
        <w:gridCol w:w="582"/>
        <w:gridCol w:w="587"/>
        <w:gridCol w:w="323"/>
        <w:gridCol w:w="717"/>
        <w:gridCol w:w="169"/>
        <w:gridCol w:w="109"/>
        <w:gridCol w:w="109"/>
        <w:gridCol w:w="109"/>
        <w:gridCol w:w="213"/>
        <w:gridCol w:w="471"/>
        <w:gridCol w:w="112"/>
        <w:gridCol w:w="109"/>
        <w:gridCol w:w="109"/>
        <w:gridCol w:w="109"/>
        <w:gridCol w:w="282"/>
        <w:gridCol w:w="623"/>
        <w:gridCol w:w="146"/>
        <w:gridCol w:w="109"/>
        <w:gridCol w:w="109"/>
        <w:gridCol w:w="109"/>
        <w:gridCol w:w="477"/>
        <w:gridCol w:w="1055"/>
        <w:gridCol w:w="248"/>
        <w:gridCol w:w="109"/>
        <w:gridCol w:w="109"/>
        <w:gridCol w:w="109"/>
        <w:gridCol w:w="317"/>
        <w:gridCol w:w="566"/>
        <w:gridCol w:w="165"/>
        <w:gridCol w:w="109"/>
        <w:gridCol w:w="109"/>
        <w:gridCol w:w="109"/>
        <w:gridCol w:w="211"/>
        <w:gridCol w:w="481"/>
        <w:gridCol w:w="160"/>
      </w:tblGrid>
      <w:tr>
        <w:trPr/>
        <w:tc>
          <w:tcPr>
            <w:tcW w:w="665"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Reynolds</w:t>
              <w:br/>
              <w:t>Cooking</w:t>
              <w:br/>
              <w:t>&amp; Kitchen Essentials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Hefty</w:t>
              <w:br/>
              <w:t>Waste &amp;</w:t>
              <w:br/>
              <w:t>Clean-Up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Hefty Home </w:t>
              <w:br/>
              <w:t>&amp; Tableware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0"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Hefty Storage &amp;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Unallocated</w:t>
            </w:r>
            <w:r>
              <w:rPr>
                <w:rFonts w:ascii="Times New Roman;serif" w:hAnsi="Times New Roman;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Revenues</w:t>
            </w:r>
          </w:p>
        </w:tc>
        <w:tc>
          <w:tcPr>
            <w:tcW w:w="8371" w:type="dxa"/>
            <w:gridSpan w:val="3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Three Months Ended June 30, 2026</w:t>
            </w:r>
          </w:p>
        </w:tc>
        <w:tc>
          <w:tcPr>
            <w:tcW w:w="3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944</w:t>
            </w: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Three Months Ended June 30, 2025</w:t>
            </w:r>
            <w:r>
              <w:rPr>
                <w:rFonts w:ascii="Times New Roman;serif" w:hAnsi="Times New Roman;serif"/>
                <w:b w:val="false"/>
                <w:color w:val="000000"/>
                <w:sz w:val="12"/>
              </w:rPr>
              <w:t>(2)</w:t>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167 </w:t>
            </w:r>
          </w:p>
        </w:tc>
        <w:tc>
          <w:tcPr>
            <w:tcW w:w="2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938</w:t>
            </w: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Six Months Ended June 30, 2026</w:t>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629 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457 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1,821</w:t>
            </w: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Six Months Ended June 30, 2025 </w:t>
            </w:r>
            <w:r>
              <w:rPr>
                <w:rFonts w:ascii="Times New Roman;serif" w:hAnsi="Times New Roman;serif"/>
                <w:b w:val="false"/>
                <w:color w:val="000000"/>
                <w:sz w:val="12"/>
              </w:rPr>
              <w:t>(2)</w:t>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554 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462 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421 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320 </w:t>
            </w:r>
          </w:p>
        </w:tc>
        <w:tc>
          <w:tcPr>
            <w:tcW w:w="2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1,756</w:t>
            </w: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EBITDA</w:t>
            </w:r>
          </w:p>
        </w:tc>
        <w:tc>
          <w:tcPr>
            <w:tcW w:w="12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Three Months Ended June 30, 2026</w:t>
            </w:r>
          </w:p>
        </w:tc>
        <w:tc>
          <w:tcPr>
            <w:tcW w:w="3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2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171</w:t>
            </w: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Three Months Ended June 30, 2025</w:t>
            </w:r>
            <w:r>
              <w:rPr>
                <w:rFonts w:ascii="Times New Roman;serif" w:hAnsi="Times New Roman;serif"/>
                <w:b w:val="false"/>
                <w:color w:val="000000"/>
                <w:sz w:val="12"/>
              </w:rPr>
              <w:t>(2)</w:t>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163</w:t>
            </w: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Six Months Ended June 30, 2026</w:t>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2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302</w:t>
            </w: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Six Months Ended June 30, 2025 </w:t>
            </w:r>
            <w:r>
              <w:rPr>
                <w:rFonts w:ascii="Times New Roman;serif" w:hAnsi="Times New Roman;serif"/>
                <w:b w:val="false"/>
                <w:color w:val="000000"/>
                <w:sz w:val="12"/>
              </w:rPr>
              <w:t>(2)</w:t>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279</w:t>
            </w: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hanging="720"/>
        <w:jc w:val="left"/>
        <w:rPr/>
      </w:pPr>
      <w:r>
        <w:rPr>
          <w:rFonts w:ascii="Times New Roman;serif" w:hAnsi="Times New Roman;serif"/>
          <w:b w:val="false"/>
          <w:color w:val="000000"/>
          <w:sz w:val="16"/>
        </w:rPr>
        <w:t>(1)</w:t>
      </w:r>
      <w:r>
        <w:rPr>
          <w:rFonts w:ascii="Times New Roman;serif" w:hAnsi="Times New Roman;serif"/>
          <w:b w:val="false"/>
          <w:i/>
          <w:color w:val="000000"/>
          <w:sz w:val="16"/>
        </w:rPr>
        <w:t>The unallocated net revenues include other revenue adjustments. The unallocated Adjusted EBITDA represents the combination of corporate expenses which are not allocated to our segments and other unallocated revenue adjustments.</w:t>
      </w:r>
    </w:p>
    <w:p>
      <w:pPr>
        <w:pStyle w:val="TextBody"/>
        <w:bidi w:val="0"/>
        <w:spacing w:lineRule="auto" w:line="288" w:before="240" w:after="283"/>
        <w:ind w:left="0" w:right="0" w:hanging="720"/>
        <w:jc w:val="both"/>
        <w:rPr>
          <w:rFonts w:ascii="Times New Roman;serif" w:hAnsi="Times New Roman;serif"/>
          <w:b w:val="false"/>
          <w:i/>
          <w:color w:val="000000"/>
          <w:sz w:val="16"/>
        </w:rPr>
      </w:pPr>
      <w:r>
        <w:rPr>
          <w:rFonts w:ascii="Times New Roman;serif" w:hAnsi="Times New Roman;serif"/>
          <w:b w:val="false"/>
          <w:i/>
          <w:color w:val="000000"/>
          <w:sz w:val="16"/>
        </w:rPr>
        <w:t xml:space="preserve">(2)During the three and six months ended June 30, 2026, the Company realigned two business segments and renamed all segments to better align with strategic objectives. All prior period segment disclosures have been recast to reflect this realignment. This realignment had no effect on our previously reported consolidated results of operations. </w:t>
      </w:r>
    </w:p>
    <w:p>
      <w:pPr>
        <w:pStyle w:val="TextBody"/>
        <w:bidi w:val="0"/>
        <w:spacing w:before="240" w:after="283"/>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Components of Change in Net Revenues for the Three Months Ended June 30, 2026 vs. the Three Months Ended June 30, 2025</w:t>
      </w:r>
    </w:p>
    <w:tbl>
      <w:tblPr>
        <w:tblW w:w="7180" w:type="dxa"/>
        <w:jc w:val="left"/>
        <w:tblInd w:w="0" w:type="dxa"/>
        <w:tblLayout w:type="fixed"/>
        <w:tblCellMar>
          <w:top w:w="28" w:type="dxa"/>
          <w:left w:w="28" w:type="dxa"/>
          <w:bottom w:w="28" w:type="dxa"/>
          <w:right w:w="28" w:type="dxa"/>
        </w:tblCellMar>
      </w:tblPr>
      <w:tblGrid>
        <w:gridCol w:w="1233"/>
        <w:gridCol w:w="1084"/>
        <w:gridCol w:w="1088"/>
        <w:gridCol w:w="160"/>
        <w:gridCol w:w="160"/>
        <w:gridCol w:w="161"/>
        <w:gridCol w:w="109"/>
        <w:gridCol w:w="109"/>
        <w:gridCol w:w="109"/>
        <w:gridCol w:w="180"/>
        <w:gridCol w:w="180"/>
        <w:gridCol w:w="181"/>
        <w:gridCol w:w="110"/>
        <w:gridCol w:w="110"/>
        <w:gridCol w:w="110"/>
        <w:gridCol w:w="300"/>
        <w:gridCol w:w="300"/>
        <w:gridCol w:w="301"/>
        <w:gridCol w:w="109"/>
        <w:gridCol w:w="109"/>
        <w:gridCol w:w="109"/>
        <w:gridCol w:w="165"/>
        <w:gridCol w:w="165"/>
        <w:gridCol w:w="166"/>
        <w:gridCol w:w="109"/>
        <w:gridCol w:w="109"/>
        <w:gridCol w:w="154"/>
      </w:tblGrid>
      <w:tr>
        <w:trPr/>
        <w:tc>
          <w:tcPr>
            <w:tcW w:w="1233"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1088"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Volume/Mix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Retail</w:t>
            </w:r>
          </w:p>
        </w:tc>
        <w:tc>
          <w:tcPr>
            <w:tcW w:w="330"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Non-Retail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Reynolds Cooking &amp; Kitchen Essentials</w:t>
            </w:r>
          </w:p>
        </w:tc>
        <w:tc>
          <w:tcPr>
            <w:tcW w:w="4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Hefty Waste &amp; Clean-Up</w:t>
            </w:r>
          </w:p>
        </w:tc>
        <w:tc>
          <w:tcPr>
            <w:tcW w:w="4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Hefty Home &amp; Tableware</w:t>
            </w:r>
          </w:p>
        </w:tc>
        <w:tc>
          <w:tcPr>
            <w:tcW w:w="4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Hefty Storage &amp; Organization</w:t>
            </w:r>
          </w:p>
        </w:tc>
        <w:tc>
          <w:tcPr>
            <w:tcW w:w="4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RCP</w:t>
            </w:r>
          </w:p>
        </w:tc>
        <w:tc>
          <w:tcPr>
            <w:tcW w:w="4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7</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5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(5)</w:t>
            </w:r>
          </w:p>
        </w:tc>
        <w:tc>
          <w:tcPr>
            <w:tcW w:w="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4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w:t>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r>
    </w:tbl>
    <w:p>
      <w:pPr>
        <w:pStyle w:val="TextBody"/>
        <w:bidi w:val="0"/>
        <w:spacing w:before="240" w:after="283"/>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Components of Change in Net Revenues for the Six Months Ended June 30, 2026 vs. the Six Months Ended June 30, 2025</w:t>
      </w:r>
    </w:p>
    <w:tbl>
      <w:tblPr>
        <w:tblW w:w="7180" w:type="dxa"/>
        <w:jc w:val="left"/>
        <w:tblInd w:w="0" w:type="dxa"/>
        <w:tblLayout w:type="fixed"/>
        <w:tblCellMar>
          <w:top w:w="28" w:type="dxa"/>
          <w:left w:w="28" w:type="dxa"/>
          <w:bottom w:w="28" w:type="dxa"/>
          <w:right w:w="28" w:type="dxa"/>
        </w:tblCellMar>
      </w:tblPr>
      <w:tblGrid>
        <w:gridCol w:w="1233"/>
        <w:gridCol w:w="1084"/>
        <w:gridCol w:w="1088"/>
        <w:gridCol w:w="160"/>
        <w:gridCol w:w="160"/>
        <w:gridCol w:w="161"/>
        <w:gridCol w:w="109"/>
        <w:gridCol w:w="109"/>
        <w:gridCol w:w="109"/>
        <w:gridCol w:w="180"/>
        <w:gridCol w:w="180"/>
        <w:gridCol w:w="181"/>
        <w:gridCol w:w="110"/>
        <w:gridCol w:w="110"/>
        <w:gridCol w:w="110"/>
        <w:gridCol w:w="300"/>
        <w:gridCol w:w="300"/>
        <w:gridCol w:w="301"/>
        <w:gridCol w:w="109"/>
        <w:gridCol w:w="109"/>
        <w:gridCol w:w="109"/>
        <w:gridCol w:w="165"/>
        <w:gridCol w:w="165"/>
        <w:gridCol w:w="166"/>
        <w:gridCol w:w="109"/>
        <w:gridCol w:w="109"/>
        <w:gridCol w:w="154"/>
      </w:tblGrid>
      <w:tr>
        <w:trPr/>
        <w:tc>
          <w:tcPr>
            <w:tcW w:w="1233"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1088"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Volume/Mix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Retail</w:t>
            </w:r>
          </w:p>
        </w:tc>
        <w:tc>
          <w:tcPr>
            <w:tcW w:w="330"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Non-Retail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Reynolds Cooking &amp; Kitchen Essentials</w:t>
            </w:r>
          </w:p>
        </w:tc>
        <w:tc>
          <w:tcPr>
            <w:tcW w:w="4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Hefty Waste &amp; Clean-Up</w:t>
            </w:r>
          </w:p>
        </w:tc>
        <w:tc>
          <w:tcPr>
            <w:tcW w:w="4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Hefty Home &amp; Tableware</w:t>
            </w:r>
          </w:p>
        </w:tc>
        <w:tc>
          <w:tcPr>
            <w:tcW w:w="4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Hefty Storage &amp; Organization</w:t>
            </w:r>
          </w:p>
        </w:tc>
        <w:tc>
          <w:tcPr>
            <w:tcW w:w="4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RCP</w:t>
            </w:r>
          </w:p>
        </w:tc>
        <w:tc>
          <w:tcPr>
            <w:tcW w:w="4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6</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5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w:t>
            </w:r>
          </w:p>
        </w:tc>
        <w:tc>
          <w:tcPr>
            <w:tcW w:w="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4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w:t>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75260"/>
                <wp:effectExtent l="0" t="0" r="0" b="0"/>
                <wp:wrapNone/>
                <wp:docPr id="12" name="Frame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Use of Non-GAAP Financial Measures</w:t>
      </w:r>
    </w:p>
    <w:p>
      <w:pPr>
        <w:pStyle w:val="TextBody"/>
        <w:bidi w:val="0"/>
        <w:spacing w:lineRule="auto" w:line="288" w:before="240" w:after="283"/>
        <w:jc w:val="both"/>
        <w:rPr/>
      </w:pPr>
      <w:r>
        <w:rPr>
          <w:rFonts w:ascii="Times New Roman;serif" w:hAnsi="Times New Roman;serif"/>
          <w:b w:val="false"/>
          <w:color w:val="000000"/>
          <w:sz w:val="20"/>
        </w:rPr>
        <w:t>We use non-GAAP financial measures “Adjusted EBITDA,” “Adjusted Net Income,” “Adjusted Earnings Per Share,” “Net Debt,” and “Net Debt to Trailing Twelve Months Adjusted EBITDA” in evaluating our past results and future prospects. We define Adjusted EBITDA as net income calculated in accordance with GAAP, plus the sum of income tax expense, net interest expense, debt refinancing expense, depreciation and amortization, costs to execute strategic initiatives and CEO transition costs. We define Adjusted Net Income and Adjusted Earnings P</w:t>
      </w:r>
      <w:r>
        <w:rPr>
          <w:rFonts w:ascii="Times New Roman;serif" w:hAnsi="Times New Roman;serif"/>
          <w:b w:val="false"/>
          <w:color w:val="000000"/>
          <w:sz w:val="20"/>
          <w:shd w:fill="FFFFFF" w:val="clear"/>
        </w:rPr>
        <w:t>er Share (“Adjusted EPS”) as Net Income and Earnings Per Share (“EPS”) calculated in accordance with GAAP, plus the after-tax impact of debt refinancing expense, costs to execute strategic initiatives and CEO transition costs. We define Net Debt as the curren</w:t>
      </w:r>
      <w:r>
        <w:rPr>
          <w:rFonts w:ascii="Times New Roman;serif" w:hAnsi="Times New Roman;serif"/>
          <w:b w:val="false"/>
          <w:color w:val="000000"/>
          <w:sz w:val="20"/>
        </w:rPr>
        <w:t xml:space="preserve">t portion of long-term debt plus long-term debt less cash and cash equivalents. We define Net Debt to Trailing Twelve Months Adjusted EBITDA as Net Debt (as defined above) as of the end of the period to Adjusted EBITDA (as defined above) for the period.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We present Adjusted EBITDA because it is a key measure used by our management team to evaluate our operating performance, generate future operating plans and make strategic decisions. In addition, our chief operating decision maker uses Adjusted EBITDA of each reportable segment to evaluate the operating performance of such segments. We use Adjusted Net Income and Adjusted EPS as supplemental measures to evaluate our business’ performance in a way that also considers our ability to generate profit without the impact of certain items. We use Net Debt as we believe it is a more representative measure of our liquidity. We use Net Debt to Trailing Twelve Months Adjusted EBITDA because it reflects our ability to service our debt obligations. Accordingly, we believe presenting these measures provide useful information to investors and others in understanding and evaluating our operating results in the same manner as our management team and board of directors.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Non-GAAP information should be considered as supplemental in nature and is not meant to be considered in isolation or as a substitute for the related financial information prepared in accordance with GAAP. In addition, our non-GAAP financial measures may not be the same as or comparable to similar non-GAAP financial measures presented by other companies.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Guidance for fiscal year and third quarter 2026, where adjusted, is provided on a non-GAAP basis. Please see reconciliations of non-GAAP measures used in this release to the most directly comparable GAAP measures, beginning on the following page.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75260"/>
                <wp:effectExtent l="0" t="0" r="0" b="0"/>
                <wp:wrapNone/>
                <wp:docPr id="13" name="Frame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Reynolds Consumer Products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Reconciliation of Net Income to Adjusted EBITDA</w:t>
      </w:r>
    </w:p>
    <w:tbl>
      <w:tblPr>
        <w:tblW w:w="7926" w:type="dxa"/>
        <w:jc w:val="left"/>
        <w:tblInd w:w="0" w:type="dxa"/>
        <w:tblLayout w:type="fixed"/>
        <w:tblCellMar>
          <w:top w:w="28" w:type="dxa"/>
          <w:left w:w="28" w:type="dxa"/>
          <w:bottom w:w="28" w:type="dxa"/>
          <w:right w:w="28" w:type="dxa"/>
        </w:tblCellMar>
      </w:tblPr>
      <w:tblGrid>
        <w:gridCol w:w="1168"/>
        <w:gridCol w:w="1025"/>
        <w:gridCol w:w="1031"/>
        <w:gridCol w:w="247"/>
        <w:gridCol w:w="565"/>
        <w:gridCol w:w="128"/>
        <w:gridCol w:w="128"/>
        <w:gridCol w:w="128"/>
        <w:gridCol w:w="128"/>
        <w:gridCol w:w="247"/>
        <w:gridCol w:w="565"/>
        <w:gridCol w:w="128"/>
        <w:gridCol w:w="109"/>
        <w:gridCol w:w="109"/>
        <w:gridCol w:w="109"/>
        <w:gridCol w:w="226"/>
        <w:gridCol w:w="515"/>
        <w:gridCol w:w="116"/>
        <w:gridCol w:w="116"/>
        <w:gridCol w:w="116"/>
        <w:gridCol w:w="116"/>
        <w:gridCol w:w="226"/>
        <w:gridCol w:w="515"/>
        <w:gridCol w:w="165"/>
      </w:tblGrid>
      <w:tr>
        <w:trPr/>
        <w:tc>
          <w:tcPr>
            <w:tcW w:w="1168"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32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32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84"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48"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2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 – GAAP</w:t>
            </w:r>
          </w:p>
        </w:tc>
        <w:tc>
          <w:tcPr>
            <w:tcW w:w="2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89</w:t>
            </w: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73</w:t>
            </w: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148</w:t>
            </w: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105</w:t>
            </w:r>
            <w:r>
              <w:rPr>
                <w:color w:val="000000"/>
              </w:rPr>
              <w:t>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Debt refinancing expense</w:t>
            </w:r>
            <w:r>
              <w:rPr>
                <w:rFonts w:ascii="Times New Roman;serif" w:hAnsi="Times New Roman;serif"/>
                <w:b w:val="false"/>
                <w:color w:val="000000"/>
                <w:sz w:val="13"/>
              </w:rPr>
              <w:t>(1)</w:t>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Costs to execute strategic initiatives</w:t>
            </w:r>
            <w:r>
              <w:rPr>
                <w:rFonts w:ascii="Times New Roman;serif" w:hAnsi="Times New Roman;serif"/>
                <w:b w:val="false"/>
                <w:color w:val="000000"/>
                <w:sz w:val="13"/>
              </w:rPr>
              <w:t>(2)</w:t>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CEO transition costs</w:t>
            </w:r>
            <w:r>
              <w:rPr>
                <w:rFonts w:ascii="Times New Roman;serif" w:hAnsi="Times New Roman;serif"/>
                <w:b w:val="false"/>
                <w:color w:val="000000"/>
                <w:sz w:val="13"/>
              </w:rPr>
              <w:t>(3)</w:t>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EBITDA (Non-GAAP)</w:t>
            </w:r>
          </w:p>
        </w:tc>
        <w:tc>
          <w:tcPr>
            <w:tcW w:w="247" w:type="dxa"/>
            <w:tcBorders>
              <w:top w:val="single" w:sz="4" w:space="0" w:color="000000"/>
              <w:bottom w:val="double" w:sz="5"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65" w:type="dxa"/>
            <w:tcBorders>
              <w:top w:val="single" w:sz="4" w:space="0" w:color="000000"/>
              <w:bottom w:val="double" w:sz="5"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171</w:t>
            </w:r>
            <w:r>
              <w:rPr>
                <w:color w:val="000000"/>
              </w:rPr>
              <w:t> </w:t>
            </w:r>
          </w:p>
        </w:tc>
        <w:tc>
          <w:tcPr>
            <w:tcW w:w="128" w:type="dxa"/>
            <w:tcBorders>
              <w:top w:val="single" w:sz="4" w:space="0" w:color="000000"/>
              <w:bottom w:val="double" w:sz="5"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4" w:space="0" w:color="000000"/>
              <w:bottom w:val="double" w:sz="5"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65" w:type="dxa"/>
            <w:tcBorders>
              <w:top w:val="single" w:sz="4" w:space="0" w:color="000000"/>
              <w:bottom w:val="double" w:sz="5"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163</w:t>
            </w:r>
            <w:r>
              <w:rPr>
                <w:color w:val="000000"/>
              </w:rPr>
              <w:t> </w:t>
            </w:r>
          </w:p>
        </w:tc>
        <w:tc>
          <w:tcPr>
            <w:tcW w:w="128" w:type="dxa"/>
            <w:tcBorders>
              <w:top w:val="single" w:sz="4" w:space="0" w:color="000000"/>
              <w:bottom w:val="double" w:sz="5"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000000"/>
              <w:bottom w:val="double" w:sz="5"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15" w:type="dxa"/>
            <w:tcBorders>
              <w:top w:val="single" w:sz="4" w:space="0" w:color="000000"/>
              <w:bottom w:val="double" w:sz="5"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302</w:t>
            </w:r>
            <w:r>
              <w:rPr>
                <w:color w:val="000000"/>
              </w:rPr>
              <w:t> </w:t>
            </w:r>
          </w:p>
        </w:tc>
        <w:tc>
          <w:tcPr>
            <w:tcW w:w="116" w:type="dxa"/>
            <w:tcBorders>
              <w:top w:val="single" w:sz="4" w:space="0" w:color="000000"/>
              <w:bottom w:val="double" w:sz="5"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000000"/>
              <w:bottom w:val="double" w:sz="5"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15" w:type="dxa"/>
            <w:tcBorders>
              <w:top w:val="single" w:sz="4" w:space="0" w:color="000000"/>
              <w:bottom w:val="double" w:sz="5"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279</w:t>
            </w:r>
            <w:r>
              <w:rPr>
                <w:color w:val="000000"/>
              </w:rPr>
              <w:t> </w:t>
            </w:r>
          </w:p>
        </w:tc>
        <w:tc>
          <w:tcPr>
            <w:tcW w:w="165" w:type="dxa"/>
            <w:tcBorders>
              <w:top w:val="single" w:sz="4" w:space="0" w:color="000000"/>
              <w:bottom w:val="double" w:sz="5"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(1)    Reflects the expense recorded related to our March 2025 Term Loan Facility refinancing.</w:t>
      </w:r>
    </w:p>
    <w:p>
      <w:pPr>
        <w:pStyle w:val="TextBody"/>
        <w:bidi w:val="0"/>
        <w:spacing w:lineRule="auto" w:line="288" w:before="12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(2)    Reflects costs related to the execution of cost savings and revenue growth strategic initiatives.</w:t>
      </w:r>
    </w:p>
    <w:p>
      <w:pPr>
        <w:pStyle w:val="TextBody"/>
        <w:bidi w:val="0"/>
        <w:spacing w:lineRule="auto" w:line="288" w:before="12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(3)    Reflects compensation and other costs related to the CEO transition effective January 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Reynolds Consumer Products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Reconciliation of Net Income and EPS to Adjusted Net Income and Adjusted EPS</w:t>
      </w:r>
    </w:p>
    <w:tbl>
      <w:tblPr>
        <w:tblW w:w="10205" w:type="dxa"/>
        <w:jc w:val="left"/>
        <w:tblInd w:w="0" w:type="dxa"/>
        <w:tblLayout w:type="fixed"/>
        <w:tblCellMar>
          <w:top w:w="28" w:type="dxa"/>
          <w:left w:w="28" w:type="dxa"/>
          <w:bottom w:w="28" w:type="dxa"/>
          <w:right w:w="28" w:type="dxa"/>
        </w:tblCellMar>
      </w:tblPr>
      <w:tblGrid>
        <w:gridCol w:w="1047"/>
        <w:gridCol w:w="821"/>
        <w:gridCol w:w="829"/>
        <w:gridCol w:w="263"/>
        <w:gridCol w:w="470"/>
        <w:gridCol w:w="135"/>
        <w:gridCol w:w="113"/>
        <w:gridCol w:w="113"/>
        <w:gridCol w:w="113"/>
        <w:gridCol w:w="384"/>
        <w:gridCol w:w="349"/>
        <w:gridCol w:w="341"/>
        <w:gridCol w:w="113"/>
        <w:gridCol w:w="113"/>
        <w:gridCol w:w="113"/>
        <w:gridCol w:w="234"/>
        <w:gridCol w:w="585"/>
        <w:gridCol w:w="120"/>
        <w:gridCol w:w="109"/>
        <w:gridCol w:w="109"/>
        <w:gridCol w:w="109"/>
        <w:gridCol w:w="263"/>
        <w:gridCol w:w="469"/>
        <w:gridCol w:w="135"/>
        <w:gridCol w:w="113"/>
        <w:gridCol w:w="113"/>
        <w:gridCol w:w="113"/>
        <w:gridCol w:w="384"/>
        <w:gridCol w:w="349"/>
        <w:gridCol w:w="341"/>
        <w:gridCol w:w="113"/>
        <w:gridCol w:w="113"/>
        <w:gridCol w:w="113"/>
        <w:gridCol w:w="233"/>
        <w:gridCol w:w="583"/>
        <w:gridCol w:w="187"/>
      </w:tblGrid>
      <w:tr>
        <w:trPr/>
        <w:tc>
          <w:tcPr>
            <w:tcW w:w="1047"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26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 2025</w:t>
            </w:r>
          </w:p>
        </w:tc>
      </w:tr>
      <w:tr>
        <w:trPr/>
        <w:tc>
          <w:tcPr>
            <w:tcW w:w="26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millions, except for per share data)</w:t>
            </w:r>
          </w:p>
        </w:tc>
        <w:tc>
          <w:tcPr>
            <w:tcW w:w="868"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 Income</w:t>
            </w:r>
          </w:p>
        </w:tc>
        <w:tc>
          <w:tcPr>
            <w:tcW w:w="33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Diluted Shares</w:t>
            </w:r>
          </w:p>
        </w:tc>
        <w:tc>
          <w:tcPr>
            <w:tcW w:w="33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Diluted EPS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 Income</w:t>
            </w:r>
          </w:p>
        </w:tc>
        <w:tc>
          <w:tcPr>
            <w:tcW w:w="33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Diluted Shares</w:t>
            </w:r>
          </w:p>
        </w:tc>
        <w:tc>
          <w:tcPr>
            <w:tcW w:w="33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Diluted EPS</w:t>
            </w:r>
          </w:p>
        </w:tc>
      </w:tr>
      <w:tr>
        <w:trPr/>
        <w:tc>
          <w:tcPr>
            <w:tcW w:w="26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 Reported - GAAP</w:t>
            </w:r>
          </w:p>
        </w:tc>
        <w:tc>
          <w:tcPr>
            <w:tcW w:w="263"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70"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89</w:t>
            </w:r>
            <w:r>
              <w:rPr>
                <w:color w:val="000000"/>
              </w:rPr>
              <w:t> </w:t>
            </w:r>
          </w:p>
        </w:tc>
        <w:tc>
          <w:tcPr>
            <w:tcW w:w="135"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211.9</w:t>
            </w:r>
            <w:r>
              <w:rPr>
                <w:color w:val="000000"/>
              </w:rPr>
              <w:t> </w:t>
            </w:r>
          </w:p>
        </w:tc>
        <w:tc>
          <w:tcPr>
            <w:tcW w:w="34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85"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0.42</w:t>
            </w:r>
            <w:r>
              <w:rPr>
                <w:color w:val="000000"/>
              </w:rPr>
              <w:t> </w:t>
            </w:r>
          </w:p>
        </w:tc>
        <w:tc>
          <w:tcPr>
            <w:tcW w:w="120"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69"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73</w:t>
            </w:r>
            <w:r>
              <w:rPr>
                <w:color w:val="000000"/>
              </w:rPr>
              <w:t> </w:t>
            </w:r>
          </w:p>
        </w:tc>
        <w:tc>
          <w:tcPr>
            <w:tcW w:w="135"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210.3</w:t>
            </w:r>
            <w:r>
              <w:rPr>
                <w:color w:val="000000"/>
              </w:rPr>
              <w:t> </w:t>
            </w:r>
          </w:p>
        </w:tc>
        <w:tc>
          <w:tcPr>
            <w:tcW w:w="34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83"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0.35</w:t>
            </w:r>
            <w:r>
              <w:rPr>
                <w:color w:val="000000"/>
              </w:rPr>
              <w:t> </w:t>
            </w:r>
          </w:p>
        </w:tc>
        <w:tc>
          <w:tcPr>
            <w:tcW w:w="187"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Adjustments:</w:t>
            </w:r>
          </w:p>
        </w:tc>
        <w:tc>
          <w:tcPr>
            <w:tcW w:w="8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Debt refinancing expense</w:t>
            </w:r>
            <w:r>
              <w:rPr>
                <w:rFonts w:ascii="Times New Roman;serif" w:hAnsi="Times New Roman;serif"/>
                <w:b w:val="false"/>
                <w:color w:val="000000"/>
                <w:sz w:val="13"/>
              </w:rPr>
              <w:t>(1)</w:t>
            </w:r>
          </w:p>
        </w:tc>
        <w:tc>
          <w:tcPr>
            <w:tcW w:w="7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211.9 </w:t>
            </w:r>
          </w:p>
        </w:tc>
        <w:tc>
          <w:tcPr>
            <w:tcW w:w="3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210.3 </w:t>
            </w:r>
          </w:p>
        </w:tc>
        <w:tc>
          <w:tcPr>
            <w:tcW w:w="3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Costs to execute strategic initiatives</w:t>
            </w:r>
            <w:r>
              <w:rPr>
                <w:rFonts w:ascii="Times New Roman;serif" w:hAnsi="Times New Roman;serif"/>
                <w:b w:val="false"/>
                <w:color w:val="000000"/>
                <w:sz w:val="13"/>
              </w:rPr>
              <w:t>(1)</w:t>
            </w:r>
          </w:p>
        </w:tc>
        <w:tc>
          <w:tcPr>
            <w:tcW w:w="7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211.9 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210.3 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0.03 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CEO transition costs</w:t>
            </w:r>
            <w:r>
              <w:rPr>
                <w:rFonts w:ascii="Times New Roman;serif" w:hAnsi="Times New Roman;serif"/>
                <w:b w:val="false"/>
                <w:color w:val="000000"/>
                <w:sz w:val="13"/>
              </w:rPr>
              <w:t>(1)</w:t>
            </w:r>
          </w:p>
        </w:tc>
        <w:tc>
          <w:tcPr>
            <w:tcW w:w="7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211.9 </w:t>
            </w:r>
          </w:p>
        </w:tc>
        <w:tc>
          <w:tcPr>
            <w:tcW w:w="3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210.3 </w:t>
            </w:r>
          </w:p>
        </w:tc>
        <w:tc>
          <w:tcPr>
            <w:tcW w:w="3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0.02 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(Non-GAAP)</w:t>
            </w:r>
          </w:p>
        </w:tc>
        <w:tc>
          <w:tcPr>
            <w:tcW w:w="263" w:type="dxa"/>
            <w:tcBorders>
              <w:top w:val="single" w:sz="4" w:space="0" w:color="000000"/>
              <w:bottom w:val="double" w:sz="5"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70" w:type="dxa"/>
            <w:tcBorders>
              <w:top w:val="single" w:sz="4" w:space="0" w:color="000000"/>
              <w:bottom w:val="double" w:sz="5"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89</w:t>
            </w:r>
            <w:r>
              <w:rPr>
                <w:color w:val="000000"/>
              </w:rPr>
              <w:t> </w:t>
            </w:r>
          </w:p>
        </w:tc>
        <w:tc>
          <w:tcPr>
            <w:tcW w:w="135" w:type="dxa"/>
            <w:tcBorders>
              <w:top w:val="single" w:sz="4" w:space="0" w:color="000000"/>
              <w:bottom w:val="double" w:sz="5"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top w:val="single" w:sz="4" w:space="0" w:color="000000"/>
              <w:bottom w:val="double" w:sz="5"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211.9</w:t>
            </w:r>
            <w:r>
              <w:rPr>
                <w:color w:val="000000"/>
              </w:rPr>
              <w:t> </w:t>
            </w:r>
          </w:p>
        </w:tc>
        <w:tc>
          <w:tcPr>
            <w:tcW w:w="341" w:type="dxa"/>
            <w:tcBorders>
              <w:top w:val="single" w:sz="4" w:space="0" w:color="000000"/>
              <w:bottom w:val="double" w:sz="5"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4" w:space="0" w:color="000000"/>
              <w:bottom w:val="double" w:sz="5"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85" w:type="dxa"/>
            <w:tcBorders>
              <w:top w:val="single" w:sz="4" w:space="0" w:color="000000"/>
              <w:bottom w:val="double" w:sz="5"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0.42</w:t>
            </w:r>
            <w:r>
              <w:rPr>
                <w:color w:val="000000"/>
              </w:rPr>
              <w:t> </w:t>
            </w:r>
          </w:p>
        </w:tc>
        <w:tc>
          <w:tcPr>
            <w:tcW w:w="120" w:type="dxa"/>
            <w:tcBorders>
              <w:top w:val="single" w:sz="4" w:space="0" w:color="000000"/>
              <w:bottom w:val="double" w:sz="5"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4" w:space="0" w:color="000000"/>
              <w:bottom w:val="double" w:sz="5"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69" w:type="dxa"/>
            <w:tcBorders>
              <w:top w:val="single" w:sz="4" w:space="0" w:color="000000"/>
              <w:bottom w:val="double" w:sz="5"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83</w:t>
            </w:r>
            <w:r>
              <w:rPr>
                <w:color w:val="000000"/>
              </w:rPr>
              <w:t> </w:t>
            </w:r>
          </w:p>
        </w:tc>
        <w:tc>
          <w:tcPr>
            <w:tcW w:w="135" w:type="dxa"/>
            <w:tcBorders>
              <w:top w:val="single" w:sz="4" w:space="0" w:color="000000"/>
              <w:bottom w:val="double" w:sz="5"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top w:val="single" w:sz="4" w:space="0" w:color="000000"/>
              <w:bottom w:val="double" w:sz="5"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210.3</w:t>
            </w:r>
            <w:r>
              <w:rPr>
                <w:color w:val="000000"/>
              </w:rPr>
              <w:t> </w:t>
            </w:r>
          </w:p>
        </w:tc>
        <w:tc>
          <w:tcPr>
            <w:tcW w:w="341" w:type="dxa"/>
            <w:tcBorders>
              <w:top w:val="single" w:sz="4" w:space="0" w:color="000000"/>
              <w:bottom w:val="double" w:sz="5"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4" w:space="0" w:color="000000"/>
              <w:bottom w:val="double" w:sz="5"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83" w:type="dxa"/>
            <w:tcBorders>
              <w:top w:val="single" w:sz="4" w:space="0" w:color="000000"/>
              <w:bottom w:val="double" w:sz="5"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0.39</w:t>
            </w:r>
            <w:r>
              <w:rPr>
                <w:color w:val="000000"/>
              </w:rPr>
              <w:t> </w:t>
            </w:r>
          </w:p>
        </w:tc>
        <w:tc>
          <w:tcPr>
            <w:tcW w:w="187" w:type="dxa"/>
            <w:tcBorders>
              <w:top w:val="single" w:sz="4" w:space="0" w:color="000000"/>
              <w:bottom w:val="double" w:sz="5"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(1)    Amounts are after tax, calculated based on the applicable tax treatment of each adjustment, using a normalized effective tax rate of 23.5% for deductible items and 0% for non-deductible items.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047"/>
        <w:gridCol w:w="821"/>
        <w:gridCol w:w="828"/>
        <w:gridCol w:w="236"/>
        <w:gridCol w:w="539"/>
        <w:gridCol w:w="121"/>
        <w:gridCol w:w="109"/>
        <w:gridCol w:w="109"/>
        <w:gridCol w:w="109"/>
        <w:gridCol w:w="384"/>
        <w:gridCol w:w="349"/>
        <w:gridCol w:w="341"/>
        <w:gridCol w:w="109"/>
        <w:gridCol w:w="109"/>
        <w:gridCol w:w="109"/>
        <w:gridCol w:w="234"/>
        <w:gridCol w:w="585"/>
        <w:gridCol w:w="120"/>
        <w:gridCol w:w="109"/>
        <w:gridCol w:w="109"/>
        <w:gridCol w:w="109"/>
        <w:gridCol w:w="236"/>
        <w:gridCol w:w="539"/>
        <w:gridCol w:w="121"/>
        <w:gridCol w:w="109"/>
        <w:gridCol w:w="109"/>
        <w:gridCol w:w="109"/>
        <w:gridCol w:w="384"/>
        <w:gridCol w:w="349"/>
        <w:gridCol w:w="341"/>
        <w:gridCol w:w="109"/>
        <w:gridCol w:w="109"/>
        <w:gridCol w:w="109"/>
        <w:gridCol w:w="233"/>
        <w:gridCol w:w="582"/>
        <w:gridCol w:w="180"/>
      </w:tblGrid>
      <w:tr>
        <w:trPr/>
        <w:tc>
          <w:tcPr>
            <w:tcW w:w="1047"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r>
      <w:tr>
        <w:trPr/>
        <w:tc>
          <w:tcPr>
            <w:tcW w:w="2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 2025</w:t>
            </w:r>
          </w:p>
        </w:tc>
      </w:tr>
      <w:tr>
        <w:trPr/>
        <w:tc>
          <w:tcPr>
            <w:tcW w:w="26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millions, except for per share data)</w:t>
            </w:r>
          </w:p>
        </w:tc>
        <w:tc>
          <w:tcPr>
            <w:tcW w:w="89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 Income</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Diluted Shares</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Diluted EPS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 Income</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Diluted Shares</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Diluted EPS</w:t>
            </w:r>
          </w:p>
        </w:tc>
      </w:tr>
      <w:tr>
        <w:trPr/>
        <w:tc>
          <w:tcPr>
            <w:tcW w:w="26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 Reported - GAAP</w:t>
            </w:r>
          </w:p>
        </w:tc>
        <w:tc>
          <w:tcPr>
            <w:tcW w:w="23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39"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148</w:t>
            </w:r>
            <w:r>
              <w:rPr>
                <w:color w:val="000000"/>
              </w:rPr>
              <w:t> </w:t>
            </w:r>
          </w:p>
        </w:tc>
        <w:tc>
          <w:tcPr>
            <w:tcW w:w="12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211.9</w:t>
            </w:r>
            <w:r>
              <w:rPr>
                <w:color w:val="000000"/>
              </w:rPr>
              <w:t> </w:t>
            </w:r>
          </w:p>
        </w:tc>
        <w:tc>
          <w:tcPr>
            <w:tcW w:w="34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85"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0.70</w:t>
            </w:r>
            <w:r>
              <w:rPr>
                <w:color w:val="000000"/>
              </w:rPr>
              <w:t> </w:t>
            </w:r>
          </w:p>
        </w:tc>
        <w:tc>
          <w:tcPr>
            <w:tcW w:w="120"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39"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105</w:t>
            </w:r>
            <w:r>
              <w:rPr>
                <w:color w:val="000000"/>
              </w:rPr>
              <w:t> </w:t>
            </w:r>
          </w:p>
        </w:tc>
        <w:tc>
          <w:tcPr>
            <w:tcW w:w="12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210.3</w:t>
            </w:r>
            <w:r>
              <w:rPr>
                <w:color w:val="000000"/>
              </w:rPr>
              <w:t> </w:t>
            </w:r>
          </w:p>
        </w:tc>
        <w:tc>
          <w:tcPr>
            <w:tcW w:w="34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82"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0.50</w:t>
            </w:r>
            <w:r>
              <w:rPr>
                <w:color w:val="000000"/>
              </w:rPr>
              <w:t> </w:t>
            </w:r>
          </w:p>
        </w:tc>
        <w:tc>
          <w:tcPr>
            <w:tcW w:w="180"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Adjustments:</w:t>
            </w:r>
          </w:p>
        </w:tc>
        <w:tc>
          <w:tcPr>
            <w:tcW w:w="8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Debt refinancing expense</w:t>
            </w:r>
            <w:r>
              <w:rPr>
                <w:rFonts w:ascii="Times New Roman;serif" w:hAnsi="Times New Roman;serif"/>
                <w:b w:val="false"/>
                <w:color w:val="000000"/>
                <w:sz w:val="13"/>
              </w:rPr>
              <w:t>(1)</w:t>
            </w:r>
          </w:p>
        </w:tc>
        <w:tc>
          <w:tcPr>
            <w:tcW w:w="7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211.9 </w:t>
            </w:r>
          </w:p>
        </w:tc>
        <w:tc>
          <w:tcPr>
            <w:tcW w:w="3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210.3 </w:t>
            </w:r>
          </w:p>
        </w:tc>
        <w:tc>
          <w:tcPr>
            <w:tcW w:w="3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0.05 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Costs to execute strategic initiatives</w:t>
            </w:r>
            <w:r>
              <w:rPr>
                <w:rFonts w:ascii="Times New Roman;serif" w:hAnsi="Times New Roman;serif"/>
                <w:b w:val="false"/>
                <w:color w:val="000000"/>
                <w:sz w:val="13"/>
              </w:rPr>
              <w:t>(1)</w:t>
            </w:r>
          </w:p>
        </w:tc>
        <w:tc>
          <w:tcPr>
            <w:tcW w:w="7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211.9 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210.3 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0.05 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CEO transition costs</w:t>
            </w:r>
            <w:r>
              <w:rPr>
                <w:rFonts w:ascii="Times New Roman;serif" w:hAnsi="Times New Roman;serif"/>
                <w:b w:val="false"/>
                <w:color w:val="000000"/>
                <w:sz w:val="13"/>
              </w:rPr>
              <w:t>(1)</w:t>
            </w:r>
          </w:p>
        </w:tc>
        <w:tc>
          <w:tcPr>
            <w:tcW w:w="7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211.9 </w:t>
            </w:r>
          </w:p>
        </w:tc>
        <w:tc>
          <w:tcPr>
            <w:tcW w:w="3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210.3 </w:t>
            </w:r>
          </w:p>
        </w:tc>
        <w:tc>
          <w:tcPr>
            <w:tcW w:w="3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0.03 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(Non-GAAP)</w:t>
            </w:r>
          </w:p>
        </w:tc>
        <w:tc>
          <w:tcPr>
            <w:tcW w:w="236" w:type="dxa"/>
            <w:tcBorders>
              <w:top w:val="single" w:sz="4" w:space="0" w:color="000000"/>
              <w:bottom w:val="double" w:sz="5"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39" w:type="dxa"/>
            <w:tcBorders>
              <w:top w:val="single" w:sz="4" w:space="0" w:color="000000"/>
              <w:bottom w:val="double" w:sz="5"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148</w:t>
            </w:r>
            <w:r>
              <w:rPr>
                <w:color w:val="000000"/>
              </w:rPr>
              <w:t> </w:t>
            </w:r>
          </w:p>
        </w:tc>
        <w:tc>
          <w:tcPr>
            <w:tcW w:w="121" w:type="dxa"/>
            <w:tcBorders>
              <w:top w:val="single" w:sz="4" w:space="0" w:color="000000"/>
              <w:bottom w:val="double" w:sz="5"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top w:val="single" w:sz="4" w:space="0" w:color="000000"/>
              <w:bottom w:val="double" w:sz="5"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211.9</w:t>
            </w:r>
            <w:r>
              <w:rPr>
                <w:color w:val="000000"/>
              </w:rPr>
              <w:t> </w:t>
            </w:r>
          </w:p>
        </w:tc>
        <w:tc>
          <w:tcPr>
            <w:tcW w:w="341" w:type="dxa"/>
            <w:tcBorders>
              <w:top w:val="single" w:sz="4" w:space="0" w:color="000000"/>
              <w:bottom w:val="double" w:sz="5"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4" w:space="0" w:color="000000"/>
              <w:bottom w:val="double" w:sz="5"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85" w:type="dxa"/>
            <w:tcBorders>
              <w:top w:val="single" w:sz="4" w:space="0" w:color="000000"/>
              <w:bottom w:val="double" w:sz="5"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0.70</w:t>
            </w:r>
            <w:r>
              <w:rPr>
                <w:color w:val="000000"/>
              </w:rPr>
              <w:t> </w:t>
            </w:r>
          </w:p>
        </w:tc>
        <w:tc>
          <w:tcPr>
            <w:tcW w:w="120" w:type="dxa"/>
            <w:tcBorders>
              <w:top w:val="single" w:sz="4" w:space="0" w:color="000000"/>
              <w:bottom w:val="double" w:sz="5"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4" w:space="0" w:color="000000"/>
              <w:bottom w:val="double" w:sz="5"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39" w:type="dxa"/>
            <w:tcBorders>
              <w:top w:val="single" w:sz="4" w:space="0" w:color="000000"/>
              <w:bottom w:val="double" w:sz="5"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132</w:t>
            </w:r>
            <w:r>
              <w:rPr>
                <w:color w:val="000000"/>
              </w:rPr>
              <w:t> </w:t>
            </w:r>
          </w:p>
        </w:tc>
        <w:tc>
          <w:tcPr>
            <w:tcW w:w="121" w:type="dxa"/>
            <w:tcBorders>
              <w:top w:val="single" w:sz="4" w:space="0" w:color="000000"/>
              <w:bottom w:val="double" w:sz="5"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top w:val="single" w:sz="4" w:space="0" w:color="000000"/>
              <w:bottom w:val="double" w:sz="5"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210.3</w:t>
            </w:r>
            <w:r>
              <w:rPr>
                <w:color w:val="000000"/>
              </w:rPr>
              <w:t> </w:t>
            </w:r>
          </w:p>
        </w:tc>
        <w:tc>
          <w:tcPr>
            <w:tcW w:w="341" w:type="dxa"/>
            <w:tcBorders>
              <w:top w:val="single" w:sz="4" w:space="0" w:color="000000"/>
              <w:bottom w:val="double" w:sz="5"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4" w:space="0" w:color="000000"/>
              <w:bottom w:val="double" w:sz="5"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82" w:type="dxa"/>
            <w:tcBorders>
              <w:top w:val="single" w:sz="4" w:space="0" w:color="000000"/>
              <w:bottom w:val="double" w:sz="5"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0.63</w:t>
            </w:r>
            <w:r>
              <w:rPr>
                <w:color w:val="000000"/>
              </w:rPr>
              <w:t> </w:t>
            </w:r>
          </w:p>
        </w:tc>
        <w:tc>
          <w:tcPr>
            <w:tcW w:w="180" w:type="dxa"/>
            <w:tcBorders>
              <w:top w:val="single" w:sz="4" w:space="0" w:color="000000"/>
              <w:bottom w:val="double" w:sz="5"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(1)    Amounts are after tax, calculated based on the applicable tax treatment of each adjustment, using a normalized effective tax rate of 23.5% for deductible items and 0% for non-deductible items.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75260"/>
                <wp:effectExtent l="0" t="0" r="0" b="0"/>
                <wp:wrapNone/>
                <wp:docPr id="14" name="Frame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240" w:after="283"/>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Reynolds Consumer Products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Reconciliation of Trailing Twelve Months Net Income to Trailing Twelve Months Adjusted EBITDA</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(amounts in millions)</w:t>
      </w:r>
    </w:p>
    <w:tbl>
      <w:tblPr>
        <w:tblW w:w="9324" w:type="dxa"/>
        <w:jc w:val="left"/>
        <w:tblInd w:w="0" w:type="dxa"/>
        <w:tblLayout w:type="fixed"/>
        <w:tblCellMar>
          <w:top w:w="28" w:type="dxa"/>
          <w:left w:w="28" w:type="dxa"/>
          <w:bottom w:w="28" w:type="dxa"/>
          <w:right w:w="28" w:type="dxa"/>
        </w:tblCellMar>
      </w:tblPr>
      <w:tblGrid>
        <w:gridCol w:w="1109"/>
        <w:gridCol w:w="973"/>
        <w:gridCol w:w="977"/>
        <w:gridCol w:w="727"/>
        <w:gridCol w:w="1657"/>
        <w:gridCol w:w="375"/>
        <w:gridCol w:w="109"/>
        <w:gridCol w:w="109"/>
        <w:gridCol w:w="109"/>
        <w:gridCol w:w="792"/>
        <w:gridCol w:w="1807"/>
        <w:gridCol w:w="580"/>
      </w:tblGrid>
      <w:tr>
        <w:trPr/>
        <w:tc>
          <w:tcPr>
            <w:tcW w:w="1109"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1657"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807"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r>
      <w:tr>
        <w:trPr/>
        <w:tc>
          <w:tcPr>
            <w:tcW w:w="30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Twelve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Twelve Months Ended December 31, 2025</w:t>
            </w:r>
          </w:p>
        </w:tc>
      </w:tr>
      <w:tr>
        <w:trPr/>
        <w:tc>
          <w:tcPr>
            <w:tcW w:w="30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 – GAAP</w:t>
            </w:r>
          </w:p>
        </w:tc>
        <w:tc>
          <w:tcPr>
            <w:tcW w:w="72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65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344</w:t>
            </w:r>
            <w:r>
              <w:rPr>
                <w:color w:val="000000"/>
              </w:rPr>
              <w:t> </w:t>
            </w:r>
          </w:p>
        </w:tc>
        <w:tc>
          <w:tcPr>
            <w:tcW w:w="375"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80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301</w:t>
            </w:r>
            <w:r>
              <w:rPr>
                <w:color w:val="000000"/>
              </w:rPr>
              <w:t> </w:t>
            </w:r>
          </w:p>
        </w:tc>
        <w:tc>
          <w:tcPr>
            <w:tcW w:w="580"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2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92 </w:t>
            </w:r>
          </w:p>
        </w:tc>
        <w:tc>
          <w:tcPr>
            <w:tcW w:w="5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23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87 </w:t>
            </w:r>
          </w:p>
        </w:tc>
        <w:tc>
          <w:tcPr>
            <w:tcW w:w="3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86 </w:t>
            </w:r>
          </w:p>
        </w:tc>
        <w:tc>
          <w:tcPr>
            <w:tcW w:w="5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Debt refinancing expense</w:t>
            </w:r>
          </w:p>
        </w:tc>
        <w:tc>
          <w:tcPr>
            <w:tcW w:w="2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5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23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135 </w:t>
            </w:r>
          </w:p>
        </w:tc>
        <w:tc>
          <w:tcPr>
            <w:tcW w:w="3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135 </w:t>
            </w:r>
          </w:p>
        </w:tc>
        <w:tc>
          <w:tcPr>
            <w:tcW w:w="5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Costs to execute strategic initiatives</w:t>
            </w:r>
          </w:p>
        </w:tc>
        <w:tc>
          <w:tcPr>
            <w:tcW w:w="2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5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CEO transition costs</w:t>
            </w:r>
          </w:p>
        </w:tc>
        <w:tc>
          <w:tcPr>
            <w:tcW w:w="23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3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5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EBITDA (Non-GAAP)</w:t>
            </w:r>
          </w:p>
        </w:tc>
        <w:tc>
          <w:tcPr>
            <w:tcW w:w="727" w:type="dxa"/>
            <w:tcBorders>
              <w:top w:val="single" w:sz="4" w:space="0" w:color="000000"/>
              <w:bottom w:val="double" w:sz="5"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657" w:type="dxa"/>
            <w:tcBorders>
              <w:top w:val="single" w:sz="4" w:space="0" w:color="000000"/>
              <w:bottom w:val="double" w:sz="5"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689</w:t>
            </w:r>
            <w:r>
              <w:rPr>
                <w:color w:val="000000"/>
              </w:rPr>
              <w:t> </w:t>
            </w:r>
          </w:p>
        </w:tc>
        <w:tc>
          <w:tcPr>
            <w:tcW w:w="375" w:type="dxa"/>
            <w:tcBorders>
              <w:top w:val="single" w:sz="4" w:space="0" w:color="000000"/>
              <w:bottom w:val="double" w:sz="5"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tcBorders>
              <w:top w:val="single" w:sz="4" w:space="0" w:color="000000"/>
              <w:bottom w:val="double" w:sz="5"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807" w:type="dxa"/>
            <w:tcBorders>
              <w:top w:val="single" w:sz="4" w:space="0" w:color="000000"/>
              <w:bottom w:val="double" w:sz="5"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667</w:t>
            </w:r>
            <w:r>
              <w:rPr>
                <w:color w:val="000000"/>
              </w:rPr>
              <w:t> </w:t>
            </w:r>
          </w:p>
        </w:tc>
        <w:tc>
          <w:tcPr>
            <w:tcW w:w="580" w:type="dxa"/>
            <w:tcBorders>
              <w:top w:val="single" w:sz="4" w:space="0" w:color="000000"/>
              <w:bottom w:val="double" w:sz="5"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Reynolds Consumer Products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Reconciliation of Total Debt to Net Debt and Calculation of Net Debt to Trailing Twelve Months Adjusted EBITDA</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(amounts in millions, except for Net Debt to Trailing Twelve Months Adjusted EBITDA)</w:t>
      </w:r>
    </w:p>
    <w:tbl>
      <w:tblPr>
        <w:tblW w:w="5720" w:type="dxa"/>
        <w:jc w:val="left"/>
        <w:tblInd w:w="0" w:type="dxa"/>
        <w:tblLayout w:type="fixed"/>
        <w:tblCellMar>
          <w:top w:w="28" w:type="dxa"/>
          <w:left w:w="28" w:type="dxa"/>
          <w:bottom w:w="28" w:type="dxa"/>
          <w:right w:w="28" w:type="dxa"/>
        </w:tblCellMar>
      </w:tblPr>
      <w:tblGrid>
        <w:gridCol w:w="1707"/>
        <w:gridCol w:w="1499"/>
        <w:gridCol w:w="1518"/>
        <w:gridCol w:w="211"/>
        <w:gridCol w:w="631"/>
        <w:gridCol w:w="154"/>
      </w:tblGrid>
      <w:tr>
        <w:trPr/>
        <w:tc>
          <w:tcPr>
            <w:tcW w:w="1707" w:type="dxa"/>
            <w:tcBorders/>
            <w:vAlign w:val="center"/>
          </w:tcPr>
          <w:p>
            <w:pPr>
              <w:pStyle w:val="TableContents"/>
              <w:bidi w:val="0"/>
              <w:spacing w:before="0" w:after="283"/>
              <w:jc w:val="left"/>
              <w:rPr>
                <w:sz w:val="4"/>
                <w:szCs w:val="4"/>
              </w:rPr>
            </w:pPr>
            <w:r>
              <w:rPr>
                <w:sz w:val="4"/>
                <w:szCs w:val="4"/>
              </w:rPr>
            </w:r>
          </w:p>
        </w:tc>
        <w:tc>
          <w:tcPr>
            <w:tcW w:w="1499" w:type="dxa"/>
            <w:tcBorders/>
            <w:vAlign w:val="center"/>
          </w:tcPr>
          <w:p>
            <w:pPr>
              <w:pStyle w:val="TableContents"/>
              <w:bidi w:val="0"/>
              <w:spacing w:before="0" w:after="283"/>
              <w:jc w:val="left"/>
              <w:rPr>
                <w:sz w:val="4"/>
                <w:szCs w:val="4"/>
              </w:rPr>
            </w:pPr>
            <w:r>
              <w:rPr>
                <w:sz w:val="4"/>
                <w:szCs w:val="4"/>
              </w:rPr>
            </w:r>
          </w:p>
        </w:tc>
        <w:tc>
          <w:tcPr>
            <w:tcW w:w="151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 of June 30, 2026</w:t>
            </w:r>
          </w:p>
        </w:tc>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4"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4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debt</w:t>
            </w:r>
          </w:p>
        </w:tc>
        <w:tc>
          <w:tcPr>
            <w:tcW w:w="84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1,530 </w:t>
            </w:r>
          </w:p>
        </w:tc>
        <w:tc>
          <w:tcPr>
            <w:tcW w:w="15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debt (Non-GAAP)</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1,464</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For the twelve months ended June 30, 2026</w:t>
            </w:r>
          </w:p>
        </w:tc>
        <w:tc>
          <w:tcPr>
            <w:tcW w:w="9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EBITDA (Non-GAAP)</w:t>
            </w:r>
          </w:p>
        </w:tc>
        <w:tc>
          <w:tcPr>
            <w:tcW w:w="21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689</w:t>
            </w:r>
            <w:r>
              <w:rPr>
                <w:color w:val="000000"/>
              </w:rPr>
              <w:t> </w:t>
            </w:r>
          </w:p>
        </w:tc>
        <w:tc>
          <w:tcPr>
            <w:tcW w:w="15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double" w:sz="5"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Debt to Trailing Twelve Months Adjusted EBITDA</w:t>
            </w:r>
          </w:p>
        </w:tc>
        <w:tc>
          <w:tcPr>
            <w:tcW w:w="996" w:type="dxa"/>
            <w:gridSpan w:val="3"/>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2.1x</w:t>
            </w:r>
          </w:p>
        </w:tc>
      </w:tr>
    </w:tbl>
    <w:tbl>
      <w:tblPr>
        <w:tblW w:w="5720" w:type="dxa"/>
        <w:jc w:val="left"/>
        <w:tblInd w:w="0" w:type="dxa"/>
        <w:tblLayout w:type="fixed"/>
        <w:tblCellMar>
          <w:top w:w="28" w:type="dxa"/>
          <w:left w:w="28" w:type="dxa"/>
          <w:bottom w:w="28" w:type="dxa"/>
          <w:right w:w="28" w:type="dxa"/>
        </w:tblCellMar>
      </w:tblPr>
      <w:tblGrid>
        <w:gridCol w:w="1709"/>
        <w:gridCol w:w="1505"/>
        <w:gridCol w:w="1510"/>
        <w:gridCol w:w="211"/>
        <w:gridCol w:w="631"/>
        <w:gridCol w:w="154"/>
      </w:tblGrid>
      <w:tr>
        <w:trPr/>
        <w:tc>
          <w:tcPr>
            <w:tcW w:w="1709" w:type="dxa"/>
            <w:tcBorders/>
            <w:vAlign w:val="center"/>
          </w:tcPr>
          <w:p>
            <w:pPr>
              <w:pStyle w:val="TableContents"/>
              <w:bidi w:val="0"/>
              <w:spacing w:before="0" w:after="283"/>
              <w:jc w:val="left"/>
              <w:rPr>
                <w:sz w:val="4"/>
                <w:szCs w:val="4"/>
              </w:rPr>
            </w:pPr>
            <w:r>
              <w:rPr>
                <w:sz w:val="4"/>
                <w:szCs w:val="4"/>
              </w:rPr>
            </w:r>
          </w:p>
        </w:tc>
        <w:tc>
          <w:tcPr>
            <w:tcW w:w="1505" w:type="dxa"/>
            <w:tcBorders/>
            <w:vAlign w:val="center"/>
          </w:tcPr>
          <w:p>
            <w:pPr>
              <w:pStyle w:val="TableContents"/>
              <w:bidi w:val="0"/>
              <w:spacing w:before="0" w:after="283"/>
              <w:jc w:val="left"/>
              <w:rPr>
                <w:sz w:val="4"/>
                <w:szCs w:val="4"/>
              </w:rPr>
            </w:pPr>
            <w:r>
              <w:rPr>
                <w:sz w:val="4"/>
                <w:szCs w:val="4"/>
              </w:rPr>
            </w:r>
          </w:p>
        </w:tc>
        <w:tc>
          <w:tcPr>
            <w:tcW w:w="15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 of December 31, 2025</w:t>
            </w:r>
          </w:p>
        </w:tc>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4"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4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debt</w:t>
            </w:r>
          </w:p>
        </w:tc>
        <w:tc>
          <w:tcPr>
            <w:tcW w:w="84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1,580 </w:t>
            </w:r>
          </w:p>
        </w:tc>
        <w:tc>
          <w:tcPr>
            <w:tcW w:w="15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debt (Non-GAAP)</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1,433</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For the twelve months ended December 31, 2025</w:t>
            </w:r>
          </w:p>
        </w:tc>
        <w:tc>
          <w:tcPr>
            <w:tcW w:w="9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EBITDA (Non-GAAP)</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667</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Debt to Trailing Twelve Months Adjusted EBITDA</w:t>
            </w:r>
          </w:p>
        </w:tc>
        <w:tc>
          <w:tcPr>
            <w:tcW w:w="996" w:type="dxa"/>
            <w:gridSpan w:val="3"/>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2.1x</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75260"/>
                <wp:effectExtent l="0" t="0" r="0" b="0"/>
                <wp:wrapNone/>
                <wp:docPr id="15" name="Frame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240" w:after="283"/>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Reynolds Consumer Products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Reconciliation of Q3 2026 and FY2026 Net Income Guidance to Adjusted EBITDA Guidance</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(amounts in millions)</w:t>
      </w:r>
    </w:p>
    <w:tbl>
      <w:tblPr>
        <w:tblW w:w="8451" w:type="dxa"/>
        <w:jc w:val="center"/>
        <w:tblInd w:w="0" w:type="dxa"/>
        <w:tblLayout w:type="fixed"/>
        <w:tblCellMar>
          <w:top w:w="28" w:type="dxa"/>
          <w:left w:w="28" w:type="dxa"/>
          <w:bottom w:w="28" w:type="dxa"/>
          <w:right w:w="28" w:type="dxa"/>
        </w:tblCellMar>
      </w:tblPr>
      <w:tblGrid>
        <w:gridCol w:w="938"/>
        <w:gridCol w:w="825"/>
        <w:gridCol w:w="831"/>
        <w:gridCol w:w="338"/>
        <w:gridCol w:w="770"/>
        <w:gridCol w:w="174"/>
        <w:gridCol w:w="174"/>
        <w:gridCol w:w="174"/>
        <w:gridCol w:w="174"/>
        <w:gridCol w:w="338"/>
        <w:gridCol w:w="770"/>
        <w:gridCol w:w="174"/>
        <w:gridCol w:w="109"/>
        <w:gridCol w:w="109"/>
        <w:gridCol w:w="109"/>
        <w:gridCol w:w="261"/>
        <w:gridCol w:w="596"/>
        <w:gridCol w:w="135"/>
        <w:gridCol w:w="135"/>
        <w:gridCol w:w="135"/>
        <w:gridCol w:w="135"/>
        <w:gridCol w:w="261"/>
        <w:gridCol w:w="596"/>
        <w:gridCol w:w="190"/>
      </w:tblGrid>
      <w:tr>
        <w:trPr/>
        <w:tc>
          <w:tcPr>
            <w:tcW w:w="938"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r>
      <w:tr>
        <w:trPr/>
        <w:tc>
          <w:tcPr>
            <w:tcW w:w="2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 2026</w:t>
            </w:r>
          </w:p>
        </w:tc>
      </w:tr>
      <w:tr>
        <w:trPr/>
        <w:tc>
          <w:tcPr>
            <w:tcW w:w="2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Low</w:t>
            </w:r>
          </w:p>
        </w:tc>
        <w:tc>
          <w:tcPr>
            <w:tcW w:w="52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High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Low</w:t>
            </w:r>
          </w:p>
        </w:tc>
        <w:tc>
          <w:tcPr>
            <w:tcW w:w="4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High</w:t>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 (GAAP)</w:t>
            </w:r>
          </w:p>
        </w:tc>
        <w:tc>
          <w:tcPr>
            <w:tcW w:w="3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79</w:t>
            </w:r>
            <w:r>
              <w:rPr>
                <w:color w:val="000000"/>
              </w:rPr>
              <w:t>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83</w:t>
            </w:r>
            <w:r>
              <w:rPr>
                <w:color w:val="000000"/>
              </w:rPr>
              <w:t>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331</w:t>
            </w:r>
            <w:r>
              <w:rPr>
                <w:color w:val="000000"/>
              </w:rPr>
              <w:t>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343</w:t>
            </w:r>
            <w:r>
              <w:rPr>
                <w:color w:val="000000"/>
              </w:rPr>
              <w:t> </w:t>
            </w:r>
          </w:p>
        </w:tc>
        <w:tc>
          <w:tcPr>
            <w:tcW w:w="1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EBITDA</w:t>
            </w:r>
          </w:p>
        </w:tc>
        <w:tc>
          <w:tcPr>
            <w:tcW w:w="3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160</w:t>
            </w:r>
            <w:r>
              <w:rPr>
                <w:color w:val="000000"/>
              </w:rPr>
              <w:t> </w:t>
            </w:r>
          </w:p>
        </w:tc>
        <w:tc>
          <w:tcPr>
            <w:tcW w:w="1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165</w:t>
            </w:r>
            <w:r>
              <w:rPr>
                <w:color w:val="000000"/>
              </w:rPr>
              <w:t> </w:t>
            </w:r>
          </w:p>
        </w:tc>
        <w:tc>
          <w:tcPr>
            <w:tcW w:w="1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660</w:t>
            </w:r>
            <w:r>
              <w:rPr>
                <w:color w:val="000000"/>
              </w:rPr>
              <w:t> </w:t>
            </w:r>
          </w:p>
        </w:tc>
        <w:tc>
          <w:tcPr>
            <w:tcW w:w="1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675</w:t>
            </w:r>
            <w:r>
              <w:rPr>
                <w:color w:val="000000"/>
              </w:rPr>
              <w:t> </w:t>
            </w:r>
          </w:p>
        </w:tc>
        <w:tc>
          <w:tcPr>
            <w:tcW w:w="1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75260"/>
                <wp:effectExtent l="0" t="0" r="0" b="0"/>
                <wp:wrapNone/>
                <wp:docPr id="16" name="Frame1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13</Pages>
  <Words>4418</Words>
  <Characters>23664</Characters>
  <CharactersWithSpaces>27567</CharactersWithSpaces>
  <Paragraphs>935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