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4, 2026</w:t>
      </w:r>
    </w:p>
    <w:p>
      <w:pPr>
        <w:spacing w:after="0" w:line="3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REYNOLDS CONSUMER PRODUCTS INC.</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ectPr>
          <w:pgSz w:w="11900" w:h="16838" w:orient="portrait"/>
          <w:cols w:equalWidth="0" w:num="1">
            <w:col w:w="11240"/>
          </w:cols>
          <w:pgMar w:left="320" w:top="1280" w:right="339" w:bottom="1440" w:gutter="0" w:footer="0" w:header="0"/>
        </w:sectPr>
      </w:pPr>
    </w:p>
    <w:p>
      <w:pPr>
        <w:spacing w:after="0" w:line="155"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6"/>
          <w:szCs w:val="16"/>
          <w:b w:val="1"/>
          <w:bCs w:val="1"/>
          <w:color w:val="auto"/>
        </w:rPr>
        <w:t>001-39205</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45-3464426</w:t>
      </w:r>
    </w:p>
    <w:p>
      <w:pPr>
        <w:spacing w:after="0" w:line="50" w:lineRule="exact"/>
        <w:rPr>
          <w:sz w:val="24"/>
          <w:szCs w:val="24"/>
          <w:color w:val="auto"/>
        </w:rPr>
      </w:pPr>
    </w:p>
    <w:p>
      <w:pPr>
        <w:sectPr>
          <w:pgSz w:w="11900" w:h="16838" w:orient="portrait"/>
          <w:cols w:equalWidth="0" w:num="3">
            <w:col w:w="4540" w:space="720"/>
            <w:col w:w="3000" w:space="720"/>
            <w:col w:w="2260"/>
          </w:cols>
          <w:pgMar w:left="320" w:top="1280" w:right="33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2440"/>
          </w:cols>
          <w:pgMar w:left="320" w:top="1280" w:right="339" w:bottom="1440" w:gutter="0" w:footer="0" w:header="0"/>
          <w:type w:val="continuous"/>
        </w:sectPr>
      </w:pPr>
    </w:p>
    <w:p>
      <w:pPr>
        <w:spacing w:after="0" w:line="200"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1900 W. Field Court</w:t>
      </w:r>
    </w:p>
    <w:p>
      <w:pPr>
        <w:spacing w:after="0" w:line="25"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Lake Forest, Illinois</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60045</w:t>
      </w:r>
    </w:p>
    <w:p>
      <w:pPr>
        <w:spacing w:after="0" w:line="28" w:lineRule="exact"/>
        <w:rPr>
          <w:sz w:val="24"/>
          <w:szCs w:val="24"/>
          <w:color w:val="auto"/>
        </w:rPr>
      </w:pPr>
    </w:p>
    <w:p>
      <w:pPr>
        <w:sectPr>
          <w:pgSz w:w="11900" w:h="16838" w:orient="portrait"/>
          <w:cols w:equalWidth="0" w:num="2">
            <w:col w:w="7500" w:space="720"/>
            <w:col w:w="3020"/>
          </w:cols>
          <w:pgMar w:left="320" w:top="1280" w:right="3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1280" w:right="339" w:bottom="1440" w:gutter="0" w:footer="0" w:header="0"/>
          <w:type w:val="continuous"/>
        </w:sectPr>
      </w:pP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879-5067</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9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tcPr>
          <w:p>
            <w:pPr>
              <w:spacing w:after="0"/>
              <w:rPr>
                <w:sz w:val="15"/>
                <w:szCs w:val="15"/>
                <w:color w:val="auto"/>
              </w:rPr>
            </w:pPr>
          </w:p>
        </w:tc>
      </w:tr>
      <w:tr>
        <w:trPr>
          <w:trHeight w:val="20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06"/>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10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REYN</w:t>
            </w:r>
          </w:p>
        </w:tc>
        <w:tc>
          <w:tcPr>
            <w:tcW w:w="100" w:type="dxa"/>
            <w:vAlign w:val="bottom"/>
          </w:tcPr>
          <w:p>
            <w:pPr>
              <w:spacing w:after="0"/>
              <w:rPr>
                <w:sz w:val="17"/>
                <w:szCs w:val="17"/>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88"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February 4, 2026, Reynolds Consumer Products Inc. (the “Company”) issued a press release announcing its financial results for the fourth quarter and fiscal year ended December 31, 2025. A copy of the press release is furnished as Exhibit 99.1 to this Current Report on Form 8-K.</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included in Item 2.02 of this Current Report on Form 8-K, including Exhibit 99.1 attached hereto, is being furnished and shall not be deemed “filed” for purposes of Section 18 of the Securities Exchange Act of 1934, as amended (the “Exchange Act”), or otherwise subject to the liabilities of that Section and shall not be deemed incorporated by reference into any other filing under the Securities Act of 1933, as amended, or the Exchange Act, except as otherwise expressly stated in such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98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364"/>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64"/>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Reynolds Consumer Products Inc., dated February 4, 2026</w:t>
            </w:r>
          </w:p>
        </w:tc>
        <w:tc>
          <w:tcPr>
            <w:tcW w:w="4000" w:type="dxa"/>
            <w:vAlign w:val="bottom"/>
          </w:tcPr>
          <w:p>
            <w:pPr>
              <w:spacing w:after="0"/>
              <w:rPr>
                <w:sz w:val="24"/>
                <w:szCs w:val="24"/>
                <w:color w:val="auto"/>
              </w:rPr>
            </w:pPr>
          </w:p>
        </w:tc>
      </w:tr>
      <w:tr>
        <w:trPr>
          <w:trHeight w:val="27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126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4, 2026</w:t>
      </w:r>
    </w:p>
    <w:p>
      <w:pPr>
        <w:spacing w:after="0" w:line="29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293"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Jill E.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Jill E. Barnett</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Legal Officer and Secretary</w:t>
      </w:r>
    </w:p>
    <w:p>
      <w:pPr>
        <w:sectPr>
          <w:pgSz w:w="11900" w:h="16838" w:orient="portrait"/>
          <w:cols w:equalWidth="0" w:num="1">
            <w:col w:w="11200"/>
          </w:cols>
          <w:pgMar w:left="320" w:top="103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502285</wp:posOffset>
            </wp:positionV>
            <wp:extent cx="2125980" cy="728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25980"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340" w:right="440"/>
        <w:spacing w:after="0" w:line="278" w:lineRule="auto"/>
        <w:rPr>
          <w:sz w:val="20"/>
          <w:szCs w:val="20"/>
          <w:color w:val="auto"/>
        </w:rPr>
      </w:pPr>
      <w:r>
        <w:rPr>
          <w:rFonts w:ascii="Times New Roman" w:cs="Times New Roman" w:eastAsia="Times New Roman" w:hAnsi="Times New Roman"/>
          <w:sz w:val="29"/>
          <w:szCs w:val="29"/>
          <w:b w:val="1"/>
          <w:bCs w:val="1"/>
          <w:color w:val="auto"/>
        </w:rPr>
        <w:t>Reynolds Consumer Products Reports Fourth Quarter and Full Year 2025 Financial Results; Provides 2026 Outlook</w:t>
      </w:r>
    </w:p>
    <w:p>
      <w:pPr>
        <w:spacing w:after="0" w:line="285" w:lineRule="exact"/>
        <w:rPr>
          <w:sz w:val="20"/>
          <w:szCs w:val="20"/>
          <w:color w:val="auto"/>
        </w:rPr>
      </w:pPr>
    </w:p>
    <w:p>
      <w:pPr>
        <w:jc w:val="center"/>
        <w:spacing w:after="0" w:line="362" w:lineRule="auto"/>
        <w:rPr>
          <w:sz w:val="20"/>
          <w:szCs w:val="20"/>
          <w:color w:val="auto"/>
        </w:rPr>
      </w:pPr>
      <w:r>
        <w:rPr>
          <w:rFonts w:ascii="Times New Roman" w:cs="Times New Roman" w:eastAsia="Times New Roman" w:hAnsi="Times New Roman"/>
          <w:sz w:val="22"/>
          <w:szCs w:val="22"/>
          <w:b w:val="1"/>
          <w:bCs w:val="1"/>
          <w:i w:val="1"/>
          <w:iCs w:val="1"/>
          <w:color w:val="auto"/>
        </w:rPr>
        <w:t>Realizing Benefits from Strategic Initiatives &amp; Continued Investment Q4 Earnings Growth Despite Commodity Headwinds Strong Branded Share Gains</w:t>
      </w:r>
    </w:p>
    <w:p>
      <w:pPr>
        <w:spacing w:after="0" w:line="18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LAKE FOREST, IL, February 4, 2026 – (BUSINESSWIRE) </w:t>
      </w:r>
      <w:r>
        <w:rPr>
          <w:rFonts w:ascii="Times New Roman" w:cs="Times New Roman" w:eastAsia="Times New Roman" w:hAnsi="Times New Roman"/>
          <w:sz w:val="18"/>
          <w:szCs w:val="18"/>
          <w:color w:val="auto"/>
        </w:rPr>
        <w:t>– Reynolds Consumer Products Inc. (the “Company”) (Nasdaq: REYN) today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fourth quarter and fiscal year ended December 31, 2025.</w:t>
      </w:r>
    </w:p>
    <w:p>
      <w:pPr>
        <w:spacing w:after="0" w:line="172" w:lineRule="exact"/>
        <w:rPr>
          <w:sz w:val="20"/>
          <w:szCs w:val="20"/>
          <w:color w:val="auto"/>
        </w:rPr>
      </w:pPr>
    </w:p>
    <w:p>
      <w:pPr>
        <w:ind w:right="100"/>
        <w:spacing w:after="0" w:line="204" w:lineRule="exact"/>
        <w:rPr>
          <w:sz w:val="20"/>
          <w:szCs w:val="20"/>
          <w:color w:val="auto"/>
        </w:rPr>
      </w:pPr>
      <w:r>
        <w:rPr>
          <w:rFonts w:ascii="Times New Roman" w:cs="Times New Roman" w:eastAsia="Times New Roman" w:hAnsi="Times New Roman"/>
          <w:sz w:val="18"/>
          <w:szCs w:val="18"/>
          <w:color w:val="auto"/>
        </w:rPr>
        <w:t>“I’m proud of the results our team delivered in a challenging macro environment,” said Scott Huckins, President and Chief Executive Officer. “We gained share, delivered excellent service levels, and reinforced the fundamentals of our U.S.-centric business by executing with discipline, innovating to meet evolving consumer needs, and investing in growth and productivity. Our fourth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quarter and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results demonstrate the resilience of our business and early results from executing against our priorities.”</w:t>
      </w:r>
    </w:p>
    <w:p>
      <w:pPr>
        <w:spacing w:after="0" w:line="171" w:lineRule="exact"/>
        <w:rPr>
          <w:sz w:val="20"/>
          <w:szCs w:val="20"/>
          <w:color w:val="auto"/>
        </w:rPr>
      </w:pPr>
    </w:p>
    <w:p>
      <w:pPr>
        <w:ind w:right="260"/>
        <w:spacing w:after="0" w:line="245" w:lineRule="exact"/>
        <w:rPr>
          <w:sz w:val="20"/>
          <w:szCs w:val="20"/>
          <w:color w:val="auto"/>
        </w:rPr>
      </w:pPr>
      <w:r>
        <w:rPr>
          <w:rFonts w:ascii="Times New Roman" w:cs="Times New Roman" w:eastAsia="Times New Roman" w:hAnsi="Times New Roman"/>
          <w:sz w:val="18"/>
          <w:szCs w:val="18"/>
          <w:color w:val="auto"/>
        </w:rPr>
        <w:t>Huckins continued, “We enter 2026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positioned, with the team, resources, operating agility, innovation pipeline, and category leadership to navigate dynamic operating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Highlights</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of $1,034 million compared to $1,021 million in Q4 2024</w:t>
      </w:r>
    </w:p>
    <w:p>
      <w:pPr>
        <w:spacing w:after="0" w:line="3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Net Revenues of $964 million compared to $975 million in Q4 2024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volumes decreased 2%, exceeding category performance by 2-points, and flat excluding foam</w:t>
      </w:r>
    </w:p>
    <w:p>
      <w:pPr>
        <w:spacing w:after="0" w:line="9" w:lineRule="exact"/>
        <w:rPr>
          <w:rFonts w:ascii="Times New Roman" w:cs="Times New Roman" w:eastAsia="Times New Roman" w:hAnsi="Times New Roman"/>
          <w:sz w:val="18"/>
          <w:szCs w:val="18"/>
          <w:color w:val="auto"/>
        </w:rPr>
      </w:pPr>
    </w:p>
    <w:p>
      <w:pPr>
        <w:ind w:left="1300" w:hanging="320"/>
        <w:spacing w:after="0" w:line="197"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Non-Retail Net Revenues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$70 million compared to $46 million in Q4 2024</w:t>
      </w:r>
    </w:p>
    <w:p>
      <w:pPr>
        <w:ind w:left="660" w:right="240" w:hanging="328"/>
        <w:spacing w:after="0" w:line="249"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of $118 million compared to $121 million in Q4 2024, and</w:t>
      </w:r>
      <w:r>
        <w:rPr>
          <w:rFonts w:ascii="Times New Roman" w:cs="Times New Roman" w:eastAsia="Times New Roman" w:hAnsi="Times New Roman"/>
          <w:sz w:val="18"/>
          <w:szCs w:val="18"/>
          <w:b w:val="1"/>
          <w:bCs w:val="1"/>
          <w:color w:val="auto"/>
        </w:rPr>
        <w:t xml:space="preserve"> Adjusted Net Income </w:t>
      </w:r>
      <w:r>
        <w:rPr>
          <w:rFonts w:ascii="Times New Roman" w:cs="Times New Roman" w:eastAsia="Times New Roman" w:hAnsi="Times New Roman"/>
          <w:sz w:val="18"/>
          <w:szCs w:val="18"/>
          <w:color w:val="auto"/>
        </w:rPr>
        <w:t>of $125 million compared to $121 million in Q4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of $220 million vs $213 million in Q4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of $0.56 compared to $0.58 in Q4 2024, and</w:t>
      </w:r>
      <w:r>
        <w:rPr>
          <w:rFonts w:ascii="Times New Roman" w:cs="Times New Roman" w:eastAsia="Times New Roman" w:hAnsi="Times New Roman"/>
          <w:sz w:val="18"/>
          <w:szCs w:val="18"/>
          <w:b w:val="1"/>
          <w:bCs w:val="1"/>
          <w:color w:val="auto"/>
        </w:rPr>
        <w:t xml:space="preserve"> Adjusted Earnings Per Share </w:t>
      </w:r>
      <w:r>
        <w:rPr>
          <w:rFonts w:ascii="Times New Roman" w:cs="Times New Roman" w:eastAsia="Times New Roman" w:hAnsi="Times New Roman"/>
          <w:sz w:val="18"/>
          <w:szCs w:val="18"/>
          <w:color w:val="auto"/>
        </w:rPr>
        <w:t>of $0.59 compared to $0.58 in Q4 2024</w:t>
      </w:r>
    </w:p>
    <w:p>
      <w:pPr>
        <w:spacing w:after="0" w:line="23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Net Income decreased to $118 million from $121 million in Q4 2024, driven primarily by $7 million of after-tax CEO transition costs and strategic investments in cost savings and revenue growth initiatives. Adjusted Net Income increased $4 million to $125 million over the year ago quarter. Adjusted EBITDA increased $7 million to $220 million over the year ago period, reflecting pricing actions to recover increased input costs, productivity improvements, and reductions in selling, general and administrative (SG&amp;A)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__________________________________________________</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Non-Retail Revenues consist of aluminum sales made to food service and industrial customers.</w:t>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Fourth Quarter Key Business Segment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key fourth quarter results by reportable business unit. All comparisons are with the fourth quarter of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increased $34 million to $398 million, driven by higher non-retail revenues and pricing to recover input cost increases.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volume decreased 3%, though sequentially flat, while Reynolds Wrap</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bakeware and parchment drove share gains.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flat at $80 million on better alignment of pricing and input costs, as well as lower operating costs.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2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Net Revenues were flat at $250 million, reflecting stronger volumes offset by changes in year-over-year promotional timing and business mix.</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volume increased 3%, driven by strong performance and share gains in both Hefty® waste bags and Hefty® Press to Close food bags.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$7 million to $76 million, primarily driven by productivity improvements.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w:t>
      </w:r>
      <w:r>
        <w:rPr>
          <w:rFonts w:ascii="Times New Roman" w:cs="Times New Roman" w:eastAsia="Times New Roman" w:hAnsi="Times New Roman"/>
          <w:sz w:val="18"/>
          <w:szCs w:val="18"/>
          <w:color w:val="auto"/>
        </w:rPr>
        <w:t>re</w:t>
      </w:r>
    </w:p>
    <w:p>
      <w:pPr>
        <w:spacing w:after="0" w:line="29" w:lineRule="exact"/>
        <w:rPr>
          <w:sz w:val="20"/>
          <w:szCs w:val="20"/>
          <w:color w:val="auto"/>
        </w:rPr>
      </w:pPr>
    </w:p>
    <w:p>
      <w:pPr>
        <w:ind w:left="660" w:right="4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decreased $26 million to $229 million and retail volume decreased 12%, driven primarily by double-digit declines in the foam category.</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flat at $52 million due to lower operational costs offset by the impact of lower foam sales.</w:t>
      </w:r>
    </w:p>
    <w:p>
      <w:pPr>
        <w:spacing w:after="0" w:line="20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increased $14 million to a record $168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volume increased 10% due to strong share gains in store brand food bags.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$5 million to a record $36 million, driven by retail volume growth.</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Highlights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of $3,721 million compared to $3,695 million in 2024</w:t>
      </w:r>
    </w:p>
    <w:p>
      <w:pPr>
        <w:spacing w:after="0" w:line="3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Net Revenues of $3,481 million compared to $3,518 million in 2024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volume decreased 2% in total, exceeding category performance by 1-point, and flat excluding foam</w:t>
      </w:r>
    </w:p>
    <w:p>
      <w:pPr>
        <w:spacing w:after="0" w:line="9" w:lineRule="exact"/>
        <w:rPr>
          <w:rFonts w:ascii="Times New Roman" w:cs="Times New Roman" w:eastAsia="Times New Roman" w:hAnsi="Times New Roman"/>
          <w:sz w:val="18"/>
          <w:szCs w:val="18"/>
          <w:color w:val="auto"/>
        </w:rPr>
      </w:pPr>
    </w:p>
    <w:p>
      <w:pPr>
        <w:ind w:left="1300" w:hanging="320"/>
        <w:spacing w:after="0" w:line="197"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Non-Retail Revenues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$240 million compared to $177 million in 2024</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of $301 million compared to $352 million in 2024, and</w:t>
      </w:r>
      <w:r>
        <w:rPr>
          <w:rFonts w:ascii="Times New Roman" w:cs="Times New Roman" w:eastAsia="Times New Roman" w:hAnsi="Times New Roman"/>
          <w:sz w:val="18"/>
          <w:szCs w:val="18"/>
          <w:b w:val="1"/>
          <w:bCs w:val="1"/>
          <w:color w:val="auto"/>
        </w:rPr>
        <w:t xml:space="preserve"> Adjusted Net Income </w:t>
      </w:r>
      <w:r>
        <w:rPr>
          <w:rFonts w:ascii="Times New Roman" w:cs="Times New Roman" w:eastAsia="Times New Roman" w:hAnsi="Times New Roman"/>
          <w:sz w:val="18"/>
          <w:szCs w:val="18"/>
          <w:color w:val="auto"/>
        </w:rPr>
        <w:t>of $345 million compared to $352 million in 2024</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of $667 million compared to $678 million in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of $1.43 compared to $1.67 in 2024, and</w:t>
      </w:r>
      <w:r>
        <w:rPr>
          <w:rFonts w:ascii="Times New Roman" w:cs="Times New Roman" w:eastAsia="Times New Roman" w:hAnsi="Times New Roman"/>
          <w:sz w:val="18"/>
          <w:szCs w:val="18"/>
          <w:b w:val="1"/>
          <w:bCs w:val="1"/>
          <w:color w:val="auto"/>
        </w:rPr>
        <w:t xml:space="preserve"> Adjusted Earnings Per Share </w:t>
      </w:r>
      <w:r>
        <w:rPr>
          <w:rFonts w:ascii="Times New Roman" w:cs="Times New Roman" w:eastAsia="Times New Roman" w:hAnsi="Times New Roman"/>
          <w:sz w:val="18"/>
          <w:szCs w:val="18"/>
          <w:color w:val="auto"/>
        </w:rPr>
        <w:t>of $1.64 compared to $1.67 in 2024</w:t>
      </w:r>
    </w:p>
    <w:p>
      <w:pPr>
        <w:spacing w:after="0" w:line="2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Income was $301 million, including $10 million of after-tax debt refinancing costs in the first quarter and $34 million of after-tax CEO transition costs and strategic investments in cost savings and revenue growth initiatives. Adjusted Net Income was $345 million compared to Adjusted Net Income of $352 million in the comparable prior year period, which included a discrete tax benefit of $10 million in the second quarter of 2024. Adjusted EBITDA was $667 million, compared to $678 million in the comparable prior year period. The decline was driven by lower retail sales volumes, including retailer inventory destocking and foam category declines, as well as higher operational costs, partially offset by pricing actions to fully recover higher input costs and lower selling general and administrative costs, which included the benefit of cost reduction initiatives.</w:t>
      </w:r>
    </w:p>
    <w:p>
      <w:pPr>
        <w:spacing w:after="0" w:line="214"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18"/>
          <w:szCs w:val="18"/>
          <w:color w:val="auto"/>
        </w:rPr>
        <w:t>The Company reduced Net Debt Leverage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from 2.3x on December 31, 2024 to 2.1x on December 31, 2025, at the low-end of our stated target leverage range of 2.0 to 2.5x.</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__________________________________________________</w:t>
      </w:r>
    </w:p>
    <w:p>
      <w:pPr>
        <w:sectPr>
          <w:pgSz w:w="11900" w:h="16838" w:orient="portrait"/>
          <w:cols w:equalWidth="0" w:num="1">
            <w:col w:w="11200"/>
          </w:cols>
          <w:pgMar w:left="320" w:top="1130" w:right="379" w:bottom="1440" w:gutter="0" w:footer="0" w:header="0"/>
        </w:sectPr>
      </w:pPr>
    </w:p>
    <w:bookmarkStart w:id="5" w:name="page6"/>
    <w:bookmarkEnd w:id="5"/>
    <w:p>
      <w:pPr>
        <w:spacing w:after="0" w:line="225" w:lineRule="auto"/>
        <w:rPr>
          <w:sz w:val="20"/>
          <w:szCs w:val="20"/>
          <w:color w:val="auto"/>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Net Debt is defined as current portion of long-term debt plus long-term debt less cash and cash equivalents. Net Debt Leverage is defined as Net Debt divided by Trailing Twelve Months Adjusted EBITDA. See “Use of Non-GAAP Financial Measures” for additional information.</w:t>
      </w:r>
    </w:p>
    <w:p>
      <w:pPr>
        <w:sectPr>
          <w:pgSz w:w="11900" w:h="16838" w:orient="portrait"/>
          <w:cols w:equalWidth="0" w:num="1">
            <w:col w:w="11060"/>
          </w:cols>
          <w:pgMar w:left="320" w:top="1147"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Balance Sheet and Cash Flow Highlights</w:t>
      </w:r>
    </w:p>
    <w:p>
      <w:pPr>
        <w:spacing w:after="0" w:line="25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Cash and cash equivalents were $147 million at December 31, 2025, and debt was $1,580 million, resulting in net debt of $1,433 million. Net Debt Leverage was 2.1x on December 31, 2025.</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Operating cash flow was $477 million for the year ended December 31, 2025, compared to $489 million for the year ended December 31, 2024, reflecting working capital improvements to offset the impact of commodities and tariffs, and fund investments in strategic initiatives.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Capital expenditures were $161 million for the year ended December 31, 2025 compared to $120 million in the prior year, reflecting increased investments in automation and productivity to expand margins and support additional growth.</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“Over the course of 2025, we drove cost reduction and productivity initiatives across all parts of our business in a dynamic environment, including pricing, operational improvements, and targeted SG&amp;A reductions,” said Nathan Lowe, Chief Financial Officer. “As we look ahead, our priority is to further realize the benefits of the numerous initiatives we launched in 2025 and continue to invest in the business to deliver sustainable earnings growth that drives long-term shareholder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2026 and First Quarter 2026 Outlook</w:t>
      </w:r>
    </w:p>
    <w:p>
      <w:pPr>
        <w:spacing w:after="0" w:line="20"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8"/>
          <w:szCs w:val="18"/>
          <w:color w:val="auto"/>
        </w:rPr>
        <w:t>Beginning in Q1 2026, we will realign category organization across the Hefty Waste &amp; Storage and Presto segments, consolidating waste bags in one business and food bags and storage in another to increase efficiencies, sharpen the focus on innovation, and establish a structure to better unlock growth opportunities.</w:t>
      </w:r>
    </w:p>
    <w:p>
      <w:pPr>
        <w:spacing w:after="0" w:line="212"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8"/>
          <w:szCs w:val="18"/>
          <w:color w:val="auto"/>
        </w:rPr>
        <w:t>Full-year 2026 Net Revenues are expected to be -3% to +1% compared to 2025 Net Revenues of $3,721 million. The Company expects Net Income and Adjusted Net Income to be in the range of $331 million to $343 million. Full-year EPS and Adjusted EPS are expected to be between $1.57 to $1.63, and full-year Adjusted EBITDA is expected to be in the range of $660 million and $675 million.</w:t>
      </w:r>
    </w:p>
    <w:p>
      <w:pPr>
        <w:spacing w:after="0" w:line="19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First quarter 2026 Net Revenues are expected to be -3% to +1% compared to first quarter 2025 Net Revenues of $818 million. Net Income and Adjusted Net Income are expected to be between $49 million and $53 million in the first quarter, with EPS and Adjusted EPS expected to be $0.23 to $0.25. The Company expects first quarter Adjusted EBITDA to be $120 million to $125 million.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w:t>
      </w:r>
    </w:p>
    <w:p>
      <w:pPr>
        <w:spacing w:after="0" w:line="229"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approved a quarterly dividend of $0.23 per common share. The Company expects to pay this dividend on February 27, 2026, to shareholders of record as of February 13,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Webcast</w:t>
      </w:r>
    </w:p>
    <w:p>
      <w:pPr>
        <w:spacing w:after="0" w:line="25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 xml:space="preserve">The Company will host a live webcast this morning at 7:00 a.m. CT (8:00 a.m. ET). A link to the webcast and all related earnings materials will be available on the Company’s Investor Relations website at </w:t>
      </w:r>
      <w:r>
        <w:rPr>
          <w:rFonts w:ascii="Times New Roman" w:cs="Times New Roman" w:eastAsia="Times New Roman" w:hAnsi="Times New Roman"/>
          <w:sz w:val="18"/>
          <w:szCs w:val="18"/>
          <w:color w:val="0000FF"/>
        </w:rPr>
        <w:t>https://investors.reynoldsconsumerproducts.com.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Reynolds Consumer Products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Reynolds Consumer Products is a leading provider of household products that simplify daily life, so consumers can enjoy what matters most. Found in 95% of U.S. homes, the Company offers trusted solutions for cooking, cleanup, food storage and more. Its portfolio features iconic brands like Reynolds Wrap® aluminum foil and Hefty® trash bags and disposable tableware, along with store brand products tailored to retail partners. Reynolds holds the No. 1 or No. 2 U.S. market share in most of the categories it serves. Learn more at: </w:t>
      </w:r>
      <w:r>
        <w:rPr>
          <w:rFonts w:ascii="Times New Roman" w:cs="Times New Roman" w:eastAsia="Times New Roman" w:hAnsi="Times New Roman"/>
          <w:sz w:val="18"/>
          <w:szCs w:val="18"/>
          <w:color w:val="0000FF"/>
        </w:rPr>
        <w:t>https://investors.reynoldsconsumerproducts.com.</w:t>
      </w:r>
    </w:p>
    <w:p>
      <w:pPr>
        <w:sectPr>
          <w:pgSz w:w="11900" w:h="16838" w:orient="portrait"/>
          <w:cols w:equalWidth="0" w:num="1">
            <w:col w:w="11240"/>
          </w:cols>
          <w:pgMar w:left="320" w:top="114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This press release contains statements reflecting our views about our future performance that constitute “forward-looking statements” within the meaning of the Private Securities Litigation Reform Act of 1995, which are based on information available to us on the date of this release. These forward-looking statements include, but are not limited to, our positioning as we enter 2026, our priorities to realize benefits from past initiatives and invest in future growth, and our expectations for sustainable earnings growth and long-term shareholder value, and our anticipated Net Revenue, Net Income, Adjusted Net Income, EPS, Adjusted EPS and Adjusted EBITDA for first quarter and fiscal year 2026 guidance. In some cases, you can identify these statements by forward-looking words such as “anticipate,” “believe,” “estimate,” “expect,” “will,” “should,” “may,” “might,” “intends,” “outlook,” “forecast”, “position,” “committed,” “plans,” “predicts,” “model,” “assumes,” “confident,” “look forward,” “potential,” “on track,” or “continue,” the negative of these terms and other comparable terminology. These forward-looking statements, which are subject to risks, uncertainties and assumptions about us, may include projections of our future financial performance, our anticipated growth and recovery of profitability, management of costs and other disruptions and other strategies, the impact of the imposition of tariffs, and anticipated trends in our business, including expected levels of commodity costs and volume.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but not limited to the risk factors set forth in our most recent Annual Report on Form 10-K and in our Quarterly Reports on Form 10-Q.</w:t>
      </w:r>
    </w:p>
    <w:p>
      <w:pPr>
        <w:spacing w:after="0" w:line="2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additional information on these and other factors that could cause our actual results to materially differ from those set forth herein, please see our filings with the Securities and Exchange Commission, including our most recent Annual Report on Form 10-K and subsequent filings. Investors are cautioned not to place undue reliance on any such forward-looking statements, which speak only as of the date they are made. The Company undertakes no obligation to update any forward-looking statement, whether as a result of new information, future events or otherwise.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REYN-F</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Koval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Jill.Koval@reynoldsbrands.com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 832-4449</w:t>
      </w:r>
    </w:p>
    <w:p>
      <w:pPr>
        <w:sectPr>
          <w:pgSz w:w="11900" w:h="16838" w:orient="portrait"/>
          <w:cols w:equalWidth="0" w:num="1">
            <w:col w:w="11220"/>
          </w:cols>
          <w:pgMar w:left="320" w:top="1359"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millions, except for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58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920" w:type="dxa"/>
            <w:vAlign w:val="bottom"/>
          </w:tcPr>
          <w:p>
            <w:pPr>
              <w:spacing w:after="0"/>
              <w:rPr>
                <w:sz w:val="16"/>
                <w:szCs w:val="16"/>
                <w:color w:val="auto"/>
              </w:rPr>
            </w:pPr>
          </w:p>
        </w:tc>
      </w:tr>
      <w:tr>
        <w:trPr>
          <w:trHeight w:val="203"/>
        </w:trPr>
        <w:tc>
          <w:tcPr>
            <w:tcW w:w="4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0" w:type="dxa"/>
            <w:vAlign w:val="bottom"/>
            <w:gridSpan w:val="3"/>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7"/>
                <w:szCs w:val="17"/>
                <w:color w:val="auto"/>
              </w:rPr>
            </w:pPr>
          </w:p>
        </w:tc>
      </w:tr>
      <w:tr>
        <w:trPr>
          <w:trHeight w:val="23"/>
        </w:trPr>
        <w:tc>
          <w:tcPr>
            <w:tcW w:w="4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49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9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9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1,034</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3,721</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3,695</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978</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9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p>
        </w:tc>
        <w:tc>
          <w:tcPr>
            <w:tcW w:w="9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9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4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19"/>
                <w:szCs w:val="19"/>
                <w:color w:val="auto"/>
              </w:rPr>
            </w:pP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4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70"/>
        </w:trPr>
        <w:tc>
          <w:tcPr>
            <w:tcW w:w="49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230"/>
        </w:trPr>
        <w:tc>
          <w:tcPr>
            <w:tcW w:w="4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r>
    </w:tbl>
    <w:p>
      <w:pPr>
        <w:sectPr>
          <w:pgSz w:w="11900" w:h="16838" w:orient="portrait"/>
          <w:cols w:equalWidth="0" w:num="1">
            <w:col w:w="11240"/>
          </w:cols>
          <w:pgMar w:left="320" w:top="114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millions, except for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8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9"/>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receivables</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30"/>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1,101</w:t>
            </w:r>
          </w:p>
        </w:tc>
      </w:tr>
      <w:tr>
        <w:trPr>
          <w:trHeight w:val="230"/>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29"/>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30"/>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0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4,873</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7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payables</w:t>
            </w:r>
          </w:p>
        </w:tc>
        <w:tc>
          <w:tcPr>
            <w:tcW w:w="1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 payable</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r>
      <w:tr>
        <w:trPr>
          <w:trHeight w:val="230"/>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30"/>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0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2,731</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 $0.001 par value; 2,000 shares authorized; 210.3 shares issued and outstanding</w:t>
            </w:r>
          </w:p>
        </w:tc>
        <w:tc>
          <w:tcPr>
            <w:tcW w:w="1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30"/>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7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2,142</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10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4,873</w:t>
            </w:r>
          </w:p>
        </w:tc>
      </w:tr>
      <w:tr>
        <w:trPr>
          <w:trHeight w:val="20"/>
        </w:trPr>
        <w:tc>
          <w:tcPr>
            <w:tcW w:w="7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receivables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Related party payables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 payable / receivable</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81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Proceeds from term loan refinancing</w:t>
            </w:r>
            <w:r>
              <w:rPr>
                <w:rFonts w:ascii="Times New Roman" w:cs="Times New Roman" w:eastAsia="Times New Roman" w:hAnsi="Times New Roman"/>
                <w:sz w:val="23"/>
                <w:szCs w:val="23"/>
                <w:color w:val="auto"/>
                <w:vertAlign w:val="superscript"/>
              </w:rPr>
              <w:t>(1)</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Repayments of existing term loan</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Balance as of beginning of the year</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as of end of the year</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8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 long-term debt, net of interest rate swaps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4"/>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bl>
    <w:p>
      <w:pPr>
        <w:spacing w:after="0" w:line="28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Represents cash inflows and outflows due to changes in term loan lender composition.</w:t>
      </w:r>
    </w:p>
    <w:p>
      <w:pPr>
        <w:sectPr>
          <w:pgSz w:w="11900" w:h="16838" w:orient="portrait"/>
          <w:cols w:equalWidth="0" w:num="1">
            <w:col w:w="11240"/>
          </w:cols>
          <w:pgMar w:left="320" w:top="114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300" w:type="dxa"/>
            <w:vAlign w:val="bottom"/>
          </w:tcPr>
          <w:p>
            <w:pPr>
              <w:spacing w:after="0"/>
              <w:rPr>
                <w:sz w:val="13"/>
                <w:szCs w:val="13"/>
                <w:color w:val="auto"/>
              </w:rPr>
            </w:pPr>
          </w:p>
        </w:tc>
        <w:tc>
          <w:tcPr>
            <w:tcW w:w="10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80" w:type="dxa"/>
            <w:vAlign w:val="bottom"/>
          </w:tcPr>
          <w:p>
            <w:pPr>
              <w:spacing w:after="0"/>
              <w:rPr>
                <w:sz w:val="13"/>
                <w:szCs w:val="13"/>
                <w:color w:val="auto"/>
              </w:rPr>
            </w:pPr>
          </w:p>
        </w:tc>
        <w:tc>
          <w:tcPr>
            <w:tcW w:w="10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Hefty</w:t>
            </w:r>
          </w:p>
        </w:tc>
        <w:tc>
          <w:tcPr>
            <w:tcW w:w="300" w:type="dxa"/>
            <w:vAlign w:val="bottom"/>
          </w:tcPr>
          <w:p>
            <w:pPr>
              <w:spacing w:after="0"/>
              <w:rPr>
                <w:sz w:val="13"/>
                <w:szCs w:val="13"/>
                <w:color w:val="auto"/>
              </w:rPr>
            </w:pPr>
          </w:p>
        </w:tc>
        <w:tc>
          <w:tcPr>
            <w:tcW w:w="10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5"/>
              <w:spacing w:after="0" w:line="146" w:lineRule="exact"/>
              <w:rPr>
                <w:sz w:val="20"/>
                <w:szCs w:val="20"/>
                <w:color w:val="auto"/>
              </w:rPr>
            </w:pPr>
            <w:r>
              <w:rPr>
                <w:rFonts w:ascii="Times New Roman" w:cs="Times New Roman" w:eastAsia="Times New Roman" w:hAnsi="Times New Roman"/>
                <w:sz w:val="14"/>
                <w:szCs w:val="14"/>
                <w:b w:val="1"/>
                <w:bCs w:val="1"/>
                <w:color w:val="auto"/>
              </w:rPr>
              <w:t>Cooking</w:t>
            </w:r>
          </w:p>
        </w:tc>
        <w:tc>
          <w:tcPr>
            <w:tcW w:w="300" w:type="dxa"/>
            <w:vAlign w:val="bottom"/>
          </w:tcPr>
          <w:p>
            <w:pPr>
              <w:spacing w:after="0"/>
              <w:rPr>
                <w:sz w:val="12"/>
                <w:szCs w:val="12"/>
                <w:color w:val="auto"/>
              </w:rPr>
            </w:pPr>
          </w:p>
        </w:tc>
        <w:tc>
          <w:tcPr>
            <w:tcW w:w="1000" w:type="dxa"/>
            <w:vAlign w:val="bottom"/>
          </w:tcPr>
          <w:p>
            <w:pPr>
              <w:jc w:val="center"/>
              <w:ind w:right="155"/>
              <w:spacing w:after="0" w:line="146"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320" w:type="dxa"/>
            <w:vAlign w:val="bottom"/>
          </w:tcPr>
          <w:p>
            <w:pPr>
              <w:spacing w:after="0"/>
              <w:rPr>
                <w:sz w:val="12"/>
                <w:szCs w:val="12"/>
                <w:color w:val="auto"/>
              </w:rPr>
            </w:pPr>
          </w:p>
        </w:tc>
        <w:tc>
          <w:tcPr>
            <w:tcW w:w="9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4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&amp; Baking</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Three Months Ended December 31, 2025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1,034</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Three Months Ended December 31, 2024</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255</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Ended December 31, 2025</w:t>
            </w:r>
          </w:p>
        </w:tc>
        <w:tc>
          <w:tcPr>
            <w:tcW w:w="2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1,259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8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3,721</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1,206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3,695</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Three Months Ended December 31, 2025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Three Months Ended December 31, 2024</w:t>
            </w:r>
          </w:p>
        </w:tc>
        <w:tc>
          <w:tcPr>
            <w:tcW w:w="2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2025</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w:t>
            </w:r>
          </w:p>
        </w:tc>
        <w:tc>
          <w:tcPr>
            <w:tcW w:w="0" w:type="dxa"/>
            <w:vAlign w:val="bottom"/>
          </w:tcPr>
          <w:p>
            <w:pPr>
              <w:spacing w:after="0"/>
              <w:rPr>
                <w:sz w:val="1"/>
                <w:szCs w:val="1"/>
                <w:color w:val="auto"/>
              </w:rPr>
            </w:pPr>
          </w:p>
        </w:tc>
      </w:tr>
      <w:tr>
        <w:trPr>
          <w:trHeight w:val="238"/>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22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216</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8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500" w:right="180" w:hanging="411"/>
        <w:spacing w:after="0" w:line="262" w:lineRule="auto"/>
        <w:tabs>
          <w:tab w:leader="none" w:pos="492"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ind w:left="500" w:right="140" w:hanging="411"/>
        <w:spacing w:after="0" w:line="272" w:lineRule="auto"/>
        <w:tabs>
          <w:tab w:leader="none" w:pos="492"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During the three and twelve months ended December 31, 2025, we reassigned certain product lines supporting international distribution across our segments to better align with our strategic objectives. All prior period segment disclosures have been recast to reflect this reassignment. Our composition of operating segments and reportable segments did not change, and this reassignment had no effect on our previously reported consolidated results of operations.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Components of Change in Net Revenues for the Three Months Ended December 31, 2025 vs. the Three Months Ended December 31, 2024</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190"/>
        </w:trPr>
        <w:tc>
          <w:tcPr>
            <w:tcW w:w="41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Non-Retail</w:t>
            </w:r>
          </w:p>
        </w:tc>
        <w:tc>
          <w:tcPr>
            <w:tcW w:w="3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Waste &amp; Storage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Tableware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Presto Products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1 %</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Components of Change in Net Revenues for the Twelve Months Ended December 31, 2025 vs. the Twelve Months Ended December 31, 2024</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190"/>
        </w:trPr>
        <w:tc>
          <w:tcPr>
            <w:tcW w:w="41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Non-Retail</w:t>
            </w:r>
          </w:p>
        </w:tc>
        <w:tc>
          <w:tcPr>
            <w:tcW w:w="3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Waste &amp; Storage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Tableware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Presto Products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1 %</w:t>
            </w:r>
          </w:p>
        </w:tc>
      </w:tr>
    </w:tbl>
    <w:p>
      <w:pPr>
        <w:sectPr>
          <w:pgSz w:w="11900" w:h="16838" w:orient="portrait"/>
          <w:cols w:equalWidth="0" w:num="1">
            <w:col w:w="11240"/>
          </w:cols>
          <w:pgMar w:left="320" w:top="114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non-GAAP financial measures “Adjusted EBITDA,” “Adjusted Net Income,” “Adjusted Earnings Per Share,” “Net Debt,” “Net Debt to Trailing Twelve Months Adjusted EBITDA,” and “Free Cash Flow” in evaluating our past results and future prospects. We define Adjusted EBITDA as net income calculated in accordance with GAAP, plus the sum of income tax expense, net interest expense, debt refinancing expense, depreciation and amortization, costs to execute strategic initiatives, CEO transition costs, as well as other non-recurring costs. We define Adjusted Net Income and Adjusted Earnings Per Share (“Adjusted EPS”) as Net Income and Earnings Per Share (“EPS”) calculated in accordance with GAAP, plus debt refinancing costs, costs to execute strategic initiatives, CEO transition costs, as well as other non-recurring costs. We define Net Debt as the current portion of long-term debt plus long-term debt less cash and cash equivalents. We define Net Debt to Trailing Twelve Months Adjusted EBITDA as Net Debt (as defined above) as of the end of the period to Adjusted EBITDA (as defined above) for the period. We define Free Cash Flow as net cash provided by operating activities in the period minus the acquisition of property, plant and equipment in the period.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Earnings Per Share as supplemental measures to evaluate our business’ performance in a way that also considers our ability to generate profit without the impact of certain items. We use Net Debt as we believe it is a more representative measure of our liquidity. We use Net Debt to Trailing Twelve Months Adjusted EBITDA because it reflects our ability to service our debt obligations. We use Free Cash Flow because it measures our ability to generate additional cash from our business operations. Accordingly, we believe presenting these measures provide useful information to investors and others in understanding and evaluating our operating results in the same manner as our management team and board of directors.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Guidance for first quarter and fiscal year 2026, where adjusted, is provided on a non-GAAP basis. Please see reconciliations of non-GAAP measures used in this release to the most directly comparable GAAP measures, beginning on the following page.</w:t>
      </w:r>
    </w:p>
    <w:p>
      <w:pPr>
        <w:sectPr>
          <w:pgSz w:w="11900" w:h="16838" w:orient="portrait"/>
          <w:cols w:equalWidth="0" w:num="1">
            <w:col w:w="11240"/>
          </w:cols>
          <w:pgMar w:left="320" w:top="114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 and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3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8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36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3660" w:type="dxa"/>
            <w:vAlign w:val="bottom"/>
          </w:tcPr>
          <w:p>
            <w:pPr>
              <w:spacing w:after="0"/>
              <w:rPr>
                <w:sz w:val="16"/>
                <w:szCs w:val="16"/>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3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40" w:type="dxa"/>
            <w:vAlign w:val="bottom"/>
            <w:gridSpan w:val="3"/>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17"/>
                <w:szCs w:val="17"/>
                <w:color w:val="auto"/>
              </w:rPr>
            </w:pPr>
          </w:p>
        </w:tc>
      </w:tr>
      <w:tr>
        <w:trPr>
          <w:trHeight w:val="23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122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3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Debt refinancing expense</w:t>
            </w:r>
            <w:r>
              <w:rPr>
                <w:rFonts w:ascii="Times New Roman" w:cs="Times New Roman" w:eastAsia="Times New Roman" w:hAnsi="Times New Roman"/>
                <w:sz w:val="23"/>
                <w:szCs w:val="23"/>
                <w:color w:val="auto"/>
                <w:vertAlign w:val="superscript"/>
              </w:rPr>
              <w:t>(1)</w:t>
            </w:r>
          </w:p>
        </w:tc>
        <w:tc>
          <w:tcPr>
            <w:tcW w:w="122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3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(2)</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(3)</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220" w:type="dxa"/>
            <w:vAlign w:val="bottom"/>
            <w:tcBorders>
              <w:top w:val="single" w:sz="8" w:color="auto"/>
              <w:bottom w:val="single" w:sz="8" w:color="auto"/>
            </w:tcBorders>
          </w:tcPr>
          <w:p>
            <w:pPr>
              <w:jc w:val="right"/>
              <w:ind w:right="1019"/>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11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w:t>
            </w: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r>
      <w:tr>
        <w:trPr>
          <w:trHeight w:val="21"/>
        </w:trPr>
        <w:tc>
          <w:tcPr>
            <w:tcW w:w="3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expense recorded related to our March 2025 Term Loan Facility refinancing.</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the execution of cost savings and revenue growth strategic initiatives.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compensation and other costs related to the CEO transition effective January 1, 2025.</w:t>
      </w:r>
    </w:p>
    <w:p>
      <w:pPr>
        <w:sectPr>
          <w:pgSz w:w="11900" w:h="16838" w:orient="portrait"/>
          <w:cols w:equalWidth="0" w:num="1">
            <w:col w:w="11240"/>
          </w:cols>
          <w:pgMar w:left="320" w:top="114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and EPS to Adjusted Net Income and Adjusted EPS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200" w:type="dxa"/>
            <w:vAlign w:val="bottom"/>
          </w:tcPr>
          <w:p>
            <w:pPr>
              <w:spacing w:after="0"/>
              <w:rPr>
                <w:sz w:val="16"/>
                <w:szCs w:val="16"/>
                <w:color w:val="auto"/>
              </w:rPr>
            </w:pPr>
          </w:p>
        </w:tc>
        <w:tc>
          <w:tcPr>
            <w:tcW w:w="2920" w:type="dxa"/>
            <w:vAlign w:val="bottom"/>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11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1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Diluted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195"/>
        </w:trPr>
        <w:tc>
          <w:tcPr>
            <w:tcW w:w="4820" w:type="dxa"/>
            <w:vAlign w:val="bottom"/>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100" w:type="dxa"/>
            <w:vAlign w:val="bottom"/>
            <w:gridSpan w:val="3"/>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210.6</w:t>
            </w:r>
          </w:p>
        </w:tc>
        <w:tc>
          <w:tcPr>
            <w:tcW w:w="1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0.56</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0.58</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210.6</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660" w:right="680" w:hanging="652"/>
        <w:spacing w:after="0" w:line="282" w:lineRule="auto"/>
        <w:tabs>
          <w:tab w:leader="none" w:pos="3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after tax, calculated based on the applicable tax treatment of each adjustment, using a normalized effective tax rate of 23.3% for deductible items and 0% for non-deductible items.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00" w:type="dxa"/>
            <w:vAlign w:val="bottom"/>
            <w:gridSpan w:val="5"/>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gridSpan w:val="5"/>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11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10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8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100" w:type="dxa"/>
            <w:vAlign w:val="bottom"/>
            <w:gridSpan w:val="3"/>
            <w:vMerge w:val="continue"/>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3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210.4</w:t>
            </w:r>
          </w:p>
        </w:tc>
        <w:tc>
          <w:tcPr>
            <w:tcW w:w="1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210.4</w:t>
            </w:r>
          </w:p>
        </w:tc>
        <w:tc>
          <w:tcPr>
            <w:tcW w:w="16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Debt refinancing expense</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210.4</w:t>
            </w:r>
          </w:p>
        </w:tc>
        <w:tc>
          <w:tcPr>
            <w:tcW w:w="1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210.4</w:t>
            </w:r>
          </w:p>
        </w:tc>
        <w:tc>
          <w:tcPr>
            <w:tcW w:w="1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0" w:type="dxa"/>
            <w:vAlign w:val="bottom"/>
          </w:tcPr>
          <w:p>
            <w:pPr>
              <w:spacing w:after="0"/>
              <w:rPr>
                <w:sz w:val="1"/>
                <w:szCs w:val="1"/>
                <w:color w:val="auto"/>
              </w:rPr>
            </w:pPr>
          </w:p>
        </w:tc>
      </w:tr>
      <w:tr>
        <w:trPr>
          <w:trHeight w:val="522"/>
        </w:trPr>
        <w:tc>
          <w:tcPr>
            <w:tcW w:w="84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(1)  Amounts are after tax, calculated based on the applicable tax treatment of each adjustment, using a normalized</w:t>
            </w:r>
          </w:p>
        </w:tc>
        <w:tc>
          <w:tcPr>
            <w:tcW w:w="2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effective tax rate of 23.3% for</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deductible items and 0% for non-deductible items.</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Total Debt to Net Debt and Calculation of Net Debt to Trailing Twelve Months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millions, except for Net Debt to Trailing Twelve Months Adjusted EBITDA)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7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37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7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debt (Non-GAAP)</w:t>
            </w:r>
          </w:p>
        </w:tc>
        <w:tc>
          <w:tcPr>
            <w:tcW w:w="3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1,433</w:t>
            </w: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For the twelve months ended December 31, 2025</w:t>
            </w:r>
          </w:p>
        </w:tc>
        <w:tc>
          <w:tcPr>
            <w:tcW w:w="3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37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w:t>
            </w:r>
          </w:p>
        </w:tc>
        <w:tc>
          <w:tcPr>
            <w:tcW w:w="0" w:type="dxa"/>
            <w:vAlign w:val="bottom"/>
          </w:tcPr>
          <w:p>
            <w:pPr>
              <w:spacing w:after="0"/>
              <w:rPr>
                <w:sz w:val="1"/>
                <w:szCs w:val="1"/>
                <w:color w:val="auto"/>
              </w:rPr>
            </w:pPr>
          </w:p>
        </w:tc>
      </w:tr>
      <w:tr>
        <w:trPr>
          <w:trHeight w:val="284"/>
        </w:trPr>
        <w:tc>
          <w:tcPr>
            <w:tcW w:w="4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Net Debt to Trailing Twelve Months Adjusted EBITDA</w:t>
            </w:r>
          </w:p>
        </w:tc>
        <w:tc>
          <w:tcPr>
            <w:tcW w:w="3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2.1x</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3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280" w:type="dxa"/>
            <w:vAlign w:val="bottom"/>
            <w:vMerge w:val="continue"/>
          </w:tcPr>
          <w:p>
            <w:pPr>
              <w:spacing w:after="0"/>
              <w:rPr>
                <w:sz w:val="24"/>
                <w:szCs w:val="24"/>
                <w:color w:val="auto"/>
              </w:rPr>
            </w:pPr>
          </w:p>
        </w:tc>
        <w:tc>
          <w:tcPr>
            <w:tcW w:w="3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7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37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7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debt (Non-GAAP)</w:t>
            </w:r>
          </w:p>
        </w:tc>
        <w:tc>
          <w:tcPr>
            <w:tcW w:w="3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1,549</w:t>
            </w: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For the twelve months ended December 31, 2024</w:t>
            </w:r>
          </w:p>
        </w:tc>
        <w:tc>
          <w:tcPr>
            <w:tcW w:w="3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37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c>
          <w:tcPr>
            <w:tcW w:w="0" w:type="dxa"/>
            <w:vAlign w:val="bottom"/>
          </w:tcPr>
          <w:p>
            <w:pPr>
              <w:spacing w:after="0"/>
              <w:rPr>
                <w:sz w:val="1"/>
                <w:szCs w:val="1"/>
                <w:color w:val="auto"/>
              </w:rPr>
            </w:pPr>
          </w:p>
        </w:tc>
      </w:tr>
      <w:tr>
        <w:trPr>
          <w:trHeight w:val="283"/>
        </w:trPr>
        <w:tc>
          <w:tcPr>
            <w:tcW w:w="4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Net Debt to Trailing Twelve Months Adjusted EBITDA</w:t>
            </w:r>
          </w:p>
        </w:tc>
        <w:tc>
          <w:tcPr>
            <w:tcW w:w="3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2.3x</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gridSpan w:val="2"/>
            <w:vMerge w:val="restart"/>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9"/>
              </w:rPr>
              <w:t>Reynolds Consumer Products Inc.</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280" w:type="dxa"/>
            <w:vAlign w:val="bottom"/>
          </w:tcPr>
          <w:p>
            <w:pPr>
              <w:spacing w:after="0"/>
              <w:rPr>
                <w:sz w:val="24"/>
                <w:szCs w:val="24"/>
                <w:color w:val="auto"/>
              </w:rPr>
            </w:pPr>
          </w:p>
        </w:tc>
        <w:tc>
          <w:tcPr>
            <w:tcW w:w="48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080" w:type="dxa"/>
            <w:vAlign w:val="bottom"/>
            <w:gridSpan w:val="3"/>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Reconciliation of Net Cash Provided by Operating Activities to Free Cash Flow</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p>
        </w:tc>
        <w:tc>
          <w:tcPr>
            <w:tcW w:w="4800" w:type="dxa"/>
            <w:vAlign w:val="bottom"/>
            <w:gridSpan w:val="2"/>
          </w:tcPr>
          <w:p>
            <w:pPr>
              <w:jc w:val="center"/>
              <w:ind w:right="2019"/>
              <w:spacing w:after="0"/>
              <w:rPr>
                <w:sz w:val="20"/>
                <w:szCs w:val="20"/>
                <w:color w:val="auto"/>
              </w:rPr>
            </w:pPr>
            <w:r>
              <w:rPr>
                <w:rFonts w:ascii="Times New Roman" w:cs="Times New Roman" w:eastAsia="Times New Roman" w:hAnsi="Times New Roman"/>
                <w:sz w:val="18"/>
                <w:szCs w:val="18"/>
                <w:i w:val="1"/>
                <w:iCs w:val="1"/>
                <w:color w:val="auto"/>
                <w:w w:val="99"/>
              </w:rPr>
              <w:t>(amounts in millions)</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4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48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CCEEFF"/>
            </w:tcBorders>
          </w:tcPr>
          <w:p>
            <w:pPr>
              <w:spacing w:after="0"/>
              <w:rPr>
                <w:sz w:val="16"/>
                <w:szCs w:val="16"/>
                <w:color w:val="auto"/>
              </w:rPr>
            </w:pPr>
          </w:p>
        </w:tc>
        <w:tc>
          <w:tcPr>
            <w:tcW w:w="374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477</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37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316</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sectPr>
      </w:pPr>
    </w:p>
    <w:bookmarkStart w:id="16" w:name="page17"/>
    <w:bookmarkEnd w:id="1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Reconciliation of Q1 2026 and FY2026 Net Income Guidance to Adjusted EBITDA Guidance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98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Year Ended December 31, 2026</w:t>
            </w:r>
          </w:p>
        </w:tc>
      </w:tr>
      <w:tr>
        <w:trPr>
          <w:trHeight w:val="23"/>
        </w:trPr>
        <w:tc>
          <w:tcPr>
            <w:tcW w:w="4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12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Low</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High</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Low</w:t>
            </w:r>
          </w:p>
        </w:tc>
        <w:tc>
          <w:tcPr>
            <w:tcW w:w="380" w:type="dxa"/>
            <w:vAlign w:val="bottom"/>
          </w:tcPr>
          <w:p>
            <w:pPr>
              <w:spacing w:after="0"/>
              <w:rPr>
                <w:sz w:val="16"/>
                <w:szCs w:val="16"/>
                <w:color w:val="auto"/>
              </w:rPr>
            </w:pPr>
          </w:p>
        </w:tc>
        <w:tc>
          <w:tcPr>
            <w:tcW w:w="12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29"/>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112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140"/>
      </w:cols>
      <w:pgMar w:left="320" w:top="114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lvl w:ilvl="1">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2026-02-04T06:04:12Z</dcterms:created>
  <dcterms:modified xsi:type="dcterms:W3CDTF">2026-02-04T06:04:12Z</dcterms:modified>
</cp:coreProperties>
</file>