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5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63"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REYN</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4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25, 2025, the registrant had 210,325,070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six months ended June 30, 2025 and 2024</w:t>
            </w:r>
          </w:p>
        </w:tc>
        <w:tc>
          <w:tcPr>
            <w:tcW w:w="184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2025 and 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8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6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2025 and 2024</w:t>
            </w:r>
          </w:p>
        </w:tc>
        <w:tc>
          <w:tcPr>
            <w:tcW w:w="86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500" w:type="dxa"/>
            <w:vAlign w:val="bottom"/>
            <w:tcBorders>
              <w:top w:val="single" w:sz="8" w:color="0000FF"/>
            </w:tcBorders>
            <w:gridSpan w:val="3"/>
          </w:tcPr>
          <w:p>
            <w:pPr>
              <w:spacing w:after="0"/>
              <w:rPr>
                <w:sz w:val="21"/>
                <w:szCs w:val="21"/>
                <w:color w:val="auto"/>
              </w:rPr>
            </w:pPr>
          </w:p>
        </w:tc>
        <w:tc>
          <w:tcPr>
            <w:tcW w:w="226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1"/>
                <w:szCs w:val="21"/>
                <w:color w:val="auto"/>
              </w:rPr>
            </w:pPr>
          </w:p>
        </w:tc>
        <w:tc>
          <w:tcPr>
            <w:tcW w:w="310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w:t>
      </w:r>
    </w:p>
    <w:p>
      <w:pPr>
        <w:jc w:val="both"/>
        <w:spacing w:after="0" w:line="254" w:lineRule="auto"/>
        <w:rPr>
          <w:sz w:val="20"/>
          <w:szCs w:val="20"/>
          <w:color w:val="auto"/>
        </w:rPr>
      </w:pPr>
      <w:r>
        <w:rPr>
          <w:rFonts w:ascii="Times New Roman" w:cs="Times New Roman" w:eastAsia="Times New Roman" w:hAnsi="Times New Roman"/>
          <w:sz w:val="18"/>
          <w:szCs w:val="18"/>
          <w:color w:val="auto"/>
        </w:rPr>
        <w:t>“confident,”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2024 and as updated in our Quarterly Reports on Form 10-Q. You should specifically consider the numerous risks outlined in the “Risk Factors” sections. These risks and uncertainties include factors related to:</w:t>
      </w:r>
    </w:p>
    <w:p>
      <w:pPr>
        <w:spacing w:after="0" w:line="215" w:lineRule="exact"/>
        <w:rPr>
          <w:sz w:val="20"/>
          <w:szCs w:val="20"/>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5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spacing w:after="0" w:line="53"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 and other products;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2024, which was filed on February 5, 2025,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5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257"/>
        </w:trPr>
        <w:tc>
          <w:tcPr>
            <w:tcW w:w="4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70"/>
        </w:trPr>
        <w:tc>
          <w:tcPr>
            <w:tcW w:w="4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top w:val="single" w:sz="8" w:color="auto"/>
              <w:bottom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26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4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7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95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r>
    </w:tbl>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$1,000 and $961)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4,861</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34"/>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2,713</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210.3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4,861</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34"/>
        </w:trPr>
        <w:tc>
          <w:tcPr>
            <w:tcW w:w="7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1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5"/>
                <w:szCs w:val="15"/>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5"/>
                <w:szCs w:val="15"/>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2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term loan refinancing</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existing term loan</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250"/>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03"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inflows and outflows due to changes in term loan lender composition.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2024,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Lease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$20 million and $32 million in new operating lease right-of-use assets obtained in exchange for lease liabilities during the six months ended June 30, 2025 and June 30,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voluntary Supply Chain Finance program (the “SCF”) with a global financial institution. All outstanding amounts related to suppliers participating in the SCF are recorded within accounts payable in our condensed consolidated balance sheet and associated payments are included as an operating cash flow in the condensed consolidated statement of cash flows. As of June 30, 2025 and December 31, 2024, the amount of obligations outstanding that we have confirmed as valid under the SCF was $9 million and </w:t>
      </w:r>
      <w:r>
        <w:rPr>
          <w:rFonts w:ascii="Times New Roman" w:cs="Times New Roman" w:eastAsia="Times New Roman" w:hAnsi="Times New Roman"/>
          <w:sz w:val="18"/>
          <w:szCs w:val="18"/>
          <w:color w:val="212529"/>
        </w:rPr>
        <w:t>$12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Accounts Receivable Factoring: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Factored receivables as of </w:t>
      </w:r>
      <w:r>
        <w:rPr>
          <w:rFonts w:ascii="Times New Roman" w:cs="Times New Roman" w:eastAsia="Times New Roman" w:hAnsi="Times New Roman"/>
          <w:sz w:val="18"/>
          <w:szCs w:val="18"/>
          <w:color w:val="000000"/>
        </w:rPr>
        <w:t xml:space="preserve">June 30, 2025 </w:t>
      </w:r>
      <w:r>
        <w:rPr>
          <w:rFonts w:ascii="Times New Roman" w:cs="Times New Roman" w:eastAsia="Times New Roman" w:hAnsi="Times New Roman"/>
          <w:sz w:val="18"/>
          <w:szCs w:val="18"/>
          <w:color w:val="212529"/>
        </w:rPr>
        <w:t>were $50 million. Transactions under this agreement are accounted for as sales of accounts receivable, and the receivables sold are removed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basis. This ASU was effective for fiscal years beginning after December 15, 2023, and interim periods within fiscal years beginning after December 15, 2024, with early adoption permitted. We adopted the new disclosures beginning with our annual financial statements for the year ended December 31, 2024. Our comparative segment disclosures in the interim financial statements in this report have been updated to reflect the new disclosure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which will require additional disclosure about specific expense categories included in the income statement. In January 2025, the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 Clarifying the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Date, </w:t>
      </w:r>
      <w:r>
        <w:rPr>
          <w:rFonts w:ascii="Times New Roman" w:cs="Times New Roman" w:eastAsia="Times New Roman" w:hAnsi="Times New Roman"/>
          <w:sz w:val="18"/>
          <w:szCs w:val="18"/>
          <w:color w:val="auto"/>
        </w:rPr>
        <w:t>which clarified the effective dates of annual and interim disclosure requirements presented in ASU 2024-03. The guidance in ASU 2024-03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after December 15, 2026, and interim periods beginning within annual reporting periods beginning after December 15, 2027, with early adoption permitted. We are currently assessing the impact of this standard on our consolidated financial statements and related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Reform</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of 2025 which includes, among other provisions, changes to the U.S. corporate income tax system, including the allowance of 100% expensing of qualified asset expenditures, immediate expensing of qualifying domestic research and development expenses and permanent extensions of certain other provisions within the Tax Cuts and Jobs Act. Certain provisions are effective for 2025, beginning January 19, 2025. We are evaluating the impact of these tax law changes on our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0"/>
        </w:trPr>
        <w:tc>
          <w:tcPr>
            <w:tcW w:w="81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0"/>
        </w:trPr>
        <w:tc>
          <w:tcPr>
            <w:tcW w:w="81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1,617</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Amendment No. 4 to our syndicated loan arrangement, we evaluated the accounting treatment of deferred and new debt transaction costs on a creditor-by-creditor basis in accordance with GAAP. This analysis resulted in the recognition of a debt refinancing expense of $13 million during the six months ended June 30, 2025, comprised of $12 million of new fees allocated to modified loans and $1 million of deferred financing transaction costs and original issue discount expensed related to extinguished loans. This expense is presented separately in our condensed consolidated statements of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six months ended June 30, 2025, we capitalized $1 million of qualifying financing-related costs associated with Amendment No. 4. These costs, along with $7 million of remaining deferred financing transaction costs, will be amortized over the remaining term of the Term Loan Facility, subject to acceleration for early term loan principal payments.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 During the six months ended June 30, 2025, prior to Amendment No. 4, we made voluntary principal payments of $50 million related to our Term Loan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 w:name="page12"/>
    <w:bookmarkEnd w:id="1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Revolving Facility matures in October 2029 and includes a sub-facility for letters of credit. As of June 30, 2025, we had no outstanding borrowings under the Revolving Facility, and we had $7 million of letters of credit outstanding, which reduces the borrowing capacity under the Revolving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June 30, 2025, which is a Level 2 fair value measurement, approximates the carrying value due to the variable market interest rate and the stability of our credit profile.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interest rate swaps in effect as of both June 30, 2025 and December 31, 2024 was $1,150 million, and the SOFR is fixed at an annual rate of 0.40% to 3.40% (for an annual effective interest rate of 2.15% to 5.15%, including margin). These interest rate swaps that are in effect have maturity dates of less than one year, and a weighted average effective rate of 4.38%.</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during the three months ended June 30, 2025, we entered into additional interest rate swaps with forward start dates beginning in February 2026, that had an aggregate notional value of $900 million, which fixes the SOFR to an annual rate of 3.33% to 3.41% (for an annual effective interest rate of 5.08% to 5.16%, including margin). These interest rate swaps with forward start dates have maturity dates between March 2028 and March 2031, and a weighted average effective rate of 5.12%.</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June 30, 2025 hedge a portion of the interest rate exposure resulting from borrowings under our Term Loan Facility. We have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assets and liabilities associated with our interest rate swaps, as reflected gross in the condensed consolidated balance sheets,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6400" w:type="dxa"/>
            <w:vAlign w:val="bottom"/>
          </w:tcPr>
          <w:p>
            <w:pPr>
              <w:spacing w:after="0"/>
              <w:rPr>
                <w:sz w:val="16"/>
                <w:szCs w:val="16"/>
                <w:color w:val="auto"/>
              </w:rPr>
            </w:pPr>
          </w:p>
        </w:tc>
        <w:tc>
          <w:tcPr>
            <w:tcW w:w="16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4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186"/>
        </w:trPr>
        <w:tc>
          <w:tcPr>
            <w:tcW w:w="6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6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Pr>
          <w:p>
            <w:pPr>
              <w:jc w:val="right"/>
              <w:ind w:right="145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top w:val="single" w:sz="8" w:color="auto"/>
              <w:bottom w:val="single" w:sz="8" w:color="auto"/>
            </w:tcBorders>
          </w:tcPr>
          <w:p>
            <w:pPr>
              <w:jc w:val="right"/>
              <w:ind w:right="1457"/>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top w:val="single" w:sz="8" w:color="auto"/>
              <w:bottom w:val="single" w:sz="8" w:color="auto"/>
            </w:tcBorders>
          </w:tcPr>
          <w:p>
            <w:pPr>
              <w:jc w:val="right"/>
              <w:ind w:right="1457"/>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six months ended June 30, 2025, 0.2 million and 0.5 million RSUs and 0.1 million and 0.4 million PSUs were granted, respectively.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were stock-based compensation awards representing 2.0 million shares outstanding compared to 1.3 million shares outstanding as of December 31, 2024. Stock-based compensation expense was $5 million and $11 million for the three and six months ended June 30, 2025, respectively, compared to $5 million and $9 million in the comparable prior year periods.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June 30, 2025,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70"/>
        </w:trPr>
        <w:tc>
          <w:tcPr>
            <w:tcW w:w="5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7"/>
        </w:trPr>
        <w:tc>
          <w:tcPr>
            <w:tcW w:w="5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13" w:name="page14"/>
    <w:bookmarkEnd w:id="13"/>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2025, we have updated our segment reporting to reflect our international business based on product category alignment, as opposed to the entirety of international results historically being reported in the Reynolds Cooking &amp; Baking segment. All prior period segment disclosures have been recast to reflect this reassignment. Our composition of operating segments and reportable segments did not change, and this reassignment had no effect on our previously reported consolidated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segments are described as follows: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in the U.S. and selected international markets, and as the Hefty and Baggies brands for our food storage bags in the U.S. Our food storage bags internationally are sold as Reynolds, Diamond, or Hefty Basics brands based on region.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three main categories: food storage bags, trash bags and plastic wrap. Our Presto Products segment also includes our specialty business, which serves other consumer products companies by providing Fresh-Lock and Slide-Rite resealable closure systems.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when making decisions about allocating capital and personnel to the segments.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items, if applicable.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6"/>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0"/>
                <w:szCs w:val="20"/>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7"/>
                <w:szCs w:val="17"/>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1"/>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240" w:type="dxa"/>
            <w:vAlign w:val="bottom"/>
          </w:tcPr>
          <w:p>
            <w:pPr>
              <w:spacing w:after="0"/>
              <w:rPr>
                <w:sz w:val="14"/>
                <w:szCs w:val="14"/>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4"/>
                <w:szCs w:val="14"/>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60" w:type="dxa"/>
            <w:vAlign w:val="bottom"/>
          </w:tcPr>
          <w:p>
            <w:pPr>
              <w:spacing w:after="0"/>
              <w:rPr>
                <w:sz w:val="14"/>
                <w:szCs w:val="14"/>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1"/>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1,436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3,425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4,861</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1,356</w:t>
            </w: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3,517</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r>
    </w:tbl>
    <w:p>
      <w:pPr>
        <w:spacing w:after="0" w:line="333" w:lineRule="exact"/>
        <w:rPr>
          <w:sz w:val="20"/>
          <w:szCs w:val="20"/>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reflected in Segment Adjusted EBITDA primarily include cost of sales (including material, manufacturing and logistics costs), salaries and benefits, advertising expenses and professional fees. The CODM allocates resources and assesses performance on a consolidated level for these other segment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total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4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23"/>
                <w:szCs w:val="23"/>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80" w:type="dxa"/>
            <w:vAlign w:val="bottom"/>
          </w:tcPr>
          <w:p>
            <w:pPr>
              <w:spacing w:after="0"/>
              <w:rPr>
                <w:sz w:val="23"/>
                <w:szCs w:val="23"/>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r>
    </w:tbl>
    <w:p>
      <w:pPr>
        <w:spacing w:after="0" w:line="184"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9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104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04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938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until April 1, 2025, owned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2024,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2025, PFL completed the sale of PEI Group, which was a related party through March 31, 2025, to an unrelated party. Accordingly, transactions and balances with PEI Group from April 1, 2025 are no longer classified as related party items. Related party receivables and payables outstanding as of March 31, 2025, have been reclassified to accounts receivable, net and accounts payable, respectively. The related party cash flow amounts presented reflect only activity through March 31, 2025. This change does not affect the presentation of historical related party disclosures.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each of the three and six months ended June 30, 2025, revenues from products sold to PEI Group as a related party were zero and $17 million, respectively, compared to $16 million and $38 million for the three and six months ended June 30, 2024, respectively. For the three and six months ended June 30, 2025, products purchased from PEI Group as a related party were zero and $51 million, respectively, compared to $83 million and $163 million for the three and six months ended June 30, 2024, respectively. For the three and six months ended June 30, 2025, PEI Group as a related party charged us freight and warehousing costs of zero and $4 million, respectively, compared to $7 million and $15 million for the three and six months ended June 30, 2024, respectively, which were included in cost of sales. The resulting related party receivables and payables were settled regularly in the normal course of business.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June 30, 2025 and June 30, 2024, and $72 million of the dividends paid during each of the six months ended June 30, 2025 and June 30, 2024, were paid to PFL.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2025, our Board of Directors approved a cash dividend of $0.23 per common share to be paid on August 29, 2025 to shareholders of record on August 15,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June 30, 2025 which would require recognition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materials than traditional wax paper rolls.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in the U.S. and selected international markets, and as the Hefty and Baggies brands for our food storage bags in the U.S. Our food storage bags are sold internationally as Reynolds, Diamond, or Hefty Basics brands based on the region. We have the #1 branded market share in the U.S. large black trash bag segment, and the #2 branded market share in the slider bag and tall kitchen trash bag segments. Our robust product portfolio in this segment includes a full suite of products, including sustainable solutions such as blue and clear recycling bags, compostable bags, bags made from recycled materials and orange bags through the Hefty ReNew</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Program.</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three main categories: food storage bags, trash bags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increased 1% in the three months ended June 30, 2025 compared to the same period in 2024. The revenue increase was due to higher pricing primarily as a result of pass through of higher commodity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were relatively flat in the six months ended June 30, 2025 compared to the same period in 2024 as higher pricing offset lower volume.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our net income decreased by 25% compared to the same period in 2024, primarily driven by the timing of pricing actions relative to input cost increases, costs to execute strategic initiatives, CEO transition costs and the lapping of an $10 million one-time tax benefit in the three months ended June 30, 2024. These factors were partially offset by lower selling, general and administrative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our net income decreased by 28% compared to the same period in 2024, driven by lower retail volume, the timing of pricing actions relative to input cost increases, costs to execute strategic initiatives, CEO transition costs, debt refinancing expense and the lapping of an $10 million one-time tax benefit in the six months ended June 30, 2024. These factors were partially offset by lower selling, general and administrative expenses and lower interest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income tax expense, net interest expense, debt refinancing expense, depreciation and amortization, costs to execute strategic initiatives and CEO transition costs. We define Adjusted Net Income and Adjusted EPS as Net Income and Earnings Per Share calculated in accordance with GAAP, plus debt refinancing expense, costs to execute strategic initiatives and CEO transition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9" w:name="page20"/>
    <w:bookmarkEnd w:id="19"/>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7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7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7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3"/>
                <w:szCs w:val="2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r>
      <w:tr>
        <w:trPr>
          <w:trHeight w:val="34"/>
        </w:trPr>
        <w:tc>
          <w:tcPr>
            <w:tcW w:w="4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net income and diluted EPS, the most directly comparable GAAP financial measure, to Adjusted Net Income and Adjusted Diluted EPS: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40" w:type="dxa"/>
            <w:vAlign w:val="bottom"/>
          </w:tcPr>
          <w:p>
            <w:pPr>
              <w:spacing w:after="0"/>
              <w:rPr>
                <w:sz w:val="16"/>
                <w:szCs w:val="16"/>
                <w:color w:val="auto"/>
              </w:rPr>
            </w:pPr>
          </w:p>
        </w:tc>
        <w:tc>
          <w:tcPr>
            <w:tcW w:w="268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r>
      <w:tr>
        <w:trPr>
          <w:trHeight w:val="37"/>
        </w:trPr>
        <w:tc>
          <w:tcPr>
            <w:tcW w:w="4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58"/>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6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r>
      <w:tr>
        <w:trPr>
          <w:trHeight w:val="27"/>
        </w:trPr>
        <w:tc>
          <w:tcPr>
            <w:tcW w:w="4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71" w:lineRule="exact"/>
        <w:rPr>
          <w:sz w:val="20"/>
          <w:szCs w:val="20"/>
          <w:color w:val="auto"/>
        </w:rPr>
      </w:pPr>
    </w:p>
    <w:p>
      <w:pPr>
        <w:ind w:left="660" w:hanging="652"/>
        <w:spacing w:after="0" w:line="282" w:lineRule="auto"/>
        <w:tabs>
          <w:tab w:leader="none" w:pos="4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23.5% for deductible items and 0% for non-deductible items.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5"/>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20" w:type="dxa"/>
            <w:vAlign w:val="bottom"/>
          </w:tcPr>
          <w:p>
            <w:pPr>
              <w:spacing w:after="0"/>
              <w:rPr>
                <w:sz w:val="16"/>
                <w:szCs w:val="16"/>
                <w:color w:val="auto"/>
              </w:rPr>
            </w:pPr>
          </w:p>
        </w:tc>
      </w:tr>
      <w:tr>
        <w:trPr>
          <w:trHeight w:val="37"/>
        </w:trPr>
        <w:tc>
          <w:tcPr>
            <w:tcW w:w="46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7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4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Pr>
          <w:p>
            <w:pPr>
              <w:spacing w:after="0"/>
              <w:rPr>
                <w:sz w:val="20"/>
                <w:szCs w:val="20"/>
                <w:color w:val="auto"/>
              </w:rPr>
            </w:pPr>
          </w:p>
        </w:tc>
        <w:tc>
          <w:tcPr>
            <w:tcW w:w="4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8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160" w:type="dxa"/>
            <w:vAlign w:val="bottom"/>
          </w:tcPr>
          <w:p>
            <w:pPr>
              <w:spacing w:after="0"/>
              <w:rPr>
                <w:sz w:val="20"/>
                <w:szCs w:val="20"/>
                <w:color w:val="auto"/>
              </w:rPr>
            </w:pPr>
          </w:p>
        </w:tc>
        <w:tc>
          <w:tcPr>
            <w:tcW w:w="4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r>
      <w:tr>
        <w:trPr>
          <w:trHeight w:val="34"/>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660" w:hanging="652"/>
        <w:spacing w:after="0" w:line="282" w:lineRule="auto"/>
        <w:tabs>
          <w:tab w:leader="none" w:pos="4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23.5% for deductible items and 0% for non-deductible items.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and industrial customers.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75"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Net revenues for the three months ended June 30:</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vMerge w:val="restart"/>
          </w:tcPr>
          <w:p>
            <w:pPr>
              <w:ind w:left="20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0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-8255</wp:posOffset>
            </wp:positionV>
            <wp:extent cx="711517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-144780</wp:posOffset>
            </wp:positionV>
            <wp:extent cx="97155" cy="7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480" w:lineRule="exact"/>
        <w:rPr>
          <w:sz w:val="20"/>
          <w:szCs w:val="20"/>
          <w:color w:val="auto"/>
        </w:rPr>
      </w:pPr>
    </w:p>
    <w:p>
      <w:pPr>
        <w:sectPr>
          <w:pgSz w:w="11900" w:h="16838" w:orient="portrait"/>
          <w:cols w:equalWidth="0" w:num="2">
            <w:col w:w="3340" w:space="20"/>
            <w:col w:w="78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5"/>
        </w:trPr>
        <w:tc>
          <w:tcPr>
            <w:tcW w:w="3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three months</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346" w:lineRule="exact"/>
        <w:rPr>
          <w:sz w:val="20"/>
          <w:szCs w:val="20"/>
          <w:color w:val="auto"/>
        </w:rPr>
      </w:pPr>
    </w:p>
    <w:p>
      <w:pPr>
        <w:ind w:left="34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Three Months Ended June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24 %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118</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13 %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96</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115</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97</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163</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17 %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172</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June 30, 2025 vs. the Three Months Ended June 30, 2024</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56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7"/>
        </w:trPr>
        <w:tc>
          <w:tcPr>
            <w:tcW w:w="4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$8 million, or 1%, to $938 million. The increase was primarily driven by higher pricing related to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pass through of higher commodity costs and the timing of promotional activities.</w:t>
      </w:r>
    </w:p>
    <w:p>
      <w:pPr>
        <w:spacing w:after="0" w:line="2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$38 million to $712 million. The increase was primarily driven by higher material, manufacturing and logistics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$20 million, or 17%, to $96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personnel and advertising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$12 million, reflecting costs to execute strategic initiatives and costs associated with our CEO transition.</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$3 million, or 12%, to $22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increased by 7.7%, from 16.0% for the three months ended June 30, 2024 to 23.7%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The increase was primarily due to the recognition of a discrete tax benefit for the remeasurement of deferred tax liabilities in the second quarter of 2024.</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$9 million, or 5%, to $163 million. The decrease in Adjusted EBITDA was driven by lower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and the timing of pricing actions relative to input cost increases, which were partially offset by lower selling, general and administrative expenses.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increased by $4 million, or 1%, to $295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higher pricing due to the pass through of higher commodity costs, as well as higher non-retail volume, partially offset by lower retail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$5 million, or 9%, to $49 million. The decrease was driven by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volumes and the timing of pricing actions relative to input cost increases.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$11 million, or 5%, to $255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increased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was $71 million in both periods. The benefit of higher volume as well as lower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expenses were fully offset by higher material, manufacturing and logistics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$9 million, or 4%, to $242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due to foam declines.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$4 million, or 10%, to $35 million. The decrease in Adjusted EBITDA was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foam volume and related costs.</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3" w:name="page24"/>
    <w:bookmarkEnd w:id="2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$2 million, or 1%, to $153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decreased by $4 million, or 11%, to $33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operational costs associated with scaling new distribution.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through March 31, 2025, and industrial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14"/>
                <w:szCs w:val="14"/>
                <w:color w:val="auto"/>
              </w:rPr>
            </w:pPr>
          </w:p>
        </w:tc>
        <w:tc>
          <w:tcPr>
            <w:tcW w:w="116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40" w:type="dxa"/>
            <w:vAlign w:val="bottom"/>
          </w:tcPr>
          <w:p>
            <w:pPr>
              <w:spacing w:after="0"/>
              <w:rPr>
                <w:sz w:val="14"/>
                <w:szCs w:val="14"/>
                <w:color w:val="auto"/>
              </w:rPr>
            </w:pPr>
          </w:p>
        </w:tc>
        <w:tc>
          <w:tcPr>
            <w:tcW w:w="8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4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six months ended June 30: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six months ended June 30: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-1147445</wp:posOffset>
            </wp:positionV>
            <wp:extent cx="97155" cy="74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4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Six Months Ended June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99 %</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6 %</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Six Months Ended June 30, 2025 vs. the Six Months Ended June 30, 2024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186"/>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
        </w:trPr>
        <w:tc>
          <w:tcPr>
            <w:tcW w:w="4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$8 million to $1,756 million. The decrease was primarily driven by lower volume, mostly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pricing primarily related to the pass through of higher commodity costs and the timing of promotional activities.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$35 million, or 3%, to $1,341 million. The increase was primarily driven by higher material,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$26 million, or 11%, to $201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personnel and advertising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$21 million in the six months ended June 30, 2025, reflecting costs to execute strategic initiatives and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CEO transition.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$9 million, or 18%, to $42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ectPr>
          <w:pgSz w:w="11900" w:h="16838" w:orient="portrait"/>
          <w:cols w:equalWidth="0" w:num="1">
            <w:col w:w="11240"/>
          </w:cols>
          <w:pgMar w:left="320" w:top="1440" w:right="3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14" w:gutter="0" w:footer="0" w:header="0"/>
          <w:type w:val="continuous"/>
        </w:sectPr>
      </w:pPr>
    </w:p>
    <w:bookmarkStart w:id="25" w:name="page26"/>
    <w:bookmarkEnd w:id="25"/>
    <w:p>
      <w:pPr>
        <w:spacing w:after="0" w:line="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Debt Refinancing Expense</w:t>
      </w:r>
      <w:r>
        <w:rPr>
          <w:rFonts w:ascii="Times New Roman" w:cs="Times New Roman" w:eastAsia="Times New Roman" w:hAnsi="Times New Roman"/>
          <w:sz w:val="18"/>
          <w:szCs w:val="18"/>
          <w:color w:val="auto"/>
        </w:rPr>
        <w:t>. In connection with the refinancing of our senior secured term loan facility in March 2025, we recorded debt refinancing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$13 million in the six months ended June 30, 2025.</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increased by 4.7%, from 19.2% for the six months ended June 30, 2024 to 23.9%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The increase was primarily due to the recognition of a discrete tax benefit for the remeasurement of deferred tax liabilities in the second quarter of 2024.</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$15 million, or 5%, to $279 million. The decrease in Adjusted EBITDA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timing of pricing actions relative to input cost increases and lower retail volume, partially offset by lower selling, general and administrative expenses.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increased by $7 million, or 1%, to $554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higher pricing driven by the pass through of higher commodity costs and higher non-retail volume, partially offset by lower retail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$1 million, or 1%, to $87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the benefit of higher revenue partially offset by higher material, manufacturing and logistics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$17 million, or 4%, to $496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increased volume, partially offset by lower pricing driven by the timing of promotional activities.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decreased by $9 million, or 7%, to $129 million. The decrease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material, manufacturing and logistics costs, partially offset by higher volume as well as lower selling, general and administrative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36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$38 million, or 8%, to $421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due to foam declines.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$17 million, or 25%, to $52 million. The decrease in Adjusted EBITDA was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foam volume and related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$2 million, to $296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pricing largely as a result of the pass through of higher commodity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decreased by $7 million, or 11%, to $59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operational costs associated with scaling new distribution.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3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Net cash from operating activities decreased by $36 million to $147 million in the six months ended June 30, 2025. </w:t>
      </w:r>
      <w:r>
        <w:rPr>
          <w:rFonts w:ascii="Times New Roman" w:cs="Times New Roman" w:eastAsia="Times New Roman" w:hAnsi="Times New Roman"/>
          <w:sz w:val="18"/>
          <w:szCs w:val="18"/>
          <w:color w:val="212529"/>
        </w:rPr>
        <w:t>The decrease was primarily driven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lower net income.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$31 million to $79 million. The increase was driven by an increase in cash outlays for capital expenditures.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decreased by $1 million to $148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remain unchanged as a result of Amendment No. 4.</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outstanding balance under the Term Loan Facility was $1,640 million. As of June 30, 2025, we had no outstanding borrowings under the Revolving Facility, and we had $7 million of letters of credit outstanding, which reduces the borrowing capacity under the Revolving Facility.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interest rate swaps in effect as of June 30, 2025 was $1,150 million, and the SOFR is fixed at an annual rate of 0.40% to 3.40% (for an annual effective interest rate of 2.15% to 5.15%, including margin). These interest rate swaps hedge a portion of the interest rate exposure resulting from borrowings under our Term Loan Facility for less than one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three months ended June 30, 2025, we entered into additional interest rate swaps with forward start dates beginning in February 2026, that had an aggregate notional value of $900 million, which fixes the SOFR to an annual rate of 3.33% to 3.41% (for an annual effective interest rate of 5.08% to 5.16%, including margin). These interest rate swaps with forward start dates have maturity dates between March 2028 and March 2031.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prior to Amendment No. 4, we made voluntary principal payments of $50 million related to our Term Loan Facility, which were applied to the outstanding principal balance due at maturity.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matures in October 2029.</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Factored receivables as of </w:t>
      </w:r>
      <w:r>
        <w:rPr>
          <w:rFonts w:ascii="Times New Roman" w:cs="Times New Roman" w:eastAsia="Times New Roman" w:hAnsi="Times New Roman"/>
          <w:sz w:val="18"/>
          <w:szCs w:val="18"/>
          <w:color w:val="000000"/>
        </w:rPr>
        <w:t xml:space="preserve">June 30, 2025 </w:t>
      </w:r>
      <w:r>
        <w:rPr>
          <w:rFonts w:ascii="Times New Roman" w:cs="Times New Roman" w:eastAsia="Times New Roman" w:hAnsi="Times New Roman"/>
          <w:sz w:val="18"/>
          <w:szCs w:val="18"/>
          <w:color w:val="212529"/>
        </w:rPr>
        <w:t>were $50 million. Transactions under this agreement are accounted for as sales of accounts receivable, and the receivables sold are removed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voluntary Supply Chain Finance program (the “SCF”) with a global financial institution. All outstanding amounts related to suppliers participating in the SCF are recorded within accounts payable in our condensed consolidated balance sheet and associated payments are included as an operating cash flow in the condensed consolidated statement of cash flows. As of June 30, 2025 and December 31, 2024, the amount of obligations outstanding that we have confirmed as valid under the SCF was $9 million and $12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cash dividends of $0.23 and $0.46 per share, respectively, were declared and paid. On July 24, 2025, a quarterly cash dividend of $0.23 per share was declared and is to be paid on August 29, 2025.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2024. During the six months ended June 30, 2025,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June 30, 2025. Based on that evaluation, our Chief Executive Officer and Chief Financial Officer have concluded that, as of June 30, 2025,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11"/>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48"/>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40" w:type="dxa"/>
            <w:vAlign w:val="bottom"/>
            <w:gridSpan w:val="11"/>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4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Certificate of Incorporation, conformed version that includes all amendments through April 25,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(incorporated herein by reference to Exhibit 3.1 to the Company’s Quarterly Report on Form 10-Q filed with the SEC on August 7,</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FF"/>
                <w:w w:val="95"/>
              </w:rPr>
            </w:pPr>
            <w:hyperlink r:id="rId53">
              <w:r>
                <w:rPr>
                  <w:rFonts w:ascii="Times New Roman" w:cs="Times New Roman" w:eastAsia="Times New Roman" w:hAnsi="Times New Roman"/>
                  <w:sz w:val="18"/>
                  <w:szCs w:val="18"/>
                  <w:color w:val="0000FF"/>
                  <w:w w:val="95"/>
                </w:rPr>
                <w:t>2024)</w:t>
              </w:r>
            </w:hyperlink>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with the SEC on February 4, 2020)</w:t>
              </w:r>
            </w:hyperlink>
          </w:p>
        </w:tc>
        <w:tc>
          <w:tcPr>
            <w:tcW w:w="7120" w:type="dxa"/>
            <w:vAlign w:val="bottom"/>
            <w:tcBorders>
              <w:top w:val="single" w:sz="8" w:color="0000FF"/>
            </w:tcBorders>
            <w:gridSpan w:val="10"/>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Separation Agreement and Release of All Claims, dated as of May 8, 2025, between Reynolds Consumer Products LLC and Rachel</w:t>
              </w:r>
            </w:hyperlink>
          </w:p>
        </w:tc>
        <w:tc>
          <w:tcPr>
            <w:tcW w:w="280" w:type="dxa"/>
            <w:vAlign w:val="bottom"/>
            <w:gridSpan w:val="6"/>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Bishop (incorporated herein by reference to Exhibit 10.1 to the Company's Form 8-K filed with the SEC on May 14, 2025)</w:t>
              </w:r>
            </w:hyperlink>
          </w:p>
        </w:tc>
        <w:tc>
          <w:tcPr>
            <w:tcW w:w="920" w:type="dxa"/>
            <w:vAlign w:val="bottom"/>
            <w:gridSpan w:val="9"/>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7"/>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7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July 30,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5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Lowe,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June 30, 2025 as filed with the Securities and Exchange Commission on the date hereof (the “Report”), I, Scott Huckins,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June 30, 2025 as filed with the Securities and Exchange Commission on the date hereof (the “Report”), I, Nathan Lowe,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3" Type="http://schemas.openxmlformats.org/officeDocument/2006/relationships/hyperlink" Target="https://www.sec.gov/Archives/edgar/data/1786431/000162828024035405/reyn-2024630x10qxexx33.htm" TargetMode="External"/><Relationship Id="rId54" Type="http://schemas.openxmlformats.org/officeDocument/2006/relationships/hyperlink" Target="https://www.sec.gov/Archives/edgar/data/0001786431/000119312520024304/d874780dex32.htm" TargetMode="External"/><Relationship Id="rId55" Type="http://schemas.openxmlformats.org/officeDocument/2006/relationships/hyperlink" Target="https://www.sec.gov/Archives/edgar/data/1786431/000162828025025325/exhibit101514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2025-07-30T08:17:53Z</dcterms:created>
  <dcterms:modified xsi:type="dcterms:W3CDTF">2025-07-30T08:17:53Z</dcterms:modified>
</cp:coreProperties>
</file>