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8"/>
          <w:szCs w:val="18"/>
          <w:color w:val="auto"/>
        </w:rPr>
        <w:t>_______________________________________________</w:t>
      </w:r>
    </w:p>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9"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8"/>
          <w:szCs w:val="18"/>
          <w:color w:val="auto"/>
        </w:rPr>
        <w:t>_______________________________________________</w:t>
      </w:r>
    </w:p>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6, 2026</w:t>
      </w:r>
    </w:p>
    <w:p>
      <w:pPr>
        <w:spacing w:after="0" w:line="33"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8"/>
          <w:szCs w:val="18"/>
          <w:color w:val="auto"/>
        </w:rPr>
        <w:t>_______________________________________________</w:t>
      </w:r>
    </w:p>
    <w:p>
      <w:pPr>
        <w:spacing w:after="0" w:line="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REYNOLDS CONSUMER PRODUCTS INC.</w:t>
      </w:r>
    </w:p>
    <w:p>
      <w:pPr>
        <w:spacing w:after="0" w:line="1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31"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8"/>
          <w:szCs w:val="18"/>
          <w:color w:val="auto"/>
        </w:rPr>
        <w:t>_______________________________________________</w:t>
      </w:r>
    </w:p>
    <w:p>
      <w:pPr>
        <w:sectPr>
          <w:pgSz w:w="11900" w:h="16838" w:orient="portrait"/>
          <w:cols w:equalWidth="0" w:num="1">
            <w:col w:w="11240"/>
          </w:cols>
          <w:pgMar w:left="320" w:top="1280" w:right="339" w:bottom="1440" w:gutter="0" w:footer="0" w:header="0"/>
        </w:sectPr>
      </w:pPr>
    </w:p>
    <w:p>
      <w:pPr>
        <w:spacing w:after="0" w:line="155" w:lineRule="exact"/>
        <w:rPr>
          <w:sz w:val="24"/>
          <w:szCs w:val="24"/>
          <w:color w:val="auto"/>
        </w:rPr>
      </w:pPr>
    </w:p>
    <w:p>
      <w:pPr>
        <w:ind w:left="154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35" w:lineRule="exact"/>
        <w:rPr>
          <w:sz w:val="24"/>
          <w:szCs w:val="24"/>
          <w:color w:val="auto"/>
        </w:rPr>
      </w:pPr>
    </w:p>
    <w:p>
      <w:pPr>
        <w:jc w:val="center"/>
        <w:ind w:right="2300"/>
        <w:spacing w:after="0"/>
        <w:rPr>
          <w:sz w:val="20"/>
          <w:szCs w:val="20"/>
          <w:color w:val="auto"/>
        </w:rPr>
      </w:pPr>
      <w:r>
        <w:rPr>
          <w:rFonts w:ascii="Times New Roman" w:cs="Times New Roman" w:eastAsia="Times New Roman" w:hAnsi="Times New Roman"/>
          <w:sz w:val="16"/>
          <w:szCs w:val="16"/>
          <w:b w:val="1"/>
          <w:bCs w:val="1"/>
          <w:color w:val="auto"/>
        </w:rPr>
        <w:t>001-39205</w:t>
      </w:r>
    </w:p>
    <w:p>
      <w:pPr>
        <w:spacing w:after="0" w:line="20" w:lineRule="exact"/>
        <w:rPr>
          <w:sz w:val="24"/>
          <w:szCs w:val="24"/>
          <w:color w:val="auto"/>
        </w:rPr>
      </w:pPr>
      <w:r>
        <w:rPr>
          <w:sz w:val="24"/>
          <w:szCs w:val="24"/>
          <w:color w:val="auto"/>
        </w:rPr>
        <w:br w:type="column"/>
      </w:r>
    </w:p>
    <w:p>
      <w:pPr>
        <w:spacing w:after="0" w:line="13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45-3464426</w:t>
      </w:r>
    </w:p>
    <w:p>
      <w:pPr>
        <w:spacing w:after="0" w:line="50" w:lineRule="exact"/>
        <w:rPr>
          <w:sz w:val="24"/>
          <w:szCs w:val="24"/>
          <w:color w:val="auto"/>
        </w:rPr>
      </w:pPr>
    </w:p>
    <w:p>
      <w:pPr>
        <w:sectPr>
          <w:pgSz w:w="11900" w:h="16838" w:orient="portrait"/>
          <w:cols w:equalWidth="0" w:num="3">
            <w:col w:w="4540" w:space="720"/>
            <w:col w:w="3000" w:space="720"/>
            <w:col w:w="2260"/>
          </w:cols>
          <w:pgMar w:left="320" w:top="1280" w:right="339" w:bottom="1440" w:gutter="0" w:footer="0" w:header="0"/>
          <w:type w:val="continuous"/>
        </w:sectPr>
      </w:pPr>
    </w:p>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spacing w:after="0" w:line="29" w:lineRule="exact"/>
        <w:rPr>
          <w:sz w:val="24"/>
          <w:szCs w:val="24"/>
          <w:color w:val="auto"/>
        </w:rPr>
      </w:pPr>
    </w:p>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0" w:space="720"/>
            <w:col w:w="2880" w:space="720"/>
            <w:col w:w="2440"/>
          </w:cols>
          <w:pgMar w:left="320" w:top="1280" w:right="339" w:bottom="1440" w:gutter="0" w:footer="0" w:header="0"/>
          <w:type w:val="continuous"/>
        </w:sectPr>
      </w:pPr>
    </w:p>
    <w:p>
      <w:pPr>
        <w:spacing w:after="0" w:line="200" w:lineRule="exact"/>
        <w:rPr>
          <w:sz w:val="24"/>
          <w:szCs w:val="24"/>
          <w:color w:val="auto"/>
        </w:rPr>
      </w:pPr>
    </w:p>
    <w:p>
      <w:pPr>
        <w:ind w:left="2140"/>
        <w:spacing w:after="0"/>
        <w:rPr>
          <w:sz w:val="20"/>
          <w:szCs w:val="20"/>
          <w:color w:val="auto"/>
        </w:rPr>
      </w:pPr>
      <w:r>
        <w:rPr>
          <w:rFonts w:ascii="Times New Roman" w:cs="Times New Roman" w:eastAsia="Times New Roman" w:hAnsi="Times New Roman"/>
          <w:sz w:val="16"/>
          <w:szCs w:val="16"/>
          <w:b w:val="1"/>
          <w:bCs w:val="1"/>
          <w:color w:val="auto"/>
        </w:rPr>
        <w:t>1900 W. Field Court</w:t>
      </w:r>
    </w:p>
    <w:p>
      <w:pPr>
        <w:spacing w:after="0" w:line="25" w:lineRule="exact"/>
        <w:rPr>
          <w:sz w:val="24"/>
          <w:szCs w:val="24"/>
          <w:color w:val="auto"/>
        </w:rPr>
      </w:pPr>
    </w:p>
    <w:p>
      <w:pPr>
        <w:ind w:left="2120"/>
        <w:spacing w:after="0"/>
        <w:rPr>
          <w:sz w:val="20"/>
          <w:szCs w:val="20"/>
          <w:color w:val="auto"/>
        </w:rPr>
      </w:pPr>
      <w:r>
        <w:rPr>
          <w:rFonts w:ascii="Times New Roman" w:cs="Times New Roman" w:eastAsia="Times New Roman" w:hAnsi="Times New Roman"/>
          <w:sz w:val="16"/>
          <w:szCs w:val="16"/>
          <w:b w:val="1"/>
          <w:bCs w:val="1"/>
          <w:color w:val="auto"/>
        </w:rPr>
        <w:t>Lake Forest, Illinois</w:t>
      </w:r>
    </w:p>
    <w:p>
      <w:pPr>
        <w:spacing w:after="0" w:line="20" w:lineRule="exact"/>
        <w:rPr>
          <w:sz w:val="24"/>
          <w:szCs w:val="24"/>
          <w:color w:val="auto"/>
        </w:rPr>
      </w:pPr>
      <w:r>
        <w:rPr>
          <w:sz w:val="24"/>
          <w:szCs w:val="24"/>
          <w:color w:val="auto"/>
        </w:rPr>
        <w:br w:type="column"/>
      </w:r>
    </w:p>
    <w:p>
      <w:pPr>
        <w:spacing w:after="0" w:line="39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60045</w:t>
      </w:r>
    </w:p>
    <w:p>
      <w:pPr>
        <w:spacing w:after="0" w:line="28" w:lineRule="exact"/>
        <w:rPr>
          <w:sz w:val="24"/>
          <w:szCs w:val="24"/>
          <w:color w:val="auto"/>
        </w:rPr>
      </w:pPr>
    </w:p>
    <w:p>
      <w:pPr>
        <w:sectPr>
          <w:pgSz w:w="11900" w:h="16838" w:orient="portrait"/>
          <w:cols w:equalWidth="0" w:num="2">
            <w:col w:w="7500" w:space="720"/>
            <w:col w:w="3020"/>
          </w:cols>
          <w:pgMar w:left="320" w:top="1280" w:right="339" w:bottom="1440" w:gutter="0" w:footer="0" w:header="0"/>
          <w:type w:val="continuous"/>
        </w:sectPr>
      </w:pPr>
    </w:p>
    <w:p>
      <w:pPr>
        <w:ind w:left="158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1280" w:right="339" w:bottom="1440" w:gutter="0" w:footer="0" w:header="0"/>
          <w:type w:val="continuous"/>
        </w:sectPr>
      </w:pP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(800) 879-5067</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9"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8"/>
          <w:szCs w:val="18"/>
          <w:color w:val="auto"/>
        </w:rPr>
        <w:t>_______________________________________________</w:t>
      </w:r>
    </w:p>
    <w:p>
      <w:pPr>
        <w:spacing w:after="0" w:line="9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94" w:lineRule="exact"/>
        <w:rPr>
          <w:sz w:val="24"/>
          <w:szCs w:val="24"/>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84" w:lineRule="exact"/>
        <w:rPr>
          <w:rFonts w:ascii="Wingdings" w:cs="Wingdings" w:eastAsia="Wingdings" w:hAnsi="Wingdings"/>
          <w:sz w:val="18"/>
          <w:szCs w:val="18"/>
          <w:b w:val="1"/>
          <w:bCs w:val="1"/>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84" w:lineRule="exact"/>
        <w:rPr>
          <w:rFonts w:ascii="Wingdings" w:cs="Wingdings" w:eastAsia="Wingdings" w:hAnsi="Wingdings"/>
          <w:sz w:val="18"/>
          <w:szCs w:val="18"/>
          <w:b w:val="1"/>
          <w:bCs w:val="1"/>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84" w:lineRule="exact"/>
        <w:rPr>
          <w:rFonts w:ascii="Wingdings" w:cs="Wingdings" w:eastAsia="Wingdings" w:hAnsi="Wingdings"/>
          <w:sz w:val="18"/>
          <w:szCs w:val="18"/>
          <w:b w:val="1"/>
          <w:bCs w:val="1"/>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65"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3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680" w:type="dxa"/>
            <w:vAlign w:val="bottom"/>
          </w:tcPr>
          <w:p>
            <w:pPr>
              <w:spacing w:after="0"/>
              <w:rPr>
                <w:sz w:val="15"/>
                <w:szCs w:val="15"/>
                <w:color w:val="auto"/>
              </w:rPr>
            </w:pPr>
          </w:p>
        </w:tc>
      </w:tr>
      <w:tr>
        <w:trPr>
          <w:trHeight w:val="204"/>
        </w:trPr>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3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r>
      <w:tr>
        <w:trPr>
          <w:trHeight w:val="206"/>
        </w:trPr>
        <w:tc>
          <w:tcPr>
            <w:tcW w:w="3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Stock, $0.001 Par Value</w:t>
            </w:r>
          </w:p>
        </w:tc>
        <w:tc>
          <w:tcPr>
            <w:tcW w:w="100" w:type="dxa"/>
            <w:vAlign w:val="bottom"/>
          </w:tcPr>
          <w:p>
            <w:pPr>
              <w:spacing w:after="0"/>
              <w:rPr>
                <w:sz w:val="17"/>
                <w:szCs w:val="17"/>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REYN</w:t>
            </w:r>
          </w:p>
        </w:tc>
        <w:tc>
          <w:tcPr>
            <w:tcW w:w="100" w:type="dxa"/>
            <w:vAlign w:val="bottom"/>
          </w:tcPr>
          <w:p>
            <w:pPr>
              <w:spacing w:after="0"/>
              <w:rPr>
                <w:sz w:val="17"/>
                <w:szCs w:val="17"/>
                <w:color w:val="auto"/>
              </w:rPr>
            </w:pPr>
          </w:p>
        </w:tc>
        <w:tc>
          <w:tcPr>
            <w:tcW w:w="3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The Nasdaq Stock Market LLC</w:t>
            </w:r>
          </w:p>
        </w:tc>
      </w:tr>
    </w:tbl>
    <w:p>
      <w:pPr>
        <w:spacing w:after="0" w:line="188" w:lineRule="exact"/>
        <w:rPr>
          <w:sz w:val="24"/>
          <w:szCs w:val="24"/>
          <w:color w:val="auto"/>
        </w:rPr>
      </w:pPr>
    </w:p>
    <w:p>
      <w:pPr>
        <w:jc w:val="both"/>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o</w:t>
      </w:r>
    </w:p>
    <w:p>
      <w:pPr>
        <w:spacing w:after="0" w:line="117"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718820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8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May 6, 2026, Reynolds Consumer Products Inc. (the “Company”) issued a press release announcing its financial results for the first quarter ended March 31, 2026. A copy of the press release is furnished as Exhibit 99.1 to this Current Report on Form 8-K.</w:t>
      </w:r>
    </w:p>
    <w:p>
      <w:pPr>
        <w:spacing w:after="0" w:line="5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information included in Item 2.02 of this Current Report on Form 8-K, including Exhibit 99.1 attached hereto, is being furnished and shall not be deemed “filed” for purposes of Section 18 of the Securities Exchange Act of 1934, as amended (the “Exchange Act”), or otherwise subject to the liabilities of that Section and shall not be deemed incorporated by reference into any other filing under the Securities Act of 1933, as amended, or the Exchange Act, except as otherwise expressly stated in such filing.</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5660" w:type="dxa"/>
            <w:vAlign w:val="bottom"/>
          </w:tcPr>
          <w:p>
            <w:pPr>
              <w:spacing w:after="0"/>
              <w:rPr>
                <w:sz w:val="20"/>
                <w:szCs w:val="20"/>
                <w:color w:val="auto"/>
              </w:rPr>
            </w:pPr>
          </w:p>
        </w:tc>
        <w:tc>
          <w:tcPr>
            <w:tcW w:w="4320" w:type="dxa"/>
            <w:vAlign w:val="bottom"/>
          </w:tcPr>
          <w:p>
            <w:pPr>
              <w:spacing w:after="0"/>
              <w:rPr>
                <w:sz w:val="20"/>
                <w:szCs w:val="20"/>
                <w:color w:val="auto"/>
              </w:rPr>
            </w:pPr>
          </w:p>
        </w:tc>
      </w:tr>
      <w:tr>
        <w:trPr>
          <w:trHeight w:val="364"/>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64"/>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56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Press Release issued by Reynolds Consumer Products Inc., dated May 6, 2026</w:t>
            </w:r>
          </w:p>
        </w:tc>
        <w:tc>
          <w:tcPr>
            <w:tcW w:w="4320" w:type="dxa"/>
            <w:vAlign w:val="bottom"/>
          </w:tcPr>
          <w:p>
            <w:pPr>
              <w:spacing w:after="0"/>
              <w:rPr>
                <w:sz w:val="24"/>
                <w:szCs w:val="24"/>
                <w:color w:val="auto"/>
              </w:rPr>
            </w:pPr>
          </w:p>
        </w:tc>
      </w:tr>
      <w:tr>
        <w:trPr>
          <w:trHeight w:val="277"/>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019"/>
        </w:trPr>
        <w:tc>
          <w:tcPr>
            <w:tcW w:w="1260" w:type="dxa"/>
            <w:vAlign w:val="bottom"/>
            <w:tcBorders>
              <w:bottom w:val="single" w:sz="8" w:color="9A9A9A"/>
            </w:tcBorders>
          </w:tcPr>
          <w:p>
            <w:pPr>
              <w:spacing w:after="0"/>
              <w:rPr>
                <w:sz w:val="24"/>
                <w:szCs w:val="24"/>
                <w:color w:val="auto"/>
              </w:rPr>
            </w:pPr>
          </w:p>
        </w:tc>
        <w:tc>
          <w:tcPr>
            <w:tcW w:w="5660" w:type="dxa"/>
            <w:vAlign w:val="bottom"/>
            <w:tcBorders>
              <w:bottom w:val="single" w:sz="8" w:color="9A9A9A"/>
            </w:tcBorders>
          </w:tcPr>
          <w:p>
            <w:pPr>
              <w:spacing w:after="0"/>
              <w:rPr>
                <w:sz w:val="24"/>
                <w:szCs w:val="24"/>
                <w:color w:val="auto"/>
              </w:rPr>
            </w:pPr>
          </w:p>
        </w:tc>
        <w:tc>
          <w:tcPr>
            <w:tcW w:w="4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97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6, 2026</w:t>
      </w:r>
    </w:p>
    <w:p>
      <w:pPr>
        <w:spacing w:after="0" w:line="29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REYNOLDS CONSUMER PRODUCTS INC.</w:t>
      </w:r>
    </w:p>
    <w:p>
      <w:pPr>
        <w:spacing w:after="0" w:line="293" w:lineRule="exact"/>
        <w:rPr>
          <w:sz w:val="20"/>
          <w:szCs w:val="20"/>
          <w:color w:val="auto"/>
        </w:rPr>
      </w:pPr>
    </w:p>
    <w:p>
      <w:pPr>
        <w:ind w:left="5720"/>
        <w:spacing w:after="0"/>
        <w:tabs>
          <w:tab w:leader="none" w:pos="6160" w:val="left"/>
        </w:tabs>
        <w:rPr>
          <w:sz w:val="20"/>
          <w:szCs w:val="20"/>
          <w:color w:val="auto"/>
        </w:rPr>
      </w:pPr>
      <w:r>
        <w:rPr>
          <w:rFonts w:ascii="Times New Roman" w:cs="Times New Roman" w:eastAsia="Times New Roman" w:hAnsi="Times New Roman"/>
          <w:sz w:val="18"/>
          <w:szCs w:val="18"/>
          <w:color w:val="auto"/>
        </w:rPr>
        <w:t>By:</w:t>
        <w:tab/>
        <w:t>/s/ Jill E. Barnett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17145</wp:posOffset>
            </wp:positionV>
            <wp:extent cx="32232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2326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Jill E. Barnett</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Chief Legal Officer and Secretary</w:t>
      </w:r>
    </w:p>
    <w:p>
      <w:pPr>
        <w:sectPr>
          <w:pgSz w:w="11900" w:h="16838" w:orient="portrait"/>
          <w:cols w:equalWidth="0" w:num="1">
            <w:col w:w="11200"/>
          </w:cols>
          <w:pgMar w:left="320" w:top="1035"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502285</wp:posOffset>
            </wp:positionV>
            <wp:extent cx="2125980" cy="7283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25980" cy="728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9"/>
          <w:szCs w:val="29"/>
          <w:b w:val="1"/>
          <w:bCs w:val="1"/>
          <w:color w:val="auto"/>
        </w:rPr>
        <w:t>Reynolds Consumer Products Reports</w:t>
      </w:r>
    </w:p>
    <w:p>
      <w:pPr>
        <w:spacing w:after="0" w:line="42"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9"/>
          <w:szCs w:val="29"/>
          <w:b w:val="1"/>
          <w:bCs w:val="1"/>
          <w:color w:val="auto"/>
        </w:rPr>
        <w:t>First Quarter 2026 Financial Results</w:t>
      </w:r>
    </w:p>
    <w:p>
      <w:pPr>
        <w:spacing w:after="0" w:line="106" w:lineRule="exact"/>
        <w:rPr>
          <w:sz w:val="20"/>
          <w:szCs w:val="20"/>
          <w:color w:val="auto"/>
        </w:rPr>
      </w:pPr>
    </w:p>
    <w:p>
      <w:pPr>
        <w:jc w:val="center"/>
        <w:spacing w:after="0" w:line="438" w:lineRule="auto"/>
        <w:rPr>
          <w:sz w:val="20"/>
          <w:szCs w:val="20"/>
          <w:color w:val="auto"/>
        </w:rPr>
      </w:pPr>
      <w:r>
        <w:rPr>
          <w:rFonts w:ascii="Times New Roman" w:cs="Times New Roman" w:eastAsia="Times New Roman" w:hAnsi="Times New Roman"/>
          <w:sz w:val="22"/>
          <w:szCs w:val="22"/>
          <w:b w:val="1"/>
          <w:bCs w:val="1"/>
          <w:i w:val="1"/>
          <w:iCs w:val="1"/>
          <w:color w:val="auto"/>
        </w:rPr>
        <w:t>Net Revenues Increased 7% with Retail Volumes Up 2% Growth and Operational Efficiencies Drove Over 20% EPS Growth Reiterating Full Year 2026 Earnings Outlook</w:t>
      </w:r>
    </w:p>
    <w:p>
      <w:pPr>
        <w:spacing w:after="0" w:line="3"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LAKE FOREST, Ill., May 6, 2026 – (BUSINESSWIRE) </w:t>
      </w:r>
      <w:r>
        <w:rPr>
          <w:rFonts w:ascii="Times New Roman" w:cs="Times New Roman" w:eastAsia="Times New Roman" w:hAnsi="Times New Roman"/>
          <w:sz w:val="18"/>
          <w:szCs w:val="18"/>
          <w:color w:val="auto"/>
        </w:rPr>
        <w:t>– Reynolds Consumer Products Inc. (the “Company”) (Nasdaq: REYN) today reported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results for the first quarter ended March 31, 2026.</w:t>
      </w:r>
    </w:p>
    <w:p>
      <w:pPr>
        <w:spacing w:after="0" w:line="186" w:lineRule="exact"/>
        <w:rPr>
          <w:sz w:val="20"/>
          <w:szCs w:val="20"/>
          <w:color w:val="auto"/>
        </w:rPr>
      </w:pPr>
    </w:p>
    <w:p>
      <w:pPr>
        <w:spacing w:after="0" w:line="214" w:lineRule="exact"/>
        <w:rPr>
          <w:sz w:val="20"/>
          <w:szCs w:val="20"/>
          <w:color w:val="auto"/>
        </w:rPr>
      </w:pPr>
      <w:r>
        <w:rPr>
          <w:rFonts w:ascii="Times New Roman" w:cs="Times New Roman" w:eastAsia="Times New Roman" w:hAnsi="Times New Roman"/>
          <w:sz w:val="18"/>
          <w:szCs w:val="18"/>
          <w:color w:val="auto"/>
        </w:rPr>
        <w:t>“We delivered a very strong start to the year, executing with discipline and consistency across the entire organization and achieved results that exceeded our expectations in the first quarter,” said Scott Huckins, President and Chief Executive Officer. “Our teams continued to perform at a high level in a volatile macroeconomic environment, driving broad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commercial momentum and strong operational execution. While the environment remains uncertain, we are encouraged by our progress and the resiliency of our business, and we are reiterating our 2026 earnings outlook.”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2026 Highlights</w:t>
      </w:r>
    </w:p>
    <w:p>
      <w:pPr>
        <w:spacing w:after="0" w:line="225"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Revenues </w:t>
      </w:r>
      <w:r>
        <w:rPr>
          <w:rFonts w:ascii="Times New Roman" w:cs="Times New Roman" w:eastAsia="Times New Roman" w:hAnsi="Times New Roman"/>
          <w:sz w:val="18"/>
          <w:szCs w:val="18"/>
          <w:color w:val="auto"/>
        </w:rPr>
        <w:t>of $877 million compared to $818 million in Q1 2025</w:t>
      </w:r>
    </w:p>
    <w:p>
      <w:pPr>
        <w:spacing w:after="0" w:line="6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 Net Revenues of $804 million compared to $767 million in Q1 2025</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 volumes increased 2%; excluding foam Retail volumes increased 4%</w:t>
      </w:r>
    </w:p>
    <w:p>
      <w:pPr>
        <w:spacing w:after="0" w:line="5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Non-Retail Net Revenues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of $73 million compared to $51 million in Q1 2025</w:t>
      </w:r>
    </w:p>
    <w:p>
      <w:pPr>
        <w:spacing w:after="0" w:line="2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Income </w:t>
      </w:r>
      <w:r>
        <w:rPr>
          <w:rFonts w:ascii="Times New Roman" w:cs="Times New Roman" w:eastAsia="Times New Roman" w:hAnsi="Times New Roman"/>
          <w:sz w:val="18"/>
          <w:szCs w:val="18"/>
          <w:color w:val="auto"/>
        </w:rPr>
        <w:t>of $59 million compared to $31 million in Q1 2025, and</w:t>
      </w:r>
      <w:r>
        <w:rPr>
          <w:rFonts w:ascii="Times New Roman" w:cs="Times New Roman" w:eastAsia="Times New Roman" w:hAnsi="Times New Roman"/>
          <w:sz w:val="18"/>
          <w:szCs w:val="18"/>
          <w:b w:val="1"/>
          <w:bCs w:val="1"/>
          <w:color w:val="auto"/>
        </w:rPr>
        <w:t xml:space="preserve"> Adjusted Net Income </w:t>
      </w:r>
      <w:r>
        <w:rPr>
          <w:rFonts w:ascii="Times New Roman" w:cs="Times New Roman" w:eastAsia="Times New Roman" w:hAnsi="Times New Roman"/>
          <w:sz w:val="18"/>
          <w:szCs w:val="18"/>
          <w:color w:val="auto"/>
        </w:rPr>
        <w:t>of $59 million compared to $49 million in Q1 2025</w:t>
      </w:r>
    </w:p>
    <w:p>
      <w:pPr>
        <w:spacing w:after="0" w:line="3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Adjusted EBITDA </w:t>
      </w:r>
      <w:r>
        <w:rPr>
          <w:rFonts w:ascii="Times New Roman" w:cs="Times New Roman" w:eastAsia="Times New Roman" w:hAnsi="Times New Roman"/>
          <w:sz w:val="18"/>
          <w:szCs w:val="18"/>
          <w:color w:val="auto"/>
        </w:rPr>
        <w:t>of $131 million compared to $117 million in Q1 2025</w:t>
      </w:r>
    </w:p>
    <w:p>
      <w:pPr>
        <w:spacing w:after="0" w:line="63" w:lineRule="exact"/>
        <w:rPr>
          <w:rFonts w:ascii="Times New Roman" w:cs="Times New Roman" w:eastAsia="Times New Roman" w:hAnsi="Times New Roman"/>
          <w:sz w:val="18"/>
          <w:szCs w:val="18"/>
          <w:color w:val="auto"/>
        </w:rPr>
      </w:pPr>
    </w:p>
    <w:p>
      <w:pPr>
        <w:ind w:left="660" w:right="40" w:hanging="328"/>
        <w:spacing w:after="0" w:line="286"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Earnings Per Share </w:t>
      </w:r>
      <w:r>
        <w:rPr>
          <w:rFonts w:ascii="Times New Roman" w:cs="Times New Roman" w:eastAsia="Times New Roman" w:hAnsi="Times New Roman"/>
          <w:sz w:val="18"/>
          <w:szCs w:val="18"/>
          <w:color w:val="auto"/>
        </w:rPr>
        <w:t>increased 87% to $0.28 compared to $0.15 in Q1 2025, and</w:t>
      </w:r>
      <w:r>
        <w:rPr>
          <w:rFonts w:ascii="Times New Roman" w:cs="Times New Roman" w:eastAsia="Times New Roman" w:hAnsi="Times New Roman"/>
          <w:sz w:val="18"/>
          <w:szCs w:val="18"/>
          <w:b w:val="1"/>
          <w:bCs w:val="1"/>
          <w:color w:val="auto"/>
        </w:rPr>
        <w:t xml:space="preserve"> Adjusted Earnings Per Sha</w:t>
      </w:r>
      <w:r>
        <w:rPr>
          <w:rFonts w:ascii="Times New Roman" w:cs="Times New Roman" w:eastAsia="Times New Roman" w:hAnsi="Times New Roman"/>
          <w:sz w:val="18"/>
          <w:szCs w:val="18"/>
          <w:color w:val="auto"/>
        </w:rPr>
        <w:t>re increased 22% to $0.28 vs. $0.23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Q1 2025</w:t>
      </w:r>
    </w:p>
    <w:p>
      <w:pPr>
        <w:spacing w:after="0" w:line="118"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Net Income increased 90% to $59 million from $31 million in Q1 2025 and Adjusted Net Income increased $10 million compared to Adjusted Net Income of $49 million for the first quarter of 2025. Adjusted EBITDA increased $14 million to $131 million compared to the prior year period, driven primarily by higher retail volumes and manufacturing efficiency gains.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auto"/>
        </w:rPr>
        <w:t>__________________________________________________</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vertAlign w:val="superscript"/>
        </w:rPr>
        <w:t>1</w:t>
      </w:r>
      <w:r>
        <w:rPr>
          <w:rFonts w:ascii="Times New Roman" w:cs="Times New Roman" w:eastAsia="Times New Roman" w:hAnsi="Times New Roman"/>
          <w:sz w:val="13"/>
          <w:szCs w:val="13"/>
          <w:color w:val="auto"/>
        </w:rPr>
        <w:t>Non-Retail Revenues consist of aluminum sales made to food service and industrial customers.</w:t>
      </w:r>
    </w:p>
    <w:p>
      <w:pPr>
        <w:sectPr>
          <w:pgSz w:w="11900" w:h="16838" w:orient="portrait"/>
          <w:cols w:equalWidth="0" w:num="1">
            <w:col w:w="11240"/>
          </w:cols>
          <w:pgMar w:left="320" w:top="122"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First Quarter Key Business Segment Results</w:t>
      </w:r>
    </w:p>
    <w:p>
      <w:pPr>
        <w:spacing w:after="0" w:line="243"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Effective January 1, the Company realigned its former Hefty Waste &amp; Storage and Presto Products operating segments to enhance efficiency, sharpen its innovation focus, and better support future expansion into adjacent categories. Waste bags were consolidated into the new Hefty Waste &amp; Clean-Up segment, while food bags and storage products were combined into the new Hefty Storage &amp; Organization segment. Additionally, the Reynolds Cooking &amp; Baking segment was renamed Reynolds Cooking &amp; Kitchen Essentials, and the Tableware segment became Hefty Home &amp; Tableware. These changes did not impact previously reported consolidated results.</w:t>
      </w:r>
    </w:p>
    <w:p>
      <w:pPr>
        <w:spacing w:after="0" w:line="22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First quarter results are presented under the new segment structure, with prior-period disclosures recast for comparability against Q1 2025. Prior periods will be similarly recast in each quarterly update during 2026.</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Reynolds Cooking &amp; Kitchen Essentials</w:t>
      </w:r>
    </w:p>
    <w:p>
      <w:pPr>
        <w:spacing w:after="0" w:line="29" w:lineRule="exact"/>
        <w:rPr>
          <w:sz w:val="20"/>
          <w:szCs w:val="20"/>
          <w:color w:val="auto"/>
        </w:rPr>
      </w:pPr>
    </w:p>
    <w:p>
      <w:pPr>
        <w:ind w:left="660" w:right="4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increased $55 million to $314 million, reflecting increases in both Retail and Non-retail Revenues, benefitting from strong seasonal promotions, and including 15 points of pricing to offset commodity cost increases.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 volumes increased 6%, driven by significant share increases across Reynolds Wrap</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xml:space="preserve"> and Reynolds Kitchen</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xml:space="preserve"> parchment.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increased $6 million to $44 million, primarily driven by retail volume growth.</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Hefty® Waste &amp; Clean-Up</w:t>
      </w:r>
    </w:p>
    <w:p>
      <w:pPr>
        <w:spacing w:after="0" w:line="29"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decreased $2 million to $224 million.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 volumes decreased 1%, reflecting higher competitive activity with no change in pricing.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remained at $62 million with lower revenues offset by improved operational performance.</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Hefty® Home &amp; Tableware</w:t>
      </w:r>
    </w:p>
    <w:p>
      <w:pPr>
        <w:spacing w:after="0" w:line="29"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increased $1 million to $180 million, reflecting strong performance in Hefty</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xml:space="preserve"> Party Cups.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 volumes decreased 3%, primarily driven by foam which was an 8 point headwind.</w:t>
      </w:r>
    </w:p>
    <w:p>
      <w:pPr>
        <w:spacing w:after="0" w:line="9" w:lineRule="exact"/>
        <w:rPr>
          <w:rFonts w:ascii="Times New Roman" w:cs="Times New Roman" w:eastAsia="Times New Roman" w:hAnsi="Times New Roman"/>
          <w:sz w:val="18"/>
          <w:szCs w:val="18"/>
          <w:color w:val="auto"/>
        </w:rPr>
      </w:pPr>
    </w:p>
    <w:p>
      <w:pPr>
        <w:ind w:left="340" w:right="660" w:hanging="8"/>
        <w:spacing w:after="0" w:line="260" w:lineRule="auto"/>
        <w:tabs>
          <w:tab w:leader="none" w:pos="65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increased $11 million to $28 million, driven by better alignment of pricing and input costs and improved supply chain efficiency.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Hefty® Storage &amp; Organization</w:t>
      </w:r>
    </w:p>
    <w:p>
      <w:pPr>
        <w:spacing w:after="0" w:line="29"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increased $6 million to $159 million, reflecting stronger volumes.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 volumes increased 6%, driven by strong performance of Hefty</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xml:space="preserve"> and store brand food bags.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increased $6 million to $27 million, driven by volume growth and operational performance.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Sheet and Cash Flow Highlights</w:t>
      </w:r>
    </w:p>
    <w:p>
      <w:pPr>
        <w:spacing w:after="0" w:line="256" w:lineRule="exact"/>
        <w:rPr>
          <w:sz w:val="20"/>
          <w:szCs w:val="20"/>
          <w:color w:val="auto"/>
        </w:rPr>
      </w:pPr>
    </w:p>
    <w:p>
      <w:pPr>
        <w:ind w:right="120"/>
        <w:spacing w:after="0" w:line="283" w:lineRule="auto"/>
        <w:rPr>
          <w:sz w:val="20"/>
          <w:szCs w:val="20"/>
          <w:color w:val="auto"/>
        </w:rPr>
      </w:pPr>
      <w:r>
        <w:rPr>
          <w:rFonts w:ascii="Times New Roman" w:cs="Times New Roman" w:eastAsia="Times New Roman" w:hAnsi="Times New Roman"/>
          <w:sz w:val="18"/>
          <w:szCs w:val="18"/>
          <w:color w:val="auto"/>
        </w:rPr>
        <w:t>Cash and cash equivalents were $71 million at March 31, 2026 and debt was $1,530 million, resulting in Net Debt of $1,459 million. Net Debt to Trailing Twelve Months Adjusted EBITDA</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was 2.1x on March 31, 2026 and at the lower end of the Company’s target leverage range.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2026, we made a voluntary principal repayment of $50 million.</w:t>
      </w:r>
    </w:p>
    <w:p>
      <w:pPr>
        <w:spacing w:after="0" w:line="252" w:lineRule="exact"/>
        <w:rPr>
          <w:sz w:val="20"/>
          <w:szCs w:val="20"/>
          <w:color w:val="auto"/>
        </w:rPr>
      </w:pPr>
    </w:p>
    <w:p>
      <w:pPr>
        <w:ind w:right="100"/>
        <w:spacing w:after="0" w:line="220" w:lineRule="exact"/>
        <w:rPr>
          <w:sz w:val="20"/>
          <w:szCs w:val="20"/>
          <w:color w:val="auto"/>
        </w:rPr>
      </w:pPr>
      <w:r>
        <w:rPr>
          <w:rFonts w:ascii="Times New Roman" w:cs="Times New Roman" w:eastAsia="Times New Roman" w:hAnsi="Times New Roman"/>
          <w:sz w:val="18"/>
          <w:szCs w:val="18"/>
          <w:color w:val="auto"/>
        </w:rPr>
        <w:t>“Building on the momentum we generated in 2025, we entered 2026 with solid financial performance driven by effective execution across growth, cost management, and operational initiatives,” said Nathan Lowe, Chief Financial Officer. “The progress we are making strengthens our confidence in our ability to navigate an uncertain macro backdrop while advancing and investing in initiatives that support both near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performance and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value creation.”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140"/>
        <w:spacing w:after="0" w:line="231" w:lineRule="auto"/>
        <w:rPr>
          <w:sz w:val="20"/>
          <w:szCs w:val="20"/>
          <w:color w:val="auto"/>
        </w:rPr>
      </w:pPr>
      <w:r>
        <w:rPr>
          <w:rFonts w:ascii="Times New Roman" w:cs="Times New Roman" w:eastAsia="Times New Roman" w:hAnsi="Times New Roman"/>
          <w:sz w:val="16"/>
          <w:szCs w:val="16"/>
          <w:color w:val="auto"/>
          <w:vertAlign w:val="superscript"/>
        </w:rPr>
        <w:t>1</w:t>
      </w:r>
      <w:r>
        <w:rPr>
          <w:rFonts w:ascii="Times New Roman" w:cs="Times New Roman" w:eastAsia="Times New Roman" w:hAnsi="Times New Roman"/>
          <w:sz w:val="13"/>
          <w:szCs w:val="13"/>
          <w:color w:val="auto"/>
        </w:rPr>
        <w:t>Net Debt is defined as current portion of long-term debt plus long-term debt less cash and cash equivalents. Net Debt Leverage is defined as Net Debt divided by Trailing Twelve Months Adjusted EBITDA. See “Use of Non-GAAP Financial Measures” for additional information.</w:t>
      </w:r>
    </w:p>
    <w:p>
      <w:pPr>
        <w:sectPr>
          <w:pgSz w:w="11900" w:h="16838" w:orient="portrait"/>
          <w:cols w:equalWidth="0" w:num="1">
            <w:col w:w="11200"/>
          </w:cols>
          <w:pgMar w:left="320" w:top="1359" w:right="379" w:bottom="1440" w:gutter="0" w:footer="0" w:header="0"/>
        </w:sectPr>
      </w:pPr>
    </w:p>
    <w:bookmarkStart w:id="5" w:name="page6"/>
    <w:bookmarkEnd w:id="5"/>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Full Year 2026 and Second Quarter Outlook</w:t>
      </w:r>
    </w:p>
    <w:p>
      <w:pPr>
        <w:spacing w:after="0" w:line="256"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Company is reiterating its full year 2026 outlook and continues to expect Net Revenues in the range of -3% to +1%, compared to 2025 Net Revenues of $3,721 million. Net Income and Adjusted Net Income are expected to be $331 million to $343 million, full-year EPS and Adjusted EPS to be $1.57 to $1.63, and full-year Adjusted EBITDA to be $660 million and $675 million.</w:t>
      </w:r>
    </w:p>
    <w:p>
      <w:pPr>
        <w:spacing w:after="0" w:line="203"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Second quarter 2026 Net Revenues are expected to be -2% to +1% compared to second quarter 2025 Net Revenues of $938 million. Net Income and Adjusted Net Income are expected to be $83 million to $91 million in the second quarter, with EPS and Adjusted EPS expected to be $0.39 to $0.43. The Company expects second quarter Adjusted EBITDA to be $165 million to $175 million.</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Quarterly Dividend</w:t>
      </w:r>
    </w:p>
    <w:p>
      <w:pPr>
        <w:spacing w:after="0" w:line="18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Company’s Board of Directors has approved a quarterly dividend of $0.23 per common share. The Company expects to pay this dividend on May 29, 2026, to shareholders of record as of May 15, 2026.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Webcast</w:t>
      </w:r>
    </w:p>
    <w:p>
      <w:pPr>
        <w:spacing w:after="0" w:line="202" w:lineRule="exact"/>
        <w:rPr>
          <w:sz w:val="20"/>
          <w:szCs w:val="20"/>
          <w:color w:val="auto"/>
        </w:rPr>
      </w:pPr>
    </w:p>
    <w:p>
      <w:pPr>
        <w:ind w:right="620"/>
        <w:spacing w:after="0" w:line="261" w:lineRule="auto"/>
        <w:rPr>
          <w:sz w:val="20"/>
          <w:szCs w:val="20"/>
          <w:color w:val="auto"/>
        </w:rPr>
      </w:pPr>
      <w:r>
        <w:rPr>
          <w:rFonts w:ascii="Times New Roman" w:cs="Times New Roman" w:eastAsia="Times New Roman" w:hAnsi="Times New Roman"/>
          <w:sz w:val="18"/>
          <w:szCs w:val="18"/>
          <w:color w:val="auto"/>
        </w:rPr>
        <w:t>The Company will host a live webcast this morning at 7:00 a.m. CT (8:00 a.m. ET). A link to the webcast and all related earnings materials will be available on the Company’s Investor Relations website at</w:t>
      </w:r>
    </w:p>
    <w:p>
      <w:pPr>
        <w:spacing w:after="0"/>
        <w:rPr>
          <w:sz w:val="20"/>
          <w:szCs w:val="20"/>
          <w:color w:val="auto"/>
        </w:rPr>
      </w:pPr>
      <w:r>
        <w:rPr>
          <w:rFonts w:ascii="Times New Roman" w:cs="Times New Roman" w:eastAsia="Times New Roman" w:hAnsi="Times New Roman"/>
          <w:sz w:val="18"/>
          <w:szCs w:val="18"/>
          <w:color w:val="0000FF"/>
        </w:rPr>
        <w:t>https://investors.reynoldsconsumerproducts.com.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Reynolds Consumer Products Inc.</w:t>
      </w:r>
    </w:p>
    <w:p>
      <w:pPr>
        <w:spacing w:after="0" w:line="189"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 xml:space="preserve">Reynolds Consumer Products is a leading provider of household essentials designed to simplify daily life, so consumers can enjoy what matters most. Found in 95% of U.S. homes, the Company offers trusted solutions for cooking, serving, clean-up, and storage. Its portfolio features iconic brands like Reynolds® and Hefty®, along with store brand products tailored to retail partners. Reynolds holds the No. 1 or No. 2 market share in most of the categories it serves. Learn more at: </w:t>
      </w:r>
      <w:r>
        <w:rPr>
          <w:rFonts w:ascii="Times New Roman" w:cs="Times New Roman" w:eastAsia="Times New Roman" w:hAnsi="Times New Roman"/>
          <w:sz w:val="18"/>
          <w:szCs w:val="18"/>
          <w:color w:val="0000FF"/>
        </w:rPr>
        <w:t>investors.reynoldsconsumerproducts.com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43"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This press release contains statements reflecting our views about our future performance that constitute “forward-looking statements” within the meaning of the Private Securities Litigation Reform Act of 1995, which are based on information available to us on the date of this release. These forward-looking statements include, but are not limited to, our priorities to realize benefits from past initiatives and invest in future growth, and our expectations for sustainable earnings growth and long-term shareholder value, and our anticipated Net Revenue, Net Income, Adjusted Net Income, EPS, Adjusted EPS and Adjusted EBITDA for second quarter and fiscal year 2026 guidance. In some cases, you can identify these statements by forward-looking words such as “anticipate,” “believe,” “estimate,” “expect,” “will,” “should,” “may,” “might,” “intends,” “outlook,” “forecast”, “position,” “committed,” “plans,” “predicts,” “model,” “assumes,” “confident,” “look forward,” “potential,” “on track,” or “continue,” the negative of these terms and other comparable terminology. These forward-looking statements, which are subject to risks, uncertainties and assumptions about us, may include projections of our future financial performance, our anticipated growth and profitability, management of costs and other disruptions and other strategies, the impact of the imposition of tariffs, and anticipated trends in our business, including expected levels of commodity costs and volume.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including but not limited to the risk factors set forth in our most recent Annual Report on Form 10-K and in our Quarterly Reports on Form 10-Q.</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For additional information on these and other factors that could cause our actual results to materially differ from those set forth herein, please see our filings with the Securities and Exchange Commission, including our most recent Annual Report on Form 10-K and subsequent filings. Investors are cautioned not to place undue reliance on any such forward-looking statements, which speak only as of the date they are made. The Company undertakes no obligation to update any forward-looking statement, whether as a result of new information, future events or otherwise.</w:t>
      </w:r>
    </w:p>
    <w:p>
      <w:pPr>
        <w:sectPr>
          <w:pgSz w:w="11900" w:h="16838" w:orient="portrait"/>
          <w:cols w:equalWidth="0" w:num="1">
            <w:col w:w="11200"/>
          </w:cols>
          <w:pgMar w:left="320" w:top="1440" w:right="379" w:bottom="1440" w:gutter="0" w:footer="0" w:header="0"/>
        </w:sectPr>
      </w:pPr>
    </w:p>
    <w:bookmarkStart w:id="6" w:name="page7"/>
    <w:bookmarkEnd w:id="6"/>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REYN-F</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Jill Koval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Jill.Koval@ReynoldsBrands.com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(203) 832-4449</w:t>
      </w:r>
    </w:p>
    <w:p>
      <w:pPr>
        <w:sectPr>
          <w:pgSz w:w="11900" w:h="16838" w:orient="portrait"/>
          <w:cols w:equalWidth="0" w:num="1">
            <w:col w:w="10139"/>
          </w:cols>
          <w:pgMar w:left="320" w:top="1440" w:right="1440"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in millions, except for per share data)</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2680" w:type="dxa"/>
            <w:vAlign w:val="bottom"/>
            <w:gridSpan w:val="4"/>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540" w:type="dxa"/>
            <w:vAlign w:val="bottom"/>
          </w:tcPr>
          <w:p>
            <w:pPr>
              <w:spacing w:after="0"/>
              <w:rPr>
                <w:sz w:val="16"/>
                <w:szCs w:val="16"/>
                <w:color w:val="auto"/>
              </w:rPr>
            </w:pPr>
          </w:p>
        </w:tc>
      </w:tr>
      <w:tr>
        <w:trPr>
          <w:trHeight w:val="203"/>
        </w:trPr>
        <w:tc>
          <w:tcPr>
            <w:tcW w:w="80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60" w:type="dxa"/>
            <w:vAlign w:val="bottom"/>
            <w:gridSpan w:val="3"/>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40" w:type="dxa"/>
            <w:vAlign w:val="bottom"/>
          </w:tcPr>
          <w:p>
            <w:pPr>
              <w:spacing w:after="0"/>
              <w:rPr>
                <w:sz w:val="17"/>
                <w:szCs w:val="17"/>
                <w:color w:val="auto"/>
              </w:rPr>
            </w:pPr>
          </w:p>
        </w:tc>
      </w:tr>
      <w:tr>
        <w:trPr>
          <w:trHeight w:val="23"/>
        </w:trPr>
        <w:tc>
          <w:tcPr>
            <w:tcW w:w="80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90"/>
        </w:trPr>
        <w:tc>
          <w:tcPr>
            <w:tcW w:w="80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6"/>
                <w:szCs w:val="16"/>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020" w:type="dxa"/>
            <w:vAlign w:val="bottom"/>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34"/>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Related party net revenues</w:t>
            </w:r>
          </w:p>
        </w:tc>
        <w:tc>
          <w:tcPr>
            <w:tcW w:w="102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3"/>
        </w:trPr>
        <w:tc>
          <w:tcPr>
            <w:tcW w:w="8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102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877</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818</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0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207</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189</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10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0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w:t>
            </w:r>
          </w:p>
        </w:tc>
        <w:tc>
          <w:tcPr>
            <w:tcW w:w="10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refinancing expense</w:t>
            </w:r>
          </w:p>
        </w:tc>
        <w:tc>
          <w:tcPr>
            <w:tcW w:w="102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3"/>
        </w:trPr>
        <w:tc>
          <w:tcPr>
            <w:tcW w:w="8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02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w:t>
            </w:r>
          </w:p>
        </w:tc>
      </w:tr>
      <w:tr>
        <w:trPr>
          <w:trHeight w:val="229"/>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0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020" w:type="dxa"/>
            <w:vAlign w:val="bottom"/>
            <w:tcBorders>
              <w:bottom w:val="single" w:sz="8" w:color="auto"/>
            </w:tcBorders>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83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r>
      <w:tr>
        <w:trPr>
          <w:trHeight w:val="257"/>
        </w:trPr>
        <w:tc>
          <w:tcPr>
            <w:tcW w:w="80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r>
      <w:tr>
        <w:trPr>
          <w:trHeight w:val="229"/>
        </w:trPr>
        <w:tc>
          <w:tcPr>
            <w:tcW w:w="8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1020" w:type="dxa"/>
            <w:vAlign w:val="bottom"/>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00" w:type="dxa"/>
            <w:vAlign w:val="bottom"/>
          </w:tcPr>
          <w:p>
            <w:pPr>
              <w:spacing w:after="0"/>
              <w:rPr>
                <w:sz w:val="19"/>
                <w:szCs w:val="19"/>
                <w:color w:val="auto"/>
              </w:rPr>
            </w:pPr>
          </w:p>
        </w:tc>
        <w:tc>
          <w:tcPr>
            <w:tcW w:w="1020" w:type="dxa"/>
            <w:vAlign w:val="bottom"/>
          </w:tcPr>
          <w:p>
            <w:pPr>
              <w:jc w:val="right"/>
              <w:ind w:right="834"/>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r>
      <w:tr>
        <w:trPr>
          <w:trHeight w:val="230"/>
        </w:trPr>
        <w:tc>
          <w:tcPr>
            <w:tcW w:w="8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1020" w:type="dxa"/>
            <w:vAlign w:val="bottom"/>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34"/>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r>
      <w:tr>
        <w:trPr>
          <w:trHeight w:val="270"/>
        </w:trPr>
        <w:tc>
          <w:tcPr>
            <w:tcW w:w="80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40" w:type="dxa"/>
            <w:vAlign w:val="bottom"/>
          </w:tcPr>
          <w:p>
            <w:pPr>
              <w:spacing w:after="0"/>
              <w:rPr>
                <w:sz w:val="23"/>
                <w:szCs w:val="23"/>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r>
      <w:tr>
        <w:trPr>
          <w:trHeight w:val="230"/>
        </w:trPr>
        <w:tc>
          <w:tcPr>
            <w:tcW w:w="8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210.6</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210.3</w:t>
            </w:r>
          </w:p>
        </w:tc>
      </w:tr>
      <w:tr>
        <w:trPr>
          <w:trHeight w:val="230"/>
        </w:trPr>
        <w:tc>
          <w:tcPr>
            <w:tcW w:w="8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w:t>
            </w:r>
          </w:p>
        </w:tc>
      </w:tr>
    </w:tbl>
    <w:p>
      <w:pPr>
        <w:sectPr>
          <w:pgSz w:w="11900" w:h="16838" w:orient="portrait"/>
          <w:cols w:equalWidth="0" w:num="1">
            <w:col w:w="11240"/>
          </w:cols>
          <w:pgMar w:left="320" w:top="1143"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in millions, except for per share data)</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61"/>
        </w:trPr>
        <w:tc>
          <w:tcPr>
            <w:tcW w:w="7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160" w:type="dxa"/>
            <w:vAlign w:val="bottom"/>
          </w:tcPr>
          <w:p>
            <w:pPr>
              <w:spacing w:after="0"/>
              <w:rPr>
                <w:sz w:val="13"/>
                <w:szCs w:val="13"/>
                <w:color w:val="auto"/>
              </w:rPr>
            </w:pPr>
          </w:p>
        </w:tc>
        <w:tc>
          <w:tcPr>
            <w:tcW w:w="148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95"/>
        </w:trPr>
        <w:tc>
          <w:tcPr>
            <w:tcW w:w="78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4"/>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29"/>
        </w:trPr>
        <w:tc>
          <w:tcPr>
            <w:tcW w:w="7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30"/>
        </w:trPr>
        <w:tc>
          <w:tcPr>
            <w:tcW w:w="7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receivable (net of allowance for doubtful accounts of $1 and $2)</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r>
      <w:tr>
        <w:trPr>
          <w:trHeight w:val="229"/>
        </w:trPr>
        <w:tc>
          <w:tcPr>
            <w:tcW w:w="7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receivables</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7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r>
      <w:tr>
        <w:trPr>
          <w:trHeight w:val="229"/>
        </w:trPr>
        <w:tc>
          <w:tcPr>
            <w:tcW w:w="78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current assets</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3"/>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1,116</w:t>
            </w:r>
          </w:p>
        </w:tc>
      </w:tr>
      <w:tr>
        <w:trPr>
          <w:trHeight w:val="229"/>
        </w:trPr>
        <w:tc>
          <w:tcPr>
            <w:tcW w:w="7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Property, plant and equipment (net of accumulated depreciation of $1,059 and $1,034)</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w:t>
            </w:r>
          </w:p>
        </w:tc>
      </w:tr>
      <w:tr>
        <w:trPr>
          <w:trHeight w:val="229"/>
        </w:trPr>
        <w:tc>
          <w:tcPr>
            <w:tcW w:w="7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30"/>
        </w:trPr>
        <w:tc>
          <w:tcPr>
            <w:tcW w:w="7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w:t>
            </w:r>
          </w:p>
        </w:tc>
      </w:tr>
      <w:tr>
        <w:trPr>
          <w:trHeight w:val="229"/>
        </w:trPr>
        <w:tc>
          <w:tcPr>
            <w:tcW w:w="7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Intangible assets, net</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w:t>
            </w:r>
          </w:p>
        </w:tc>
      </w:tr>
      <w:tr>
        <w:trPr>
          <w:trHeight w:val="229"/>
        </w:trPr>
        <w:tc>
          <w:tcPr>
            <w:tcW w:w="78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43"/>
        </w:trPr>
        <w:tc>
          <w:tcPr>
            <w:tcW w:w="7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4,930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4,936</w:t>
            </w:r>
          </w:p>
        </w:tc>
      </w:tr>
      <w:tr>
        <w:trPr>
          <w:trHeight w:val="203"/>
        </w:trPr>
        <w:tc>
          <w:tcPr>
            <w:tcW w:w="78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29"/>
        </w:trPr>
        <w:tc>
          <w:tcPr>
            <w:tcW w:w="7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r>
      <w:tr>
        <w:trPr>
          <w:trHeight w:val="229"/>
        </w:trPr>
        <w:tc>
          <w:tcPr>
            <w:tcW w:w="7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0"/>
        </w:trPr>
        <w:tc>
          <w:tcPr>
            <w:tcW w:w="7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taxes payable</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78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23"/>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577</w:t>
            </w:r>
          </w:p>
        </w:tc>
      </w:tr>
      <w:tr>
        <w:trPr>
          <w:trHeight w:val="230"/>
        </w:trPr>
        <w:tc>
          <w:tcPr>
            <w:tcW w:w="7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Long-term debt</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w:t>
            </w:r>
          </w:p>
        </w:tc>
      </w:tr>
      <w:tr>
        <w:trPr>
          <w:trHeight w:val="230"/>
        </w:trPr>
        <w:tc>
          <w:tcPr>
            <w:tcW w:w="7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30"/>
        </w:trPr>
        <w:tc>
          <w:tcPr>
            <w:tcW w:w="7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r>
      <w:tr>
        <w:trPr>
          <w:trHeight w:val="229"/>
        </w:trPr>
        <w:tc>
          <w:tcPr>
            <w:tcW w:w="7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Long-term postretirement benefit obligation</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78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liabilities</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23"/>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2,665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2,683</w:t>
            </w:r>
          </w:p>
        </w:tc>
      </w:tr>
      <w:tr>
        <w:trPr>
          <w:trHeight w:val="230"/>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7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Common stock, $0.001 par value; 2,000 shares authorized; 210.7 shares issued and outstanding</w:t>
            </w:r>
          </w:p>
        </w:tc>
        <w:tc>
          <w:tcPr>
            <w:tcW w:w="2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w:t>
            </w:r>
          </w:p>
        </w:tc>
      </w:tr>
      <w:tr>
        <w:trPr>
          <w:trHeight w:val="229"/>
        </w:trPr>
        <w:tc>
          <w:tcPr>
            <w:tcW w:w="7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78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Retained earnings</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w:t>
            </w:r>
          </w:p>
        </w:tc>
      </w:tr>
      <w:tr>
        <w:trPr>
          <w:trHeight w:val="223"/>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2,265</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2,253</w:t>
            </w:r>
          </w:p>
        </w:tc>
      </w:tr>
      <w:tr>
        <w:trPr>
          <w:trHeight w:val="230"/>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4,930</w:t>
            </w:r>
          </w:p>
        </w:tc>
        <w:tc>
          <w:tcPr>
            <w:tcW w:w="8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4,936</w:t>
            </w:r>
          </w:p>
        </w:tc>
      </w:tr>
    </w:tbl>
    <w:p>
      <w:pPr>
        <w:sectPr>
          <w:pgSz w:w="11900" w:h="16838" w:orient="portrait"/>
          <w:cols w:equalWidth="0" w:num="1">
            <w:col w:w="11240"/>
          </w:cols>
          <w:pgMar w:left="320" w:top="1143"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in millions)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25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80" w:type="dxa"/>
            <w:vAlign w:val="bottom"/>
          </w:tcPr>
          <w:p>
            <w:pPr>
              <w:spacing w:after="0"/>
              <w:rPr>
                <w:sz w:val="16"/>
                <w:szCs w:val="16"/>
                <w:color w:val="auto"/>
              </w:rPr>
            </w:pPr>
          </w:p>
        </w:tc>
      </w:tr>
      <w:tr>
        <w:trPr>
          <w:trHeight w:val="203"/>
        </w:trPr>
        <w:tc>
          <w:tcPr>
            <w:tcW w:w="8180" w:type="dxa"/>
            <w:vAlign w:val="bottom"/>
          </w:tcPr>
          <w:p>
            <w:pPr>
              <w:spacing w:after="0"/>
              <w:rPr>
                <w:sz w:val="17"/>
                <w:szCs w:val="17"/>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Pr>
          <w:p>
            <w:pPr>
              <w:spacing w:after="0"/>
              <w:rPr>
                <w:sz w:val="17"/>
                <w:szCs w:val="17"/>
                <w:color w:val="auto"/>
              </w:rPr>
            </w:pPr>
          </w:p>
        </w:tc>
      </w:tr>
      <w:tr>
        <w:trPr>
          <w:trHeight w:val="23"/>
        </w:trPr>
        <w:tc>
          <w:tcPr>
            <w:tcW w:w="81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0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provided by operating activities</w:t>
            </w: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80" w:type="dxa"/>
            <w:vAlign w:val="bottom"/>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9"/>
                <w:szCs w:val="19"/>
                <w:color w:val="auto"/>
              </w:rPr>
            </w:pPr>
          </w:p>
        </w:tc>
        <w:tc>
          <w:tcPr>
            <w:tcW w:w="1000" w:type="dxa"/>
            <w:vAlign w:val="bottom"/>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operating cash flows:</w:t>
            </w:r>
          </w:p>
        </w:tc>
        <w:tc>
          <w:tcPr>
            <w:tcW w:w="9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r>
      <w:tr>
        <w:trPr>
          <w:trHeight w:val="229"/>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income taxes</w:t>
            </w:r>
          </w:p>
        </w:tc>
        <w:tc>
          <w:tcPr>
            <w:tcW w:w="9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9"/>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9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assets and liabilities:</w:t>
            </w:r>
          </w:p>
        </w:tc>
        <w:tc>
          <w:tcPr>
            <w:tcW w:w="9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r>
      <w:tr>
        <w:trPr>
          <w:trHeight w:val="230"/>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receivable, net</w:t>
            </w:r>
          </w:p>
        </w:tc>
        <w:tc>
          <w:tcPr>
            <w:tcW w:w="9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9"/>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receivables</w:t>
            </w:r>
          </w:p>
        </w:tc>
        <w:tc>
          <w:tcPr>
            <w:tcW w:w="9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Related party receivables</w:t>
            </w:r>
          </w:p>
        </w:tc>
        <w:tc>
          <w:tcPr>
            <w:tcW w:w="98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Inventories</w:t>
            </w:r>
          </w:p>
        </w:tc>
        <w:tc>
          <w:tcPr>
            <w:tcW w:w="9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29"/>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9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3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Related party payables</w:t>
            </w:r>
          </w:p>
        </w:tc>
        <w:tc>
          <w:tcPr>
            <w:tcW w:w="9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taxes payable / receivable</w:t>
            </w:r>
          </w:p>
        </w:tc>
        <w:tc>
          <w:tcPr>
            <w:tcW w:w="9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9"/>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9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0"/>
        </w:trPr>
        <w:tc>
          <w:tcPr>
            <w:tcW w:w="8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assets and liabilities</w:t>
            </w:r>
          </w:p>
        </w:tc>
        <w:tc>
          <w:tcPr>
            <w:tcW w:w="9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9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w:t>
            </w: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used in investing activities</w:t>
            </w: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29"/>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Acquisition of property, plant and equipment</w:t>
            </w:r>
          </w:p>
        </w:tc>
        <w:tc>
          <w:tcPr>
            <w:tcW w:w="9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3"/>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9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w:t>
            </w:r>
          </w:p>
        </w:tc>
      </w:tr>
      <w:tr>
        <w:trPr>
          <w:trHeight w:val="20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used in financing activities</w:t>
            </w: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r>
      <w:tr>
        <w:trPr>
          <w:trHeight w:val="230"/>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Repayment of long-term debt</w:t>
            </w:r>
          </w:p>
        </w:tc>
        <w:tc>
          <w:tcPr>
            <w:tcW w:w="9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3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Dividends paid</w:t>
            </w:r>
          </w:p>
        </w:tc>
        <w:tc>
          <w:tcPr>
            <w:tcW w:w="9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30"/>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term loan refinancing</w:t>
            </w:r>
          </w:p>
        </w:tc>
        <w:tc>
          <w:tcPr>
            <w:tcW w:w="98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w:t>
            </w:r>
          </w:p>
        </w:tc>
      </w:tr>
      <w:tr>
        <w:trPr>
          <w:trHeight w:val="229"/>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Repayments of existing term loan</w:t>
            </w:r>
          </w:p>
        </w:tc>
        <w:tc>
          <w:tcPr>
            <w:tcW w:w="9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w:t>
            </w:r>
          </w:p>
        </w:tc>
      </w:tr>
      <w:tr>
        <w:trPr>
          <w:trHeight w:val="230"/>
        </w:trPr>
        <w:tc>
          <w:tcPr>
            <w:tcW w:w="8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9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9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w:t>
            </w:r>
          </w:p>
        </w:tc>
      </w:tr>
      <w:tr>
        <w:trPr>
          <w:trHeight w:val="230"/>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9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3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9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3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98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w:t>
            </w:r>
          </w:p>
        </w:tc>
        <w:tc>
          <w:tcPr>
            <w:tcW w:w="10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ind w:right="81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w:t>
            </w:r>
          </w:p>
        </w:tc>
      </w:tr>
      <w:tr>
        <w:trPr>
          <w:trHeight w:val="243"/>
        </w:trPr>
        <w:tc>
          <w:tcPr>
            <w:tcW w:w="81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w:t>
            </w:r>
          </w:p>
        </w:tc>
        <w:tc>
          <w:tcPr>
            <w:tcW w:w="9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29"/>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 long-term debt, net of interest rate swaps</w:t>
            </w:r>
          </w:p>
        </w:tc>
        <w:tc>
          <w:tcPr>
            <w:tcW w:w="9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4"/>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taxes</w:t>
            </w:r>
          </w:p>
        </w:tc>
        <w:tc>
          <w:tcPr>
            <w:tcW w:w="9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bl>
    <w:p>
      <w:pPr>
        <w:sectPr>
          <w:pgSz w:w="11900" w:h="16838" w:orient="portrait"/>
          <w:cols w:equalWidth="0" w:num="1">
            <w:col w:w="11240"/>
          </w:cols>
          <w:pgMar w:left="320" w:top="1143"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Segment Results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in millions)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Reynolds</w:t>
            </w:r>
          </w:p>
        </w:tc>
        <w:tc>
          <w:tcPr>
            <w:tcW w:w="280" w:type="dxa"/>
            <w:vAlign w:val="bottom"/>
          </w:tcPr>
          <w:p>
            <w:pPr>
              <w:spacing w:after="0"/>
              <w:rPr>
                <w:sz w:val="13"/>
                <w:szCs w:val="13"/>
                <w:color w:val="auto"/>
              </w:rPr>
            </w:pPr>
          </w:p>
        </w:tc>
        <w:tc>
          <w:tcPr>
            <w:tcW w:w="1040" w:type="dxa"/>
            <w:vAlign w:val="bottom"/>
            <w:vMerge w:val="restart"/>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Hefty</w:t>
            </w: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center"/>
              <w:ind w:right="119"/>
              <w:spacing w:after="0" w:line="146" w:lineRule="exact"/>
              <w:rPr>
                <w:sz w:val="20"/>
                <w:szCs w:val="20"/>
                <w:color w:val="auto"/>
              </w:rPr>
            </w:pPr>
            <w:r>
              <w:rPr>
                <w:rFonts w:ascii="Times New Roman" w:cs="Times New Roman" w:eastAsia="Times New Roman" w:hAnsi="Times New Roman"/>
                <w:sz w:val="14"/>
                <w:szCs w:val="14"/>
                <w:b w:val="1"/>
                <w:bCs w:val="1"/>
                <w:color w:val="auto"/>
              </w:rPr>
              <w:t>Cooking</w:t>
            </w:r>
          </w:p>
        </w:tc>
        <w:tc>
          <w:tcPr>
            <w:tcW w:w="28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Hefty Home</w:t>
            </w:r>
          </w:p>
        </w:tc>
        <w:tc>
          <w:tcPr>
            <w:tcW w:w="180" w:type="dxa"/>
            <w:vAlign w:val="bottom"/>
          </w:tcPr>
          <w:p>
            <w:pPr>
              <w:spacing w:after="0"/>
              <w:rPr>
                <w:sz w:val="12"/>
                <w:szCs w:val="12"/>
                <w:color w:val="auto"/>
              </w:rPr>
            </w:pPr>
          </w:p>
        </w:tc>
        <w:tc>
          <w:tcPr>
            <w:tcW w:w="1140" w:type="dxa"/>
            <w:vAlign w:val="bottom"/>
            <w:vMerge w:val="restart"/>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Hefty Storage &amp;</w:t>
            </w: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center"/>
              <w:ind w:right="119"/>
              <w:spacing w:after="0" w:line="149" w:lineRule="exact"/>
              <w:rPr>
                <w:sz w:val="20"/>
                <w:szCs w:val="20"/>
                <w:color w:val="auto"/>
              </w:rPr>
            </w:pPr>
            <w:r>
              <w:rPr>
                <w:rFonts w:ascii="Times New Roman" w:cs="Times New Roman" w:eastAsia="Times New Roman" w:hAnsi="Times New Roman"/>
                <w:sz w:val="14"/>
                <w:szCs w:val="14"/>
                <w:b w:val="1"/>
                <w:bCs w:val="1"/>
                <w:color w:val="auto"/>
              </w:rPr>
              <w:t>&amp; Kitchen</w:t>
            </w:r>
          </w:p>
        </w:tc>
        <w:tc>
          <w:tcPr>
            <w:tcW w:w="280" w:type="dxa"/>
            <w:vAlign w:val="bottom"/>
          </w:tcPr>
          <w:p>
            <w:pPr>
              <w:spacing w:after="0"/>
              <w:rPr>
                <w:sz w:val="12"/>
                <w:szCs w:val="12"/>
                <w:color w:val="auto"/>
              </w:rPr>
            </w:pPr>
          </w:p>
        </w:tc>
        <w:tc>
          <w:tcPr>
            <w:tcW w:w="1040" w:type="dxa"/>
            <w:vAlign w:val="bottom"/>
          </w:tcPr>
          <w:p>
            <w:pPr>
              <w:jc w:val="center"/>
              <w:ind w:right="138"/>
              <w:spacing w:after="0" w:line="149" w:lineRule="exact"/>
              <w:rPr>
                <w:sz w:val="20"/>
                <w:szCs w:val="20"/>
                <w:color w:val="auto"/>
              </w:rPr>
            </w:pPr>
            <w:r>
              <w:rPr>
                <w:rFonts w:ascii="Times New Roman" w:cs="Times New Roman" w:eastAsia="Times New Roman" w:hAnsi="Times New Roman"/>
                <w:sz w:val="14"/>
                <w:szCs w:val="14"/>
                <w:b w:val="1"/>
                <w:bCs w:val="1"/>
                <w:color w:val="auto"/>
              </w:rPr>
              <w:t>Waste &amp;</w:t>
            </w:r>
          </w:p>
        </w:tc>
        <w:tc>
          <w:tcPr>
            <w:tcW w:w="2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vMerge w:val="restart"/>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Unallocated</w:t>
            </w:r>
            <w:r>
              <w:rPr>
                <w:rFonts w:ascii="Times New Roman" w:cs="Times New Roman" w:eastAsia="Times New Roman" w:hAnsi="Times New Roman"/>
                <w:sz w:val="18"/>
                <w:szCs w:val="18"/>
                <w:b w:val="1"/>
                <w:bCs w:val="1"/>
                <w:color w:val="auto"/>
                <w:vertAlign w:val="superscript"/>
              </w:rPr>
              <w:t>(1)</w:t>
            </w:r>
          </w:p>
        </w:tc>
        <w:tc>
          <w:tcPr>
            <w:tcW w:w="320" w:type="dxa"/>
            <w:vAlign w:val="bottom"/>
          </w:tcPr>
          <w:p>
            <w:pPr>
              <w:spacing w:after="0"/>
              <w:rPr>
                <w:sz w:val="12"/>
                <w:szCs w:val="12"/>
                <w:color w:val="auto"/>
              </w:rPr>
            </w:pPr>
          </w:p>
        </w:tc>
        <w:tc>
          <w:tcPr>
            <w:tcW w:w="940" w:type="dxa"/>
            <w:vAlign w:val="bottom"/>
            <w:vMerge w:val="restart"/>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3"/>
        </w:trPr>
        <w:tc>
          <w:tcPr>
            <w:tcW w:w="34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Essentials</w:t>
            </w: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Clean-Up</w:t>
            </w: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&amp; Tableware</w:t>
            </w: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Organization</w:t>
            </w: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Three Months Ended March 31, 2026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224</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877</w:t>
            </w:r>
          </w:p>
        </w:tc>
        <w:tc>
          <w:tcPr>
            <w:tcW w:w="0" w:type="dxa"/>
            <w:vAlign w:val="bottom"/>
          </w:tcPr>
          <w:p>
            <w:pPr>
              <w:spacing w:after="0"/>
              <w:rPr>
                <w:sz w:val="1"/>
                <w:szCs w:val="1"/>
                <w:color w:val="auto"/>
              </w:rPr>
            </w:pPr>
          </w:p>
        </w:tc>
      </w:tr>
      <w:tr>
        <w:trPr>
          <w:trHeight w:val="229"/>
        </w:trPr>
        <w:tc>
          <w:tcPr>
            <w:tcW w:w="34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6"/>
                <w:szCs w:val="16"/>
                <w:color w:val="auto"/>
              </w:rPr>
              <w:t>Three Months Ended March 31, 2025</w:t>
            </w:r>
            <w:r>
              <w:rPr>
                <w:rFonts w:ascii="Times New Roman" w:cs="Times New Roman" w:eastAsia="Times New Roman" w:hAnsi="Times New Roman"/>
                <w:sz w:val="21"/>
                <w:szCs w:val="21"/>
                <w:color w:val="auto"/>
                <w:vertAlign w:val="superscript"/>
              </w:rPr>
              <w:t>(2)</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226</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818</w:t>
            </w:r>
          </w:p>
        </w:tc>
        <w:tc>
          <w:tcPr>
            <w:tcW w:w="0" w:type="dxa"/>
            <w:vAlign w:val="bottom"/>
          </w:tcPr>
          <w:p>
            <w:pPr>
              <w:spacing w:after="0"/>
              <w:rPr>
                <w:sz w:val="1"/>
                <w:szCs w:val="1"/>
                <w:color w:val="auto"/>
              </w:rPr>
            </w:pPr>
          </w:p>
        </w:tc>
      </w:tr>
      <w:tr>
        <w:trPr>
          <w:trHeight w:val="229"/>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Three Months Ended March 31, 2026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62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w:t>
            </w:r>
          </w:p>
        </w:tc>
        <w:tc>
          <w:tcPr>
            <w:tcW w:w="0" w:type="dxa"/>
            <w:vAlign w:val="bottom"/>
          </w:tcPr>
          <w:p>
            <w:pPr>
              <w:spacing w:after="0"/>
              <w:rPr>
                <w:sz w:val="1"/>
                <w:szCs w:val="1"/>
                <w:color w:val="auto"/>
              </w:rPr>
            </w:pPr>
          </w:p>
        </w:tc>
      </w:tr>
      <w:tr>
        <w:trPr>
          <w:trHeight w:val="281"/>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Three Months Ended March 31, 2025</w:t>
            </w:r>
            <w:r>
              <w:rPr>
                <w:rFonts w:ascii="Times New Roman" w:cs="Times New Roman" w:eastAsia="Times New Roman" w:hAnsi="Times New Roman"/>
                <w:sz w:val="21"/>
                <w:szCs w:val="21"/>
                <w:color w:val="auto"/>
                <w:vertAlign w:val="superscript"/>
              </w:rPr>
              <w:t>(2)</w:t>
            </w:r>
          </w:p>
        </w:tc>
        <w:tc>
          <w:tcPr>
            <w:tcW w:w="1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80" w:type="dxa"/>
            <w:vAlign w:val="bottom"/>
          </w:tcPr>
          <w:p>
            <w:pPr>
              <w:spacing w:after="0"/>
              <w:rPr>
                <w:sz w:val="24"/>
                <w:szCs w:val="24"/>
                <w:color w:val="auto"/>
              </w:rPr>
            </w:pPr>
          </w:p>
        </w:tc>
        <w:tc>
          <w:tcPr>
            <w:tcW w:w="104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62</w:t>
            </w: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117</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1300" w:right="460" w:hanging="644"/>
        <w:spacing w:after="0" w:line="285" w:lineRule="auto"/>
        <w:tabs>
          <w:tab w:leader="none" w:pos="1292"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The unallocated net revenues include other revenue adjustments. The unallocated Adjusted EBITDA represents the combination of corporate expenses which are not allocated to our segments and other unallocated revenue adjustments.</w:t>
      </w:r>
    </w:p>
    <w:p>
      <w:pPr>
        <w:spacing w:after="0" w:line="171" w:lineRule="exact"/>
        <w:rPr>
          <w:rFonts w:ascii="Times New Roman" w:cs="Times New Roman" w:eastAsia="Times New Roman" w:hAnsi="Times New Roman"/>
          <w:sz w:val="14"/>
          <w:szCs w:val="14"/>
          <w:color w:val="auto"/>
        </w:rPr>
      </w:pPr>
    </w:p>
    <w:p>
      <w:pPr>
        <w:ind w:left="1300" w:right="60" w:hanging="644"/>
        <w:spacing w:after="0" w:line="305" w:lineRule="auto"/>
        <w:tabs>
          <w:tab w:leader="none" w:pos="1292" w:val="left"/>
        </w:tabs>
        <w:numPr>
          <w:ilvl w:val="0"/>
          <w:numId w:val="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During the three months ended March 31, 2026, the Company realigned two business segments and renamed all segments to better align with strategic objectives. All prior period segment disclosures have been recast to reflect this realignment. This realignment had no effect on our previously reported consolidated results of operations.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Components of Change in Net Revenues for the Three Months Ended March 31, 2026 vs. the Three Months Ended March 31, 2025</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20" w:type="dxa"/>
            <w:vAlign w:val="bottom"/>
          </w:tcPr>
          <w:p>
            <w:pPr>
              <w:spacing w:after="0"/>
              <w:rPr>
                <w:sz w:val="16"/>
                <w:szCs w:val="16"/>
                <w:color w:val="auto"/>
              </w:rPr>
            </w:pPr>
          </w:p>
        </w:tc>
        <w:tc>
          <w:tcPr>
            <w:tcW w:w="146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Price</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Volume/Mix</w:t>
            </w:r>
          </w:p>
        </w:tc>
        <w:tc>
          <w:tcPr>
            <w:tcW w:w="1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80" w:type="dxa"/>
            <w:vAlign w:val="bottom"/>
            <w:gridSpan w:val="2"/>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4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r>
      <w:tr>
        <w:trPr>
          <w:trHeight w:val="190"/>
        </w:trPr>
        <w:tc>
          <w:tcPr>
            <w:tcW w:w="4120" w:type="dxa"/>
            <w:vAlign w:val="bottom"/>
            <w:tcBorders>
              <w:bottom w:val="single" w:sz="8" w:color="CCEEFF"/>
            </w:tcBorders>
          </w:tcPr>
          <w:p>
            <w:pPr>
              <w:spacing w:after="0"/>
              <w:rPr>
                <w:sz w:val="16"/>
                <w:szCs w:val="16"/>
                <w:color w:val="auto"/>
              </w:rPr>
            </w:pPr>
          </w:p>
        </w:tc>
        <w:tc>
          <w:tcPr>
            <w:tcW w:w="1460" w:type="dxa"/>
            <w:vAlign w:val="bottom"/>
            <w:tcBorders>
              <w:bottom w:val="single" w:sz="8" w:color="CCEEFF"/>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380" w:type="dxa"/>
            <w:vAlign w:val="bottom"/>
            <w:tcBorders>
              <w:bottom w:val="single" w:sz="8" w:color="auto"/>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Non-Retail</w:t>
            </w:r>
          </w:p>
        </w:tc>
        <w:tc>
          <w:tcPr>
            <w:tcW w:w="320" w:type="dxa"/>
            <w:vAlign w:val="bottom"/>
            <w:tcBorders>
              <w:bottom w:val="single" w:sz="8" w:color="CCEEFF"/>
            </w:tcBorders>
          </w:tcPr>
          <w:p>
            <w:pPr>
              <w:spacing w:after="0"/>
              <w:rPr>
                <w:sz w:val="16"/>
                <w:szCs w:val="16"/>
                <w:color w:val="auto"/>
              </w:rPr>
            </w:pPr>
          </w:p>
        </w:tc>
        <w:tc>
          <w:tcPr>
            <w:tcW w:w="1460" w:type="dxa"/>
            <w:vAlign w:val="bottom"/>
            <w:tcBorders>
              <w:bottom w:val="single" w:sz="8" w:color="CCEEFF"/>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r>
      <w:tr>
        <w:trPr>
          <w:trHeight w:val="22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Reynolds Cooking &amp; Kitchen Essentials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21 %</w:t>
            </w:r>
          </w:p>
        </w:tc>
      </w:tr>
      <w:tr>
        <w:trPr>
          <w:trHeight w:val="229"/>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Hefty Waste &amp; Clean-Up</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6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 %</w:t>
            </w:r>
          </w:p>
        </w:tc>
      </w:tr>
      <w:tr>
        <w:trPr>
          <w:trHeight w:val="23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Hefty Home &amp; Tableware</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1 %</w:t>
            </w:r>
          </w:p>
        </w:tc>
      </w:tr>
      <w:tr>
        <w:trPr>
          <w:trHeight w:val="230"/>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Hefty Storage &amp; Organization</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6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4 %</w:t>
            </w:r>
          </w:p>
        </w:tc>
      </w:tr>
      <w:tr>
        <w:trPr>
          <w:trHeight w:val="23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RCP</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7 %</w:t>
            </w:r>
          </w:p>
        </w:tc>
      </w:tr>
    </w:tbl>
    <w:p>
      <w:pPr>
        <w:sectPr>
          <w:pgSz w:w="11900" w:h="16838" w:orient="portrait"/>
          <w:cols w:equalWidth="0" w:num="1">
            <w:col w:w="11240"/>
          </w:cols>
          <w:pgMar w:left="320" w:top="1143"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Use of Non-GAAP Financial Measures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use non-GAAP financial measures “Adjusted EBITDA,” “Adjusted Net Income,” “Adjusted Earnings Per Share,” “Net Debt,” and “Net Debt to Trailing Twelve Months Adjusted EBITDA” in evaluating our past results and future prospects. We define Adjusted EBITDA as net income calculated in accordance with GAAP, plus the sum of income tax expense, net interest expense, debt refinancing expense, depreciation and amortization, costs to execute strategic initiatives and CEO transition costs. We define Adjusted Net Income and Adjusted Earnings Per Share (“Adjusted EPS”) as Net Income and Earnings Per Share (“EPS”) calculated in accordance with GAAP, plus the after-tax impact of debt refinancing expense, costs to execute strategic initiatives and CEO transition costs. We define Net Debt as the current portion of long-term debt plus long-term debt less cash and cash equivalents. We define Net Debt to Trailing Twelve Months Adjusted EBITDA as Net Debt (as defined above) as of the end of the period to Adjusted EBITDA (as defined above) for the period.</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present Adjusted EBITDA because it is a key measure used by our management team to evaluate our operating performance, generate future operating plans and make strategic decisions. In addition, our chief operating decision maker uses Adjusted EBITDA of each reportable segment to evaluate the operating performance of such segments. We use Adjusted Net Income and Adjusted EPS as supplemental measures to evaluate our business’ performance in a way that also considers our ability to generate profit without the impact of certain items. We use Net Debt as we believe it is a more representative measure of our liquidity. We use Net Debt to Trailing Twelve Months Adjusted EBITDA because it reflects our ability to service our debt obligations. Accordingly, we believe presenting these measures provide useful information to investors and others in understanding and evaluating our operating results in the same manner as our management team and board of directors.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Non-GAAP information should be considered as supplemental in nature and is not meant to be considered in isolation or as a substitute for the related financial information prepared in accordance with GAAP. In addition, our non-GAAP financial measures may not be the same as or comparable to similar non-GAAP financial measures presented by other companies.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Guidance for fiscal year and second quarter 2026, where adjusted, is provided on a non-GAAP basis. Please see reconciliations of non-GAAP measures used in this release to the most directly comparable GAAP measures, beginning on the following page.</w:t>
      </w:r>
    </w:p>
    <w:p>
      <w:pPr>
        <w:sectPr>
          <w:pgSz w:w="11900" w:h="16838" w:orient="portrait"/>
          <w:cols w:equalWidth="0" w:num="1">
            <w:col w:w="11240"/>
          </w:cols>
          <w:pgMar w:left="320" w:top="1143"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Net Income to Adjusted EBITDA</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20" w:type="dxa"/>
            <w:vAlign w:val="bottom"/>
          </w:tcPr>
          <w:p>
            <w:pPr>
              <w:spacing w:after="0"/>
              <w:rPr>
                <w:sz w:val="16"/>
                <w:szCs w:val="16"/>
                <w:color w:val="auto"/>
              </w:rPr>
            </w:pPr>
          </w:p>
        </w:tc>
        <w:tc>
          <w:tcPr>
            <w:tcW w:w="3180" w:type="dxa"/>
            <w:vAlign w:val="bottom"/>
            <w:gridSpan w:val="4"/>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40" w:type="dxa"/>
            <w:vAlign w:val="bottom"/>
          </w:tcPr>
          <w:p>
            <w:pPr>
              <w:spacing w:after="0"/>
              <w:rPr>
                <w:sz w:val="16"/>
                <w:szCs w:val="16"/>
                <w:color w:val="auto"/>
              </w:rPr>
            </w:pPr>
          </w:p>
        </w:tc>
      </w:tr>
      <w:tr>
        <w:trPr>
          <w:trHeight w:val="23"/>
        </w:trPr>
        <w:tc>
          <w:tcPr>
            <w:tcW w:w="75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90"/>
        </w:trPr>
        <w:tc>
          <w:tcPr>
            <w:tcW w:w="7520" w:type="dxa"/>
            <w:vAlign w:val="bottom"/>
          </w:tcPr>
          <w:p>
            <w:pPr>
              <w:spacing w:after="0"/>
              <w:rPr>
                <w:sz w:val="16"/>
                <w:szCs w:val="16"/>
                <w:color w:val="auto"/>
              </w:rPr>
            </w:pPr>
          </w:p>
        </w:tc>
        <w:tc>
          <w:tcPr>
            <w:tcW w:w="12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6"/>
                <w:szCs w:val="16"/>
                <w:color w:val="auto"/>
              </w:rPr>
            </w:pPr>
          </w:p>
        </w:tc>
      </w:tr>
      <w:tr>
        <w:trPr>
          <w:trHeight w:val="196"/>
        </w:trPr>
        <w:tc>
          <w:tcPr>
            <w:tcW w:w="7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940" w:type="dxa"/>
            <w:vAlign w:val="bottom"/>
            <w:gridSpan w:val="3"/>
          </w:tcPr>
          <w:p>
            <w:pPr>
              <w:jc w:val="right"/>
              <w:ind w:right="856"/>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40" w:type="dxa"/>
            <w:vAlign w:val="bottom"/>
          </w:tcPr>
          <w:p>
            <w:pPr>
              <w:spacing w:after="0"/>
              <w:rPr>
                <w:sz w:val="17"/>
                <w:szCs w:val="17"/>
                <w:color w:val="auto"/>
              </w:rPr>
            </w:pPr>
          </w:p>
        </w:tc>
      </w:tr>
      <w:tr>
        <w:trPr>
          <w:trHeight w:val="236"/>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 GAAP</w:t>
            </w:r>
          </w:p>
        </w:tc>
        <w:tc>
          <w:tcPr>
            <w:tcW w:w="1240" w:type="dxa"/>
            <w:vAlign w:val="bottom"/>
            <w:shd w:val="clear" w:color="auto" w:fill="CCEEFF"/>
          </w:tcPr>
          <w:p>
            <w:pPr>
              <w:jc w:val="right"/>
              <w:ind w:right="1039"/>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w:t>
            </w:r>
          </w:p>
        </w:tc>
        <w:tc>
          <w:tcPr>
            <w:tcW w:w="18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03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r>
      <w:tr>
        <w:trPr>
          <w:trHeight w:val="23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2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2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9"/>
        </w:trPr>
        <w:tc>
          <w:tcPr>
            <w:tcW w:w="75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Debt refinancing expense</w:t>
            </w:r>
            <w:r>
              <w:rPr>
                <w:rFonts w:ascii="Times New Roman" w:cs="Times New Roman" w:eastAsia="Times New Roman" w:hAnsi="Times New Roman"/>
                <w:sz w:val="23"/>
                <w:szCs w:val="23"/>
                <w:color w:val="auto"/>
                <w:vertAlign w:val="superscript"/>
              </w:rPr>
              <w:t>(1)</w:t>
            </w:r>
          </w:p>
        </w:tc>
        <w:tc>
          <w:tcPr>
            <w:tcW w:w="1240" w:type="dxa"/>
            <w:vAlign w:val="bottom"/>
          </w:tcPr>
          <w:p>
            <w:pPr>
              <w:spacing w:after="0"/>
              <w:rPr>
                <w:sz w:val="19"/>
                <w:szCs w:val="19"/>
                <w:color w:val="auto"/>
              </w:rPr>
            </w:pP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9"/>
        </w:trPr>
        <w:tc>
          <w:tcPr>
            <w:tcW w:w="75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Costs to execute strategic initiatives</w:t>
            </w:r>
            <w:r>
              <w:rPr>
                <w:rFonts w:ascii="Times New Roman" w:cs="Times New Roman" w:eastAsia="Times New Roman" w:hAnsi="Times New Roman"/>
                <w:sz w:val="23"/>
                <w:szCs w:val="23"/>
                <w:color w:val="auto"/>
                <w:vertAlign w:val="superscript"/>
              </w:rPr>
              <w:t>(2)</w:t>
            </w:r>
          </w:p>
        </w:tc>
        <w:tc>
          <w:tcPr>
            <w:tcW w:w="1240" w:type="dxa"/>
            <w:vAlign w:val="bottom"/>
          </w:tcPr>
          <w:p>
            <w:pPr>
              <w:spacing w:after="0"/>
              <w:rPr>
                <w:sz w:val="19"/>
                <w:szCs w:val="19"/>
                <w:color w:val="auto"/>
              </w:rPr>
            </w:pP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75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CEO transition costs</w:t>
            </w:r>
            <w:r>
              <w:rPr>
                <w:rFonts w:ascii="Times New Roman" w:cs="Times New Roman" w:eastAsia="Times New Roman" w:hAnsi="Times New Roman"/>
                <w:sz w:val="23"/>
                <w:szCs w:val="23"/>
                <w:color w:val="auto"/>
                <w:vertAlign w:val="superscript"/>
              </w:rPr>
              <w:t>(3)</w:t>
            </w:r>
          </w:p>
        </w:tc>
        <w:tc>
          <w:tcPr>
            <w:tcW w:w="12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 (Non-GAAP)</w:t>
            </w:r>
          </w:p>
        </w:tc>
        <w:tc>
          <w:tcPr>
            <w:tcW w:w="1240" w:type="dxa"/>
            <w:vAlign w:val="bottom"/>
            <w:tcBorders>
              <w:top w:val="single" w:sz="8" w:color="auto"/>
              <w:bottom w:val="single" w:sz="8" w:color="auto"/>
            </w:tcBorders>
          </w:tcPr>
          <w:p>
            <w:pPr>
              <w:jc w:val="right"/>
              <w:ind w:right="1039"/>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131</w:t>
            </w:r>
          </w:p>
        </w:tc>
        <w:tc>
          <w:tcPr>
            <w:tcW w:w="180" w:type="dxa"/>
            <w:vAlign w:val="bottom"/>
          </w:tcPr>
          <w:p>
            <w:pPr>
              <w:spacing w:after="0"/>
              <w:rPr>
                <w:sz w:val="20"/>
                <w:szCs w:val="20"/>
                <w:color w:val="auto"/>
              </w:rPr>
            </w:pPr>
          </w:p>
        </w:tc>
        <w:tc>
          <w:tcPr>
            <w:tcW w:w="1220" w:type="dxa"/>
            <w:vAlign w:val="bottom"/>
            <w:tcBorders>
              <w:top w:val="single" w:sz="8" w:color="auto"/>
              <w:bottom w:val="single" w:sz="8" w:color="auto"/>
            </w:tcBorders>
          </w:tcPr>
          <w:p>
            <w:pPr>
              <w:jc w:val="right"/>
              <w:ind w:right="103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117</w:t>
            </w:r>
          </w:p>
        </w:tc>
      </w:tr>
    </w:tbl>
    <w:p>
      <w:pPr>
        <w:spacing w:after="0" w:line="184" w:lineRule="exact"/>
        <w:rPr>
          <w:sz w:val="20"/>
          <w:szCs w:val="20"/>
          <w:color w:val="auto"/>
        </w:rPr>
      </w:pPr>
    </w:p>
    <w:p>
      <w:pPr>
        <w:ind w:left="400" w:hanging="392"/>
        <w:spacing w:after="0"/>
        <w:tabs>
          <w:tab w:leader="none" w:pos="4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expense recorded related to our March 2025 Term Loan Facility refinancing.</w:t>
      </w:r>
    </w:p>
    <w:p>
      <w:pPr>
        <w:spacing w:after="0" w:line="117"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costs related to the execution of cost savings and revenue growth strategic initiatives.</w:t>
      </w:r>
    </w:p>
    <w:p>
      <w:pPr>
        <w:spacing w:after="0" w:line="117"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compensation and other costs related to the CEO transition effective January 1, 2025.</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Net Income and EPS to Adjusted Net Income and Adjusted EPS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60" w:type="dxa"/>
            <w:vAlign w:val="bottom"/>
            <w:gridSpan w:val="5"/>
          </w:tcPr>
          <w:p>
            <w:pPr>
              <w:jc w:val="center"/>
              <w:ind w:left="73"/>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60" w:type="dxa"/>
            <w:vAlign w:val="bottom"/>
            <w:gridSpan w:val="5"/>
          </w:tcPr>
          <w:p>
            <w:pPr>
              <w:jc w:val="center"/>
              <w:ind w:left="53"/>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4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for per share data)</w:t>
            </w:r>
          </w:p>
        </w:tc>
        <w:tc>
          <w:tcPr>
            <w:tcW w:w="110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100" w:type="dxa"/>
            <w:vAlign w:val="bottom"/>
            <w:gridSpan w:val="2"/>
          </w:tcPr>
          <w:p>
            <w:pPr>
              <w:jc w:val="center"/>
              <w:ind w:right="180"/>
              <w:spacing w:after="0" w:line="129" w:lineRule="exact"/>
              <w:rPr>
                <w:sz w:val="20"/>
                <w:szCs w:val="20"/>
                <w:color w:val="auto"/>
              </w:rPr>
            </w:pPr>
            <w:r>
              <w:rPr>
                <w:rFonts w:ascii="Times New Roman" w:cs="Times New Roman" w:eastAsia="Times New Roman" w:hAnsi="Times New Roman"/>
                <w:sz w:val="14"/>
                <w:szCs w:val="14"/>
                <w:b w:val="1"/>
                <w:bCs w:val="1"/>
                <w:color w:val="auto"/>
                <w:w w:val="99"/>
              </w:rPr>
              <w:t>Diluted</w:t>
            </w:r>
          </w:p>
        </w:tc>
        <w:tc>
          <w:tcPr>
            <w:tcW w:w="110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Diluted EPS</w:t>
            </w:r>
          </w:p>
        </w:tc>
        <w:tc>
          <w:tcPr>
            <w:tcW w:w="110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080" w:type="dxa"/>
            <w:vAlign w:val="bottom"/>
            <w:gridSpan w:val="2"/>
          </w:tcPr>
          <w:p>
            <w:pPr>
              <w:jc w:val="center"/>
              <w:ind w:right="180"/>
              <w:spacing w:after="0" w:line="129" w:lineRule="exact"/>
              <w:rPr>
                <w:sz w:val="20"/>
                <w:szCs w:val="20"/>
                <w:color w:val="auto"/>
              </w:rPr>
            </w:pPr>
            <w:r>
              <w:rPr>
                <w:rFonts w:ascii="Times New Roman" w:cs="Times New Roman" w:eastAsia="Times New Roman" w:hAnsi="Times New Roman"/>
                <w:sz w:val="14"/>
                <w:szCs w:val="14"/>
                <w:b w:val="1"/>
                <w:bCs w:val="1"/>
                <w:color w:val="auto"/>
              </w:rPr>
              <w:t>Diluted</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Diluted EPS</w:t>
            </w:r>
          </w:p>
        </w:tc>
        <w:tc>
          <w:tcPr>
            <w:tcW w:w="0" w:type="dxa"/>
            <w:vAlign w:val="bottom"/>
          </w:tcPr>
          <w:p>
            <w:pPr>
              <w:spacing w:after="0"/>
              <w:rPr>
                <w:sz w:val="1"/>
                <w:szCs w:val="1"/>
                <w:color w:val="auto"/>
              </w:rPr>
            </w:pPr>
          </w:p>
        </w:tc>
      </w:tr>
      <w:tr>
        <w:trPr>
          <w:trHeight w:val="196"/>
        </w:trPr>
        <w:tc>
          <w:tcPr>
            <w:tcW w:w="4820" w:type="dxa"/>
            <w:vAlign w:val="bottom"/>
            <w:vMerge w:val="continue"/>
          </w:tcPr>
          <w:p>
            <w:pPr>
              <w:spacing w:after="0"/>
              <w:rPr>
                <w:sz w:val="17"/>
                <w:szCs w:val="17"/>
                <w:color w:val="auto"/>
              </w:rPr>
            </w:pPr>
          </w:p>
        </w:tc>
        <w:tc>
          <w:tcPr>
            <w:tcW w:w="1100" w:type="dxa"/>
            <w:vAlign w:val="bottom"/>
            <w:gridSpan w:val="3"/>
            <w:vMerge w:val="continue"/>
          </w:tcPr>
          <w:p>
            <w:pPr>
              <w:spacing w:after="0"/>
              <w:rPr>
                <w:sz w:val="17"/>
                <w:szCs w:val="17"/>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100" w:type="dxa"/>
            <w:vAlign w:val="bottom"/>
            <w:gridSpan w:val="3"/>
            <w:vMerge w:val="continue"/>
          </w:tcPr>
          <w:p>
            <w:pPr>
              <w:spacing w:after="0"/>
              <w:rPr>
                <w:sz w:val="17"/>
                <w:szCs w:val="17"/>
                <w:color w:val="auto"/>
              </w:rPr>
            </w:pPr>
          </w:p>
        </w:tc>
        <w:tc>
          <w:tcPr>
            <w:tcW w:w="1100" w:type="dxa"/>
            <w:vAlign w:val="bottom"/>
            <w:gridSpan w:val="3"/>
            <w:vMerge w:val="continue"/>
          </w:tcPr>
          <w:p>
            <w:pPr>
              <w:spacing w:after="0"/>
              <w:rPr>
                <w:sz w:val="17"/>
                <w:szCs w:val="17"/>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82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As Reported - GAAP</w:t>
            </w:r>
          </w:p>
        </w:tc>
        <w:tc>
          <w:tcPr>
            <w:tcW w:w="26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w:t>
            </w:r>
          </w:p>
        </w:tc>
        <w:tc>
          <w:tcPr>
            <w:tcW w:w="18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211.8</w:t>
            </w:r>
          </w:p>
        </w:tc>
        <w:tc>
          <w:tcPr>
            <w:tcW w:w="18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3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0.28</w:t>
            </w:r>
          </w:p>
        </w:tc>
        <w:tc>
          <w:tcPr>
            <w:tcW w:w="1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18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210.3</w:t>
            </w:r>
          </w:p>
        </w:tc>
        <w:tc>
          <w:tcPr>
            <w:tcW w:w="16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36"/>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0.15</w:t>
            </w:r>
          </w:p>
        </w:tc>
        <w:tc>
          <w:tcPr>
            <w:tcW w:w="0" w:type="dxa"/>
            <w:vAlign w:val="bottom"/>
          </w:tcPr>
          <w:p>
            <w:pPr>
              <w:spacing w:after="0"/>
              <w:rPr>
                <w:sz w:val="1"/>
                <w:szCs w:val="1"/>
                <w:color w:val="auto"/>
              </w:rPr>
            </w:pPr>
          </w:p>
        </w:tc>
      </w:tr>
      <w:tr>
        <w:trPr>
          <w:trHeight w:val="230"/>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Debt refinancing expense</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w:t>
            </w:r>
          </w:p>
        </w:tc>
        <w:tc>
          <w:tcPr>
            <w:tcW w:w="1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0.05</w:t>
            </w:r>
          </w:p>
        </w:tc>
        <w:tc>
          <w:tcPr>
            <w:tcW w:w="0" w:type="dxa"/>
            <w:vAlign w:val="bottom"/>
          </w:tcPr>
          <w:p>
            <w:pPr>
              <w:spacing w:after="0"/>
              <w:rPr>
                <w:sz w:val="1"/>
                <w:szCs w:val="1"/>
                <w:color w:val="auto"/>
              </w:rPr>
            </w:pPr>
          </w:p>
        </w:tc>
      </w:tr>
      <w:tr>
        <w:trPr>
          <w:trHeight w:val="230"/>
        </w:trPr>
        <w:tc>
          <w:tcPr>
            <w:tcW w:w="482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Costs to execute strategic initiatives</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211.8</w:t>
            </w: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210.3</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0.02</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CEO transition costs</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w:t>
            </w:r>
          </w:p>
        </w:tc>
        <w:tc>
          <w:tcPr>
            <w:tcW w:w="1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0.02</w:t>
            </w:r>
          </w:p>
        </w:tc>
        <w:tc>
          <w:tcPr>
            <w:tcW w:w="0" w:type="dxa"/>
            <w:vAlign w:val="bottom"/>
          </w:tcPr>
          <w:p>
            <w:pPr>
              <w:spacing w:after="0"/>
              <w:rPr>
                <w:sz w:val="1"/>
                <w:szCs w:val="1"/>
                <w:color w:val="auto"/>
              </w:rPr>
            </w:pPr>
          </w:p>
        </w:tc>
      </w:tr>
      <w:tr>
        <w:trPr>
          <w:trHeight w:val="230"/>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Adjusted (Non-GAAP)</w:t>
            </w:r>
          </w:p>
        </w:tc>
        <w:tc>
          <w:tcPr>
            <w:tcW w:w="26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w:t>
            </w:r>
          </w:p>
        </w:tc>
        <w:tc>
          <w:tcPr>
            <w:tcW w:w="18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211.8</w:t>
            </w:r>
          </w:p>
        </w:tc>
        <w:tc>
          <w:tcPr>
            <w:tcW w:w="180" w:type="dxa"/>
            <w:vAlign w:val="bottom"/>
          </w:tcPr>
          <w:p>
            <w:pPr>
              <w:spacing w:after="0"/>
              <w:rPr>
                <w:sz w:val="20"/>
                <w:szCs w:val="20"/>
                <w:color w:val="auto"/>
              </w:rPr>
            </w:pPr>
          </w:p>
        </w:tc>
        <w:tc>
          <w:tcPr>
            <w:tcW w:w="520" w:type="dxa"/>
            <w:vAlign w:val="bottom"/>
            <w:tcBorders>
              <w:top w:val="single" w:sz="8" w:color="auto"/>
              <w:bottom w:val="single" w:sz="8" w:color="auto"/>
            </w:tcBorders>
          </w:tcPr>
          <w:p>
            <w:pPr>
              <w:jc w:val="right"/>
              <w:ind w:right="33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0.28</w:t>
            </w:r>
          </w:p>
        </w:tc>
        <w:tc>
          <w:tcPr>
            <w:tcW w:w="18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w:t>
            </w:r>
          </w:p>
        </w:tc>
        <w:tc>
          <w:tcPr>
            <w:tcW w:w="18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210.3</w:t>
            </w:r>
          </w:p>
        </w:tc>
        <w:tc>
          <w:tcPr>
            <w:tcW w:w="160" w:type="dxa"/>
            <w:vAlign w:val="bottom"/>
          </w:tcPr>
          <w:p>
            <w:pPr>
              <w:spacing w:after="0"/>
              <w:rPr>
                <w:sz w:val="20"/>
                <w:szCs w:val="20"/>
                <w:color w:val="auto"/>
              </w:rPr>
            </w:pPr>
          </w:p>
        </w:tc>
        <w:tc>
          <w:tcPr>
            <w:tcW w:w="540" w:type="dxa"/>
            <w:vAlign w:val="bottom"/>
            <w:tcBorders>
              <w:top w:val="single" w:sz="8" w:color="auto"/>
              <w:bottom w:val="single" w:sz="8" w:color="auto"/>
            </w:tcBorders>
          </w:tcPr>
          <w:p>
            <w:pPr>
              <w:jc w:val="right"/>
              <w:ind w:right="336"/>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0.23</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660" w:right="680" w:hanging="652"/>
        <w:spacing w:after="0" w:line="282" w:lineRule="auto"/>
        <w:tabs>
          <w:tab w:leader="none" w:pos="39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are after tax, calculated based on the applicable tax treatment of each adjustment, using a normalized effective tax rate of 23.9% for deductible items and 0% for non-deductible items.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Trailing Twelve Months Net Income to Trailing Twelve Months Adjusted EBITDA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in millions)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tcPr>
          <w:p>
            <w:pPr>
              <w:spacing w:after="0"/>
              <w:rPr>
                <w:sz w:val="13"/>
                <w:szCs w:val="13"/>
                <w:color w:val="auto"/>
              </w:rPr>
            </w:pPr>
          </w:p>
        </w:tc>
        <w:tc>
          <w:tcPr>
            <w:tcW w:w="242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Twelve Months Ended March 31,</w:t>
            </w:r>
          </w:p>
        </w:tc>
        <w:tc>
          <w:tcPr>
            <w:tcW w:w="2220" w:type="dxa"/>
            <w:vAlign w:val="bottom"/>
            <w:gridSpan w:val="2"/>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Twelve Months Ended December</w:t>
            </w:r>
          </w:p>
        </w:tc>
      </w:tr>
      <w:tr>
        <w:trPr>
          <w:trHeight w:val="195"/>
        </w:trPr>
        <w:tc>
          <w:tcPr>
            <w:tcW w:w="66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89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772"/>
              <w:spacing w:after="0"/>
              <w:rPr>
                <w:sz w:val="20"/>
                <w:szCs w:val="20"/>
                <w:color w:val="auto"/>
              </w:rPr>
            </w:pPr>
            <w:r>
              <w:rPr>
                <w:rFonts w:ascii="Times New Roman" w:cs="Times New Roman" w:eastAsia="Times New Roman" w:hAnsi="Times New Roman"/>
                <w:sz w:val="14"/>
                <w:szCs w:val="14"/>
                <w:b w:val="1"/>
                <w:bCs w:val="1"/>
                <w:color w:val="auto"/>
              </w:rPr>
              <w:t>31, 2025</w:t>
            </w:r>
          </w:p>
        </w:tc>
      </w:tr>
      <w:tr>
        <w:trPr>
          <w:trHeight w:val="228"/>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 GAAP</w:t>
            </w:r>
          </w:p>
        </w:tc>
        <w:tc>
          <w:tcPr>
            <w:tcW w:w="54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8"/>
                <w:szCs w:val="18"/>
                <w:b w:val="1"/>
                <w:bCs w:val="1"/>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329</w:t>
            </w: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301</w:t>
            </w: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5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5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refinancing expense</w:t>
            </w:r>
          </w:p>
        </w:tc>
        <w:tc>
          <w:tcPr>
            <w:tcW w:w="540" w:type="dxa"/>
            <w:vAlign w:val="bottom"/>
          </w:tcPr>
          <w:p>
            <w:pPr>
              <w:spacing w:after="0"/>
              <w:rPr>
                <w:sz w:val="19"/>
                <w:szCs w:val="19"/>
                <w:color w:val="auto"/>
              </w:rPr>
            </w:pPr>
          </w:p>
        </w:tc>
        <w:tc>
          <w:tcPr>
            <w:tcW w:w="1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to execute strategic initiatives</w:t>
            </w:r>
          </w:p>
        </w:tc>
        <w:tc>
          <w:tcPr>
            <w:tcW w:w="5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CEO transition costs</w:t>
            </w:r>
          </w:p>
        </w:tc>
        <w:tc>
          <w:tcPr>
            <w:tcW w:w="54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 (Non-GAAP)</w:t>
            </w:r>
          </w:p>
        </w:tc>
        <w:tc>
          <w:tcPr>
            <w:tcW w:w="54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8"/>
                <w:szCs w:val="18"/>
                <w:b w:val="1"/>
                <w:bCs w:val="1"/>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682</w:t>
            </w:r>
          </w:p>
        </w:tc>
        <w:tc>
          <w:tcPr>
            <w:tcW w:w="180" w:type="dxa"/>
            <w:vAlign w:val="bottom"/>
          </w:tcPr>
          <w:p>
            <w:pPr>
              <w:spacing w:after="0"/>
              <w:rPr>
                <w:sz w:val="20"/>
                <w:szCs w:val="20"/>
                <w:color w:val="auto"/>
              </w:rPr>
            </w:pPr>
          </w:p>
        </w:tc>
        <w:tc>
          <w:tcPr>
            <w:tcW w:w="48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667</w:t>
            </w:r>
          </w:p>
        </w:tc>
      </w:tr>
    </w:tbl>
    <w:p>
      <w:pPr>
        <w:sectPr>
          <w:pgSz w:w="11900" w:h="16838" w:orient="portrait"/>
          <w:cols w:equalWidth="0" w:num="1">
            <w:col w:w="11240"/>
          </w:cols>
          <w:pgMar w:left="320" w:top="1143"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Total Debt to Net Debt and Calculation of Net Debt to Trailing Twelve Months Adjusted EBITDA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in millions, except for Net Debt to Trailing Twelve Months Adjusted EBITDA)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As of March 31, 2026</w:t>
            </w: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0" w:type="dxa"/>
            <w:vAlign w:val="bottom"/>
            <w:shd w:val="clear" w:color="auto" w:fill="CCEEFF"/>
          </w:tcPr>
          <w:p>
            <w:pPr>
              <w:spacing w:after="0"/>
              <w:rPr>
                <w:sz w:val="19"/>
                <w:szCs w:val="19"/>
                <w:color w:val="auto"/>
              </w:rPr>
            </w:pPr>
          </w:p>
        </w:tc>
        <w:tc>
          <w:tcPr>
            <w:tcW w:w="4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Long-term debt</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41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shd w:val="clear" w:color="auto" w:fill="CCEEFF"/>
          </w:tcPr>
          <w:p>
            <w:pPr>
              <w:spacing w:after="0"/>
              <w:rPr>
                <w:sz w:val="19"/>
                <w:szCs w:val="19"/>
                <w:color w:val="auto"/>
              </w:rPr>
            </w:pPr>
          </w:p>
        </w:tc>
        <w:tc>
          <w:tcPr>
            <w:tcW w:w="4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w w:val="99"/>
              </w:rPr>
              <w:t>(71)</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41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Net debt (Non-GAAP)</w:t>
            </w: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1,459</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Borders>
              <w:bottom w:val="single" w:sz="8" w:color="CCEEFF"/>
            </w:tcBorders>
          </w:tcPr>
          <w:p>
            <w:pPr>
              <w:spacing w:after="0" w:line="20" w:lineRule="exact"/>
              <w:rPr>
                <w:sz w:val="1"/>
                <w:szCs w:val="1"/>
                <w:color w:val="auto"/>
              </w:rPr>
            </w:pPr>
          </w:p>
        </w:tc>
        <w:tc>
          <w:tcPr>
            <w:tcW w:w="4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6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For the twelve months ended March 31, 2026</w:t>
            </w: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1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Adjusted EBITDA (Non-GAAP)</w:t>
            </w: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682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0" w:type="dxa"/>
            <w:vAlign w:val="bottom"/>
            <w:shd w:val="clear" w:color="auto" w:fill="CCEEFF"/>
          </w:tcPr>
          <w:p>
            <w:pPr>
              <w:spacing w:after="0"/>
              <w:rPr>
                <w:sz w:val="23"/>
                <w:szCs w:val="23"/>
                <w:color w:val="auto"/>
              </w:rPr>
            </w:pPr>
          </w:p>
        </w:tc>
        <w:tc>
          <w:tcPr>
            <w:tcW w:w="4220" w:type="dxa"/>
            <w:vAlign w:val="bottom"/>
            <w:gridSpan w:val="2"/>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2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Net Debt to Trailing Twelve Months Adjusted EBITDA</w:t>
            </w:r>
          </w:p>
        </w:tc>
        <w:tc>
          <w:tcPr>
            <w:tcW w:w="1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ind w:left="960"/>
              <w:spacing w:after="0"/>
              <w:rPr>
                <w:sz w:val="20"/>
                <w:szCs w:val="20"/>
                <w:color w:val="auto"/>
              </w:rPr>
            </w:pPr>
            <w:r>
              <w:rPr>
                <w:rFonts w:ascii="Times New Roman" w:cs="Times New Roman" w:eastAsia="Times New Roman" w:hAnsi="Times New Roman"/>
                <w:sz w:val="18"/>
                <w:szCs w:val="18"/>
                <w:b w:val="1"/>
                <w:bCs w:val="1"/>
                <w:color w:val="auto"/>
              </w:rPr>
              <w:t>2.1x</w:t>
            </w:r>
          </w:p>
        </w:tc>
        <w:tc>
          <w:tcPr>
            <w:tcW w:w="0" w:type="dxa"/>
            <w:vAlign w:val="bottom"/>
          </w:tcPr>
          <w:p>
            <w:pPr>
              <w:spacing w:after="0"/>
              <w:rPr>
                <w:sz w:val="1"/>
                <w:szCs w:val="1"/>
                <w:color w:val="auto"/>
              </w:rPr>
            </w:pPr>
          </w:p>
        </w:tc>
      </w:tr>
      <w:tr>
        <w:trPr>
          <w:trHeight w:val="21"/>
        </w:trPr>
        <w:tc>
          <w:tcPr>
            <w:tcW w:w="4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1"/>
        </w:trPr>
        <w:tc>
          <w:tcPr>
            <w:tcW w:w="416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0" w:type="dxa"/>
            <w:vAlign w:val="bottom"/>
            <w:shd w:val="clear" w:color="auto" w:fill="CCEEFF"/>
          </w:tcPr>
          <w:p>
            <w:pPr>
              <w:spacing w:after="0"/>
              <w:rPr>
                <w:sz w:val="19"/>
                <w:szCs w:val="19"/>
                <w:color w:val="auto"/>
              </w:rPr>
            </w:pPr>
          </w:p>
        </w:tc>
        <w:tc>
          <w:tcPr>
            <w:tcW w:w="4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Long-term debt</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41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shd w:val="clear" w:color="auto" w:fill="CCEEFF"/>
          </w:tcPr>
          <w:p>
            <w:pPr>
              <w:spacing w:after="0"/>
              <w:rPr>
                <w:sz w:val="19"/>
                <w:szCs w:val="19"/>
                <w:color w:val="auto"/>
              </w:rPr>
            </w:pPr>
          </w:p>
        </w:tc>
        <w:tc>
          <w:tcPr>
            <w:tcW w:w="4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41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Net debt (Non-GAAP)</w:t>
            </w: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1,433</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Borders>
              <w:bottom w:val="single" w:sz="8" w:color="CCEEFF"/>
            </w:tcBorders>
          </w:tcPr>
          <w:p>
            <w:pPr>
              <w:spacing w:after="0" w:line="20" w:lineRule="exact"/>
              <w:rPr>
                <w:sz w:val="1"/>
                <w:szCs w:val="1"/>
                <w:color w:val="auto"/>
              </w:rPr>
            </w:pPr>
          </w:p>
        </w:tc>
        <w:tc>
          <w:tcPr>
            <w:tcW w:w="4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6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For the twelve months ended December 31, 2025</w:t>
            </w: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1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Adjusted EBITDA (Non-GAAP)</w:t>
            </w: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0" w:type="dxa"/>
            <w:vAlign w:val="bottom"/>
            <w:shd w:val="clear" w:color="auto" w:fill="CCEEFF"/>
          </w:tcPr>
          <w:p>
            <w:pPr>
              <w:spacing w:after="0"/>
              <w:rPr>
                <w:sz w:val="23"/>
                <w:szCs w:val="23"/>
                <w:color w:val="auto"/>
              </w:rPr>
            </w:pPr>
          </w:p>
        </w:tc>
        <w:tc>
          <w:tcPr>
            <w:tcW w:w="4220" w:type="dxa"/>
            <w:vAlign w:val="bottom"/>
            <w:gridSpan w:val="2"/>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2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Net Debt to Trailing Twelve Months Adjusted EBITDA</w:t>
            </w:r>
          </w:p>
        </w:tc>
        <w:tc>
          <w:tcPr>
            <w:tcW w:w="1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ind w:left="960"/>
              <w:spacing w:after="0"/>
              <w:rPr>
                <w:sz w:val="20"/>
                <w:szCs w:val="20"/>
                <w:color w:val="auto"/>
              </w:rPr>
            </w:pPr>
            <w:r>
              <w:rPr>
                <w:rFonts w:ascii="Times New Roman" w:cs="Times New Roman" w:eastAsia="Times New Roman" w:hAnsi="Times New Roman"/>
                <w:sz w:val="18"/>
                <w:szCs w:val="18"/>
                <w:b w:val="1"/>
                <w:bCs w:val="1"/>
                <w:color w:val="auto"/>
              </w:rPr>
              <w:t>2.1x</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80" w:type="dxa"/>
            <w:vAlign w:val="bottom"/>
            <w:gridSpan w:val="5"/>
            <w:vMerge w:val="restart"/>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4"/>
        </w:trPr>
        <w:tc>
          <w:tcPr>
            <w:tcW w:w="6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80" w:type="dxa"/>
            <w:vAlign w:val="bottom"/>
            <w:gridSpan w:val="5"/>
            <w:vMerge w:val="continue"/>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60" w:type="dxa"/>
            <w:vAlign w:val="bottom"/>
          </w:tcPr>
          <w:p>
            <w:pPr>
              <w:spacing w:after="0"/>
              <w:rPr>
                <w:sz w:val="18"/>
                <w:szCs w:val="18"/>
                <w:color w:val="auto"/>
              </w:rPr>
            </w:pPr>
          </w:p>
        </w:tc>
        <w:tc>
          <w:tcPr>
            <w:tcW w:w="9500" w:type="dxa"/>
            <w:vAlign w:val="bottom"/>
            <w:gridSpan w:val="11"/>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Reconciliation of Q2 2026 and FY2026 Net Income Guidance to Adjusted EBITDA Guidance</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40" w:type="dxa"/>
            <w:vAlign w:val="bottom"/>
            <w:gridSpan w:val="3"/>
          </w:tcPr>
          <w:p>
            <w:pPr>
              <w:ind w:left="580"/>
              <w:spacing w:after="0"/>
              <w:rPr>
                <w:sz w:val="20"/>
                <w:szCs w:val="20"/>
                <w:color w:val="auto"/>
              </w:rPr>
            </w:pPr>
            <w:r>
              <w:rPr>
                <w:rFonts w:ascii="Times New Roman" w:cs="Times New Roman" w:eastAsia="Times New Roman" w:hAnsi="Times New Roman"/>
                <w:sz w:val="18"/>
                <w:szCs w:val="18"/>
                <w:i w:val="1"/>
                <w:iCs w:val="1"/>
                <w:color w:val="auto"/>
              </w:rPr>
              <w:t>(amounts in millions)</w:t>
            </w: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6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8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Three Months Ended June 30, 2026</w:t>
            </w:r>
          </w:p>
        </w:tc>
        <w:tc>
          <w:tcPr>
            <w:tcW w:w="380" w:type="dxa"/>
            <w:vAlign w:val="bottom"/>
          </w:tcPr>
          <w:p>
            <w:pPr>
              <w:spacing w:after="0"/>
              <w:rPr>
                <w:sz w:val="17"/>
                <w:szCs w:val="17"/>
                <w:color w:val="auto"/>
              </w:rPr>
            </w:pPr>
          </w:p>
        </w:tc>
        <w:tc>
          <w:tcPr>
            <w:tcW w:w="3100" w:type="dxa"/>
            <w:vAlign w:val="bottom"/>
            <w:gridSpan w:val="6"/>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Year Ended December 31, 2026</w:t>
            </w:r>
          </w:p>
        </w:tc>
        <w:tc>
          <w:tcPr>
            <w:tcW w:w="0" w:type="dxa"/>
            <w:vAlign w:val="bottom"/>
          </w:tcPr>
          <w:p>
            <w:pPr>
              <w:spacing w:after="0"/>
              <w:rPr>
                <w:sz w:val="1"/>
                <w:szCs w:val="1"/>
                <w:color w:val="auto"/>
              </w:rPr>
            </w:pPr>
          </w:p>
        </w:tc>
      </w:tr>
      <w:tr>
        <w:trPr>
          <w:trHeight w:val="23"/>
        </w:trPr>
        <w:tc>
          <w:tcPr>
            <w:tcW w:w="6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gridSpan w:val="3"/>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gridSpan w:val="2"/>
          </w:tcPr>
          <w:p>
            <w:pPr>
              <w:ind w:left="560"/>
              <w:spacing w:after="0"/>
              <w:rPr>
                <w:sz w:val="20"/>
                <w:szCs w:val="20"/>
                <w:color w:val="auto"/>
              </w:rPr>
            </w:pPr>
            <w:r>
              <w:rPr>
                <w:rFonts w:ascii="Times New Roman" w:cs="Times New Roman" w:eastAsia="Times New Roman" w:hAnsi="Times New Roman"/>
                <w:sz w:val="14"/>
                <w:szCs w:val="14"/>
                <w:b w:val="1"/>
                <w:bCs w:val="1"/>
                <w:color w:val="auto"/>
              </w:rPr>
              <w:t>Low</w:t>
            </w:r>
          </w:p>
        </w:tc>
        <w:tc>
          <w:tcPr>
            <w:tcW w:w="5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High</w:t>
            </w:r>
          </w:p>
        </w:tc>
        <w:tc>
          <w:tcPr>
            <w:tcW w:w="16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Low</w:t>
            </w:r>
          </w:p>
        </w:tc>
        <w:tc>
          <w:tcPr>
            <w:tcW w:w="3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High</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(GAAP)</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w:t>
            </w:r>
          </w:p>
        </w:tc>
        <w:tc>
          <w:tcPr>
            <w:tcW w:w="14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w:t>
            </w:r>
          </w:p>
        </w:tc>
        <w:tc>
          <w:tcPr>
            <w:tcW w:w="16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331</w:t>
            </w:r>
          </w:p>
        </w:tc>
        <w:tc>
          <w:tcPr>
            <w:tcW w:w="16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0" w:type="dxa"/>
            <w:vAlign w:val="bottom"/>
          </w:tcPr>
          <w:p>
            <w:pPr>
              <w:spacing w:after="0"/>
              <w:rPr>
                <w:sz w:val="21"/>
                <w:szCs w:val="21"/>
                <w:color w:val="auto"/>
              </w:rPr>
            </w:pPr>
          </w:p>
        </w:tc>
        <w:tc>
          <w:tcPr>
            <w:tcW w:w="4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165</w:t>
            </w: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175</w:t>
            </w:r>
          </w:p>
        </w:tc>
        <w:tc>
          <w:tcPr>
            <w:tcW w:w="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660</w:t>
            </w:r>
          </w:p>
        </w:tc>
        <w:tc>
          <w:tcPr>
            <w:tcW w:w="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o"/>
      <w:numFmt w:val="bullet"/>
      <w:start w:val="1"/>
    </w:lvl>
  </w:abstractNum>
  <w:abstractNum w:abstractNumId="1">
    <w:nsid w:val="3D1B58BA"/>
    <w:multiLevelType w:val="hybridMultilevel"/>
    <w:lvl w:ilvl="0">
      <w:lvlJc w:val="left"/>
      <w:lvlText w:val="•"/>
      <w:numFmt w:val="bullet"/>
      <w:start w:val="1"/>
    </w:lvl>
    <w:lvl w:ilvl="1">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1)"/>
      <w:numFmt w:val="decimal"/>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2026-05-06T06:03:04Z</dcterms:created>
  <dcterms:modified xsi:type="dcterms:W3CDTF">2026-05-06T06:03:04Z</dcterms:modified>
</cp:coreProperties>
</file>