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November 15, 2019</w:t>
      </w:r>
    </w:p>
    <w:p>
      <w:pPr>
        <w:spacing w:after="0" w:line="42"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83820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111760</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117475</wp:posOffset>
            </wp:positionV>
            <wp:extent cx="1123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REYNOLDS CONSUMER PRODUCTS INC.</w:t>
      </w:r>
    </w:p>
    <w:p>
      <w:pPr>
        <w:spacing w:after="0" w:line="2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107950</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304"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2673</w:t>
            </w:r>
          </w:p>
        </w:tc>
        <w:tc>
          <w:tcPr>
            <w:tcW w:w="2460" w:type="dxa"/>
            <w:vAlign w:val="bottom"/>
          </w:tcPr>
          <w:p>
            <w:pPr>
              <w:jc w:val="center"/>
              <w:ind w:left="948"/>
              <w:spacing w:after="0"/>
              <w:rPr>
                <w:sz w:val="20"/>
                <w:szCs w:val="20"/>
                <w:color w:val="auto"/>
              </w:rPr>
            </w:pPr>
            <w:r>
              <w:rPr>
                <w:rFonts w:ascii="Arial" w:cs="Arial" w:eastAsia="Arial" w:hAnsi="Arial"/>
                <w:sz w:val="14"/>
                <w:szCs w:val="14"/>
                <w:b w:val="1"/>
                <w:bCs w:val="1"/>
                <w:color w:val="auto"/>
                <w:w w:val="90"/>
              </w:rPr>
              <w:t>45-3464426</w:t>
            </w:r>
          </w:p>
        </w:tc>
      </w:tr>
      <w:tr>
        <w:trPr>
          <w:trHeight w:val="149"/>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8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4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1900 W. Field Court</w:t>
      </w:r>
    </w:p>
    <w:p>
      <w:pPr>
        <w:jc w:val="center"/>
        <w:ind w:right="-179"/>
        <w:spacing w:after="0" w:line="226" w:lineRule="auto"/>
        <w:rPr>
          <w:sz w:val="20"/>
          <w:szCs w:val="20"/>
          <w:color w:val="auto"/>
        </w:rPr>
      </w:pPr>
      <w:r>
        <w:rPr>
          <w:rFonts w:ascii="Arial" w:cs="Arial" w:eastAsia="Arial" w:hAnsi="Arial"/>
          <w:sz w:val="14"/>
          <w:szCs w:val="14"/>
          <w:b w:val="1"/>
          <w:bCs w:val="1"/>
          <w:color w:val="auto"/>
        </w:rPr>
        <w:t>Lake Forest, Illinois 60045</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(800) 879-5067</w:t>
      </w:r>
    </w:p>
    <w:p>
      <w:pPr>
        <w:jc w:val="center"/>
        <w:ind w:right="-179"/>
        <w:spacing w:after="0" w:line="221" w:lineRule="auto"/>
        <w:rPr>
          <w:sz w:val="20"/>
          <w:szCs w:val="20"/>
          <w:color w:val="auto"/>
        </w:rPr>
      </w:pPr>
      <w:r>
        <w:rPr>
          <w:rFonts w:ascii="Arial" w:cs="Arial" w:eastAsia="Arial" w:hAnsi="Arial"/>
          <w:sz w:val="14"/>
          <w:szCs w:val="14"/>
          <w:b w:val="1"/>
          <w:bCs w:val="1"/>
          <w:color w:val="auto"/>
        </w:rPr>
        <w:t>Facsimile: (847) 482-7742</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90805</wp:posOffset>
            </wp:positionV>
            <wp:extent cx="1123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David Watson</w:t>
      </w:r>
    </w:p>
    <w:p>
      <w:pPr>
        <w:jc w:val="center"/>
        <w:ind w:right="-179"/>
        <w:spacing w:after="0" w:line="226" w:lineRule="auto"/>
        <w:rPr>
          <w:sz w:val="20"/>
          <w:szCs w:val="20"/>
          <w:color w:val="auto"/>
        </w:rPr>
      </w:pPr>
      <w:r>
        <w:rPr>
          <w:rFonts w:ascii="Arial" w:cs="Arial" w:eastAsia="Arial" w:hAnsi="Arial"/>
          <w:sz w:val="14"/>
          <w:szCs w:val="14"/>
          <w:b w:val="1"/>
          <w:bCs w:val="1"/>
          <w:color w:val="auto"/>
        </w:rPr>
        <w:t>General Counsel</w:t>
      </w:r>
    </w:p>
    <w:p>
      <w:pPr>
        <w:jc w:val="center"/>
        <w:ind w:right="-179"/>
        <w:spacing w:after="0" w:line="222" w:lineRule="auto"/>
        <w:rPr>
          <w:sz w:val="20"/>
          <w:szCs w:val="20"/>
          <w:color w:val="auto"/>
        </w:rPr>
      </w:pPr>
      <w:r>
        <w:rPr>
          <w:rFonts w:ascii="Arial" w:cs="Arial" w:eastAsia="Arial" w:hAnsi="Arial"/>
          <w:sz w:val="14"/>
          <w:szCs w:val="14"/>
          <w:b w:val="1"/>
          <w:bCs w:val="1"/>
          <w:color w:val="auto"/>
        </w:rPr>
        <w:t>1900 W. Field Court</w:t>
      </w:r>
    </w:p>
    <w:p>
      <w:pPr>
        <w:jc w:val="center"/>
        <w:ind w:right="-179"/>
        <w:spacing w:after="0" w:line="221" w:lineRule="auto"/>
        <w:rPr>
          <w:sz w:val="20"/>
          <w:szCs w:val="20"/>
          <w:color w:val="auto"/>
        </w:rPr>
      </w:pPr>
      <w:r>
        <w:rPr>
          <w:rFonts w:ascii="Arial" w:cs="Arial" w:eastAsia="Arial" w:hAnsi="Arial"/>
          <w:sz w:val="14"/>
          <w:szCs w:val="14"/>
          <w:b w:val="1"/>
          <w:bCs w:val="1"/>
          <w:color w:val="auto"/>
        </w:rPr>
        <w:t>Lake Forest, Illinois 60045</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(800) 879-5067</w:t>
      </w:r>
    </w:p>
    <w:p>
      <w:pPr>
        <w:jc w:val="center"/>
        <w:ind w:right="-179"/>
        <w:spacing w:after="0" w:line="221" w:lineRule="auto"/>
        <w:rPr>
          <w:sz w:val="20"/>
          <w:szCs w:val="20"/>
          <w:color w:val="auto"/>
        </w:rPr>
      </w:pPr>
      <w:r>
        <w:rPr>
          <w:rFonts w:ascii="Arial" w:cs="Arial" w:eastAsia="Arial" w:hAnsi="Arial"/>
          <w:sz w:val="14"/>
          <w:szCs w:val="14"/>
          <w:b w:val="1"/>
          <w:bCs w:val="1"/>
          <w:color w:val="auto"/>
        </w:rPr>
        <w:t>Facsimile: (847) 482-7742</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107950</wp:posOffset>
            </wp:positionV>
            <wp:extent cx="1123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99" w:lineRule="exact"/>
        <w:rPr>
          <w:sz w:val="24"/>
          <w:szCs w:val="24"/>
          <w:color w:val="auto"/>
        </w:rPr>
      </w:pPr>
    </w:p>
    <w:tbl>
      <w:tblPr>
        <w:tblLayout w:type="fixed"/>
        <w:tblInd w:w="214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494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52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Michael Kaplan, Esq.</w:t>
            </w:r>
          </w:p>
        </w:tc>
        <w:tc>
          <w:tcPr>
            <w:tcW w:w="4940" w:type="dxa"/>
            <w:vAlign w:val="bottom"/>
          </w:tcPr>
          <w:p>
            <w:pPr>
              <w:jc w:val="center"/>
              <w:ind w:left="2948"/>
              <w:spacing w:after="0"/>
              <w:rPr>
                <w:sz w:val="20"/>
                <w:szCs w:val="20"/>
                <w:color w:val="auto"/>
              </w:rPr>
            </w:pPr>
            <w:r>
              <w:rPr>
                <w:rFonts w:ascii="Arial" w:cs="Arial" w:eastAsia="Arial" w:hAnsi="Arial"/>
                <w:sz w:val="14"/>
                <w:szCs w:val="14"/>
                <w:b w:val="1"/>
                <w:bCs w:val="1"/>
                <w:color w:val="auto"/>
                <w:w w:val="94"/>
              </w:rPr>
              <w:t>Craig F. Arcella, Esq.</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Byron B. Rooney, Esq.</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2"/>
              </w:rPr>
              <w:t>Joseph D. Zavaglia, Esq.</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6"/>
              </w:rPr>
              <w:t>Cravath, Swaine &amp; Moore LLP</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450 Lexington Avenue</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Worldwide Plaza</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2"/>
              </w:rPr>
              <w:t>825 Eighth Avenue</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(212) 450-4000</w:t>
            </w:r>
          </w:p>
        </w:tc>
        <w:tc>
          <w:tcPr>
            <w:tcW w:w="494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New York, New York 10019</w:t>
            </w:r>
          </w:p>
        </w:tc>
      </w:tr>
      <w:tr>
        <w:trPr>
          <w:trHeight w:val="186"/>
        </w:trPr>
        <w:tc>
          <w:tcPr>
            <w:tcW w:w="2520" w:type="dxa"/>
            <w:vAlign w:val="bottom"/>
          </w:tcPr>
          <w:p>
            <w:pPr>
              <w:spacing w:after="0"/>
              <w:rPr>
                <w:sz w:val="16"/>
                <w:szCs w:val="16"/>
                <w:color w:val="auto"/>
              </w:rPr>
            </w:pPr>
          </w:p>
        </w:tc>
        <w:tc>
          <w:tcPr>
            <w:tcW w:w="4940" w:type="dxa"/>
            <w:vAlign w:val="bottom"/>
          </w:tcPr>
          <w:p>
            <w:pPr>
              <w:jc w:val="center"/>
              <w:ind w:left="2928"/>
              <w:spacing w:after="0"/>
              <w:rPr>
                <w:sz w:val="20"/>
                <w:szCs w:val="20"/>
                <w:color w:val="auto"/>
              </w:rPr>
            </w:pPr>
            <w:r>
              <w:rPr>
                <w:rFonts w:ascii="Arial" w:cs="Arial" w:eastAsia="Arial" w:hAnsi="Arial"/>
                <w:sz w:val="14"/>
                <w:szCs w:val="14"/>
                <w:b w:val="1"/>
                <w:bCs w:val="1"/>
                <w:color w:val="auto"/>
                <w:w w:val="93"/>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67945</wp:posOffset>
            </wp:positionV>
            <wp:extent cx="1123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31"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46" w:lineRule="exact"/>
        <w:rPr>
          <w:sz w:val="24"/>
          <w:szCs w:val="24"/>
          <w:color w:val="auto"/>
        </w:rPr>
      </w:pPr>
    </w:p>
    <w:p>
      <w:pPr>
        <w:ind w:left="200" w:right="360" w:firstLine="44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20" w:firstLine="44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0" w:firstLine="44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0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200" w:right="60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100965</wp:posOffset>
            </wp:positionV>
            <wp:extent cx="1123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125"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62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80" w:type="dxa"/>
            <w:vAlign w:val="bottom"/>
            <w:tcBorders>
              <w:right w:val="single" w:sz="8" w:color="auto"/>
            </w:tcBorders>
          </w:tcPr>
          <w:p>
            <w:pPr>
              <w:jc w:val="center"/>
              <w:ind w:right="1193"/>
              <w:spacing w:after="0" w:line="117" w:lineRule="exact"/>
              <w:rPr>
                <w:sz w:val="20"/>
                <w:szCs w:val="20"/>
                <w:color w:val="auto"/>
              </w:rPr>
            </w:pPr>
            <w:r>
              <w:rPr>
                <w:rFonts w:ascii="Arial" w:cs="Arial" w:eastAsia="Arial" w:hAnsi="Arial"/>
                <w:sz w:val="12"/>
                <w:szCs w:val="12"/>
                <w:b w:val="1"/>
                <w:bCs w:val="1"/>
                <w:color w:val="auto"/>
              </w:rPr>
              <w:t>Title Of Each Class Of</w:t>
            </w:r>
          </w:p>
        </w:tc>
        <w:tc>
          <w:tcPr>
            <w:tcW w:w="1780" w:type="dxa"/>
            <w:vAlign w:val="bottom"/>
            <w:tcBorders>
              <w:right w:val="single" w:sz="8" w:color="auto"/>
            </w:tcBorders>
          </w:tcPr>
          <w:p>
            <w:pPr>
              <w:jc w:val="center"/>
              <w:ind w:left="13"/>
              <w:spacing w:after="0" w:line="117" w:lineRule="exact"/>
              <w:rPr>
                <w:sz w:val="20"/>
                <w:szCs w:val="20"/>
                <w:color w:val="auto"/>
              </w:rPr>
            </w:pPr>
            <w:r>
              <w:rPr>
                <w:rFonts w:ascii="Arial" w:cs="Arial" w:eastAsia="Arial" w:hAnsi="Arial"/>
                <w:sz w:val="12"/>
                <w:szCs w:val="12"/>
                <w:b w:val="1"/>
                <w:bCs w:val="1"/>
                <w:color w:val="auto"/>
                <w:w w:val="97"/>
              </w:rPr>
              <w:t>Proposed</w:t>
            </w:r>
          </w:p>
        </w:tc>
        <w:tc>
          <w:tcPr>
            <w:tcW w:w="17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80" w:type="dxa"/>
            <w:vAlign w:val="bottom"/>
            <w:tcBorders>
              <w:right w:val="single" w:sz="8" w:color="auto"/>
            </w:tcBorders>
          </w:tcPr>
          <w:p>
            <w:pPr>
              <w:jc w:val="center"/>
              <w:ind w:right="1193"/>
              <w:spacing w:after="0" w:line="149" w:lineRule="exact"/>
              <w:rPr>
                <w:sz w:val="20"/>
                <w:szCs w:val="20"/>
                <w:color w:val="auto"/>
              </w:rPr>
            </w:pPr>
            <w:r>
              <w:rPr>
                <w:rFonts w:ascii="Arial" w:cs="Arial" w:eastAsia="Arial" w:hAnsi="Arial"/>
                <w:sz w:val="14"/>
                <w:szCs w:val="14"/>
                <w:b w:val="1"/>
                <w:bCs w:val="1"/>
                <w:color w:val="auto"/>
                <w:w w:val="85"/>
              </w:rPr>
              <w:t>Securities To Be</w:t>
            </w:r>
          </w:p>
        </w:tc>
        <w:tc>
          <w:tcPr>
            <w:tcW w:w="178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88"/>
              </w:rPr>
              <w:t>Maximum Aggregate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80" w:type="dxa"/>
            <w:vAlign w:val="bottom"/>
            <w:tcBorders>
              <w:bottom w:val="single" w:sz="8" w:color="auto"/>
              <w:right w:val="single" w:sz="8" w:color="auto"/>
            </w:tcBorders>
          </w:tcPr>
          <w:p>
            <w:pPr>
              <w:jc w:val="center"/>
              <w:ind w:right="1193"/>
              <w:spacing w:after="0"/>
              <w:rPr>
                <w:sz w:val="20"/>
                <w:szCs w:val="20"/>
                <w:color w:val="auto"/>
              </w:rPr>
            </w:pPr>
            <w:r>
              <w:rPr>
                <w:rFonts w:ascii="Arial" w:cs="Arial" w:eastAsia="Arial" w:hAnsi="Arial"/>
                <w:sz w:val="14"/>
                <w:szCs w:val="14"/>
                <w:b w:val="1"/>
                <w:bCs w:val="1"/>
                <w:color w:val="auto"/>
                <w:w w:val="85"/>
              </w:rPr>
              <w:t>Registered</w:t>
            </w:r>
          </w:p>
        </w:tc>
        <w:tc>
          <w:tcPr>
            <w:tcW w:w="178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Offering Price(2)</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750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par value $0.001 per share(1)</w:t>
            </w: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$100,000,000</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$12,980</w:t>
            </w:r>
          </w:p>
        </w:tc>
      </w:tr>
      <w:tr>
        <w:trPr>
          <w:trHeight w:val="20"/>
        </w:trPr>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color w:val="auto"/>
              </w:rPr>
              <w:t>(1)</w:t>
            </w:r>
          </w:p>
        </w:tc>
        <w:tc>
          <w:tcPr>
            <w:tcW w:w="940" w:type="dxa"/>
            <w:vAlign w:val="bottom"/>
            <w:tcBorders>
              <w:top w:val="single" w:sz="8" w:color="auto"/>
            </w:tcBorders>
          </w:tcPr>
          <w:p>
            <w:pPr>
              <w:ind w:left="140"/>
              <w:spacing w:after="0" w:line="136" w:lineRule="exact"/>
              <w:rPr>
                <w:sz w:val="20"/>
                <w:szCs w:val="20"/>
                <w:color w:val="auto"/>
              </w:rPr>
            </w:pPr>
            <w:r>
              <w:rPr>
                <w:rFonts w:ascii="Arial" w:cs="Arial" w:eastAsia="Arial" w:hAnsi="Arial"/>
                <w:sz w:val="14"/>
                <w:szCs w:val="14"/>
                <w:color w:val="auto"/>
              </w:rPr>
              <w:t>Includes</w:t>
            </w:r>
          </w:p>
        </w:tc>
        <w:tc>
          <w:tcPr>
            <w:tcW w:w="6280" w:type="dxa"/>
            <w:vAlign w:val="bottom"/>
            <w:tcBorders>
              <w:top w:val="single" w:sz="8" w:color="auto"/>
            </w:tcBorders>
          </w:tcPr>
          <w:p>
            <w:pPr>
              <w:ind w:left="340"/>
              <w:spacing w:after="0" w:line="136" w:lineRule="exact"/>
              <w:rPr>
                <w:sz w:val="20"/>
                <w:szCs w:val="20"/>
                <w:color w:val="auto"/>
              </w:rPr>
            </w:pPr>
            <w:r>
              <w:rPr>
                <w:rFonts w:ascii="Arial" w:cs="Arial" w:eastAsia="Arial" w:hAnsi="Arial"/>
                <w:sz w:val="14"/>
                <w:szCs w:val="14"/>
                <w:color w:val="auto"/>
              </w:rPr>
              <w:t>shares which the underwriters have the right to purchase to cover over-allotments.</w:t>
            </w:r>
          </w:p>
        </w:tc>
        <w:tc>
          <w:tcPr>
            <w:tcW w:w="17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r>
    </w:tbl>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73660</wp:posOffset>
            </wp:positionV>
            <wp:extent cx="1123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41" w:lineRule="exact"/>
        <w:rPr>
          <w:sz w:val="24"/>
          <w:szCs w:val="24"/>
          <w:color w:val="auto"/>
        </w:rPr>
      </w:pPr>
    </w:p>
    <w:p>
      <w:pPr>
        <w:ind w:left="200" w:right="420" w:firstLine="44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596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1990" cy="9596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596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1990" cy="9596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274320</wp:posOffset>
            </wp:positionV>
            <wp:extent cx="1123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240" w:type="dxa"/>
            <w:vAlign w:val="bottom"/>
            <w:gridSpan w:val="23"/>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40" w:type="dxa"/>
            <w:vAlign w:val="bottom"/>
            <w:gridSpan w:val="23"/>
            <w:vMerge w:val="continue"/>
          </w:tcPr>
          <w:p>
            <w:pPr>
              <w:spacing w:after="0"/>
              <w:rPr>
                <w:sz w:val="13"/>
                <w:szCs w:val="13"/>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680" w:type="dxa"/>
            <w:vAlign w:val="bottom"/>
            <w:tcBorders>
              <w:top w:val="single" w:sz="8" w:color="0000EE"/>
            </w:tcBorders>
            <w:gridSpan w:val="6"/>
          </w:tcPr>
          <w:p>
            <w:pPr>
              <w:spacing w:after="0"/>
              <w:rPr>
                <w:sz w:val="18"/>
                <w:szCs w:val="18"/>
                <w:color w:val="auto"/>
              </w:rPr>
            </w:pPr>
          </w:p>
        </w:tc>
        <w:tc>
          <w:tcPr>
            <w:tcW w:w="84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S</w:t>
              </w:r>
              <w:r>
                <w:rPr>
                  <w:rFonts w:ascii="Arial" w:cs="Arial" w:eastAsia="Arial" w:hAnsi="Arial"/>
                  <w:sz w:val="15"/>
                  <w:szCs w:val="15"/>
                  <w:color w:val="0000EE"/>
                  <w:w w:val="95"/>
                </w:rPr>
                <w:t>PECIAL</w:t>
              </w:r>
              <w:r>
                <w:rPr>
                  <w:rFonts w:ascii="Arial" w:cs="Arial" w:eastAsia="Arial" w:hAnsi="Arial"/>
                  <w:sz w:val="18"/>
                  <w:szCs w:val="18"/>
                  <w:color w:val="0000EE"/>
                  <w:w w:val="95"/>
                </w:rPr>
                <w:t xml:space="preserve"> N</w:t>
              </w:r>
              <w:r>
                <w:rPr>
                  <w:rFonts w:ascii="Arial" w:cs="Arial" w:eastAsia="Arial" w:hAnsi="Arial"/>
                  <w:sz w:val="15"/>
                  <w:szCs w:val="15"/>
                  <w:color w:val="0000EE"/>
                  <w:w w:val="95"/>
                </w:rPr>
                <w:t>OTE</w:t>
              </w:r>
              <w:r>
                <w:rPr>
                  <w:rFonts w:ascii="Arial" w:cs="Arial" w:eastAsia="Arial" w:hAnsi="Arial"/>
                  <w:sz w:val="18"/>
                  <w:szCs w:val="18"/>
                  <w:color w:val="0000EE"/>
                  <w:w w:val="95"/>
                </w:rPr>
                <w:t xml:space="preserve"> R</w:t>
              </w:r>
              <w:r>
                <w:rPr>
                  <w:rFonts w:ascii="Arial" w:cs="Arial" w:eastAsia="Arial" w:hAnsi="Arial"/>
                  <w:sz w:val="15"/>
                  <w:szCs w:val="15"/>
                  <w:color w:val="0000EE"/>
                  <w:w w:val="95"/>
                </w:rPr>
                <w:t>EGARDING</w:t>
              </w:r>
              <w:r>
                <w:rPr>
                  <w:rFonts w:ascii="Arial" w:cs="Arial" w:eastAsia="Arial" w:hAnsi="Arial"/>
                  <w:sz w:val="18"/>
                  <w:szCs w:val="18"/>
                  <w:color w:val="0000EE"/>
                  <w:w w:val="95"/>
                </w:rPr>
                <w:t xml:space="preserve"> F</w:t>
              </w:r>
              <w:r>
                <w:rPr>
                  <w:rFonts w:ascii="Arial" w:cs="Arial" w:eastAsia="Arial" w:hAnsi="Arial"/>
                  <w:sz w:val="15"/>
                  <w:szCs w:val="15"/>
                  <w:color w:val="0000EE"/>
                  <w:w w:val="95"/>
                </w:rPr>
                <w:t>ORWARD</w:t>
              </w:r>
              <w:r>
                <w:rPr>
                  <w:rFonts w:ascii="Arial" w:cs="Arial" w:eastAsia="Arial" w:hAnsi="Arial"/>
                  <w:sz w:val="18"/>
                  <w:szCs w:val="18"/>
                  <w:color w:val="0000EE"/>
                  <w:w w:val="95"/>
                </w:rPr>
                <w:t xml:space="preserve"> -L</w:t>
              </w:r>
              <w:r>
                <w:rPr>
                  <w:rFonts w:ascii="Arial" w:cs="Arial" w:eastAsia="Arial" w:hAnsi="Arial"/>
                  <w:sz w:val="15"/>
                  <w:szCs w:val="15"/>
                  <w:color w:val="0000EE"/>
                  <w:w w:val="95"/>
                </w:rPr>
                <w:t>OOKING</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TATEMENTS</w:t>
              </w:r>
            </w:hyperlink>
          </w:p>
        </w:tc>
        <w:tc>
          <w:tcPr>
            <w:tcW w:w="56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8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C</w:t>
              </w:r>
              <w:r>
                <w:rPr>
                  <w:rFonts w:ascii="Arial" w:cs="Arial" w:eastAsia="Arial" w:hAnsi="Arial"/>
                  <w:sz w:val="15"/>
                  <w:szCs w:val="15"/>
                  <w:color w:val="0000EE"/>
                  <w:w w:val="98"/>
                </w:rPr>
                <w:t>APITALIZATION</w:t>
              </w:r>
            </w:hyperlink>
          </w:p>
        </w:tc>
        <w:tc>
          <w:tcPr>
            <w:tcW w:w="120" w:type="dxa"/>
            <w:vAlign w:val="bottom"/>
            <w:tcBorders>
              <w:top w:val="single" w:sz="8" w:color="0000EE"/>
            </w:tcBorders>
            <w:gridSpan w:val="2"/>
          </w:tcPr>
          <w:p>
            <w:pPr>
              <w:spacing w:after="0"/>
              <w:rPr>
                <w:sz w:val="17"/>
                <w:szCs w:val="17"/>
                <w:color w:val="auto"/>
              </w:rPr>
            </w:pPr>
          </w:p>
        </w:tc>
        <w:tc>
          <w:tcPr>
            <w:tcW w:w="888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948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w:t>
              </w:r>
              <w:r>
                <w:rPr>
                  <w:rFonts w:ascii="Arial" w:cs="Arial" w:eastAsia="Arial" w:hAnsi="Arial"/>
                  <w:sz w:val="15"/>
                  <w:szCs w:val="15"/>
                  <w:color w:val="0000EE"/>
                </w:rPr>
                <w:t>ELECTED</w:t>
              </w:r>
              <w:r>
                <w:rPr>
                  <w:rFonts w:ascii="Arial" w:cs="Arial" w:eastAsia="Arial" w:hAnsi="Arial"/>
                  <w:sz w:val="18"/>
                  <w:szCs w:val="18"/>
                  <w:color w:val="0000EE"/>
                </w:rPr>
                <w:t xml:space="preserve"> H</w:t>
              </w:r>
              <w:r>
                <w:rPr>
                  <w:rFonts w:ascii="Arial" w:cs="Arial" w:eastAsia="Arial" w:hAnsi="Arial"/>
                  <w:sz w:val="15"/>
                  <w:szCs w:val="15"/>
                  <w:color w:val="0000EE"/>
                </w:rPr>
                <w:t>ISTORICAL</w:t>
              </w:r>
              <w:r>
                <w:rPr>
                  <w:rFonts w:ascii="Arial" w:cs="Arial" w:eastAsia="Arial" w:hAnsi="Arial"/>
                  <w:sz w:val="18"/>
                  <w:szCs w:val="18"/>
                  <w:color w:val="0000EE"/>
                </w:rPr>
                <w:t xml:space="preserve"> C</w:t>
              </w:r>
              <w:r>
                <w:rPr>
                  <w:rFonts w:ascii="Arial" w:cs="Arial" w:eastAsia="Arial" w:hAnsi="Arial"/>
                  <w:sz w:val="15"/>
                  <w:szCs w:val="15"/>
                  <w:color w:val="0000EE"/>
                </w:rPr>
                <w:t>OMBINED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U</w:t>
              </w:r>
              <w:r>
                <w:rPr>
                  <w:rFonts w:ascii="Arial" w:cs="Arial" w:eastAsia="Arial" w:hAnsi="Arial"/>
                  <w:sz w:val="15"/>
                  <w:szCs w:val="15"/>
                  <w:color w:val="0000EE"/>
                  <w:w w:val="97"/>
                </w:rPr>
                <w:t>NAUDITED</w:t>
              </w:r>
              <w:r>
                <w:rPr>
                  <w:rFonts w:ascii="Arial" w:cs="Arial" w:eastAsia="Arial" w:hAnsi="Arial"/>
                  <w:sz w:val="18"/>
                  <w:szCs w:val="18"/>
                  <w:color w:val="0000EE"/>
                  <w:w w:val="97"/>
                </w:rPr>
                <w:t xml:space="preserve"> P</w:t>
              </w:r>
              <w:r>
                <w:rPr>
                  <w:rFonts w:ascii="Arial" w:cs="Arial" w:eastAsia="Arial" w:hAnsi="Arial"/>
                  <w:sz w:val="15"/>
                  <w:szCs w:val="15"/>
                  <w:color w:val="0000EE"/>
                  <w:w w:val="97"/>
                </w:rPr>
                <w:t>RO</w:t>
              </w:r>
              <w:r>
                <w:rPr>
                  <w:rFonts w:ascii="Arial" w:cs="Arial" w:eastAsia="Arial" w:hAnsi="Arial"/>
                  <w:sz w:val="18"/>
                  <w:szCs w:val="18"/>
                  <w:color w:val="0000EE"/>
                  <w:w w:val="97"/>
                </w:rPr>
                <w:t xml:space="preserve"> F</w:t>
              </w:r>
              <w:r>
                <w:rPr>
                  <w:rFonts w:ascii="Arial" w:cs="Arial" w:eastAsia="Arial" w:hAnsi="Arial"/>
                  <w:sz w:val="15"/>
                  <w:szCs w:val="15"/>
                  <w:color w:val="0000EE"/>
                  <w:w w:val="97"/>
                </w:rPr>
                <w:t>ORMA</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D</w:t>
              </w:r>
              <w:r>
                <w:rPr>
                  <w:rFonts w:ascii="Arial" w:cs="Arial" w:eastAsia="Arial" w:hAnsi="Arial"/>
                  <w:sz w:val="15"/>
                  <w:szCs w:val="15"/>
                  <w:color w:val="0000EE"/>
                  <w:w w:val="97"/>
                </w:rPr>
                <w:t>ATA</w:t>
              </w:r>
            </w:hyperlink>
          </w:p>
        </w:tc>
        <w:tc>
          <w:tcPr>
            <w:tcW w:w="620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M</w:t>
              </w:r>
              <w:r>
                <w:rPr>
                  <w:rFonts w:ascii="Arial" w:cs="Arial" w:eastAsia="Arial" w:hAnsi="Arial"/>
                  <w:sz w:val="15"/>
                  <w:szCs w:val="15"/>
                  <w:color w:val="0000EE"/>
                  <w:w w:val="97"/>
                </w:rPr>
                <w:t>ANAGEMENT</w:t>
              </w:r>
              <w:r>
                <w:rPr>
                  <w:rFonts w:ascii="Arial" w:cs="Arial" w:eastAsia="Arial" w:hAnsi="Arial"/>
                  <w:sz w:val="18"/>
                  <w:szCs w:val="18"/>
                  <w:color w:val="0000EE"/>
                  <w:w w:val="97"/>
                </w:rPr>
                <w:t>’</w:t>
              </w:r>
              <w:r>
                <w:rPr>
                  <w:rFonts w:ascii="Arial" w:cs="Arial" w:eastAsia="Arial" w:hAnsi="Arial"/>
                  <w:sz w:val="15"/>
                  <w:szCs w:val="15"/>
                  <w:color w:val="0000EE"/>
                  <w:w w:val="97"/>
                </w:rPr>
                <w:t>S</w:t>
              </w:r>
              <w:r>
                <w:rPr>
                  <w:rFonts w:ascii="Arial" w:cs="Arial" w:eastAsia="Arial" w:hAnsi="Arial"/>
                  <w:sz w:val="18"/>
                  <w:szCs w:val="18"/>
                  <w:color w:val="0000EE"/>
                  <w:w w:val="97"/>
                </w:rPr>
                <w:t xml:space="preserve"> D</w:t>
              </w:r>
              <w:r>
                <w:rPr>
                  <w:rFonts w:ascii="Arial" w:cs="Arial" w:eastAsia="Arial" w:hAnsi="Arial"/>
                  <w:sz w:val="15"/>
                  <w:szCs w:val="15"/>
                  <w:color w:val="0000EE"/>
                  <w:w w:val="97"/>
                </w:rPr>
                <w:t>ISCUSSION AND</w:t>
              </w:r>
              <w:r>
                <w:rPr>
                  <w:rFonts w:ascii="Arial" w:cs="Arial" w:eastAsia="Arial" w:hAnsi="Arial"/>
                  <w:sz w:val="18"/>
                  <w:szCs w:val="18"/>
                  <w:color w:val="0000EE"/>
                  <w:w w:val="97"/>
                </w:rPr>
                <w:t xml:space="preserve"> A</w:t>
              </w:r>
              <w:r>
                <w:rPr>
                  <w:rFonts w:ascii="Arial" w:cs="Arial" w:eastAsia="Arial" w:hAnsi="Arial"/>
                  <w:sz w:val="15"/>
                  <w:szCs w:val="15"/>
                  <w:color w:val="0000EE"/>
                  <w:w w:val="97"/>
                </w:rPr>
                <w:t>NALYSIS OF</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C</w:t>
              </w:r>
              <w:r>
                <w:rPr>
                  <w:rFonts w:ascii="Arial" w:cs="Arial" w:eastAsia="Arial" w:hAnsi="Arial"/>
                  <w:sz w:val="15"/>
                  <w:szCs w:val="15"/>
                  <w:color w:val="0000EE"/>
                  <w:w w:val="97"/>
                </w:rPr>
                <w:t>ONDITION AND</w:t>
              </w:r>
              <w:r>
                <w:rPr>
                  <w:rFonts w:ascii="Arial" w:cs="Arial" w:eastAsia="Arial" w:hAnsi="Arial"/>
                  <w:sz w:val="18"/>
                  <w:szCs w:val="18"/>
                  <w:color w:val="0000EE"/>
                  <w:w w:val="97"/>
                </w:rPr>
                <w:t xml:space="preserve"> R</w:t>
              </w:r>
              <w:r>
                <w:rPr>
                  <w:rFonts w:ascii="Arial" w:cs="Arial" w:eastAsia="Arial" w:hAnsi="Arial"/>
                  <w:sz w:val="15"/>
                  <w:szCs w:val="15"/>
                  <w:color w:val="0000EE"/>
                  <w:w w:val="97"/>
                </w:rPr>
                <w:t>ESULTS OF</w:t>
              </w:r>
              <w:r>
                <w:rPr>
                  <w:rFonts w:ascii="Arial" w:cs="Arial" w:eastAsia="Arial" w:hAnsi="Arial"/>
                  <w:sz w:val="18"/>
                  <w:szCs w:val="18"/>
                  <w:color w:val="0000EE"/>
                  <w:w w:val="97"/>
                </w:rPr>
                <w:t xml:space="preserve"> O</w:t>
              </w:r>
              <w:r>
                <w:rPr>
                  <w:rFonts w:ascii="Arial" w:cs="Arial" w:eastAsia="Arial" w:hAnsi="Arial"/>
                  <w:sz w:val="15"/>
                  <w:szCs w:val="15"/>
                  <w:color w:val="0000EE"/>
                  <w:w w:val="97"/>
                </w:rPr>
                <w:t>PERATIONS</w:t>
              </w:r>
            </w:hyperlink>
          </w:p>
        </w:tc>
        <w:tc>
          <w:tcPr>
            <w:tcW w:w="25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B</w:t>
              </w:r>
              <w:r>
                <w:rPr>
                  <w:rFonts w:ascii="Arial" w:cs="Arial" w:eastAsia="Arial" w:hAnsi="Arial"/>
                  <w:sz w:val="15"/>
                  <w:szCs w:val="15"/>
                  <w:color w:val="0000EE"/>
                  <w:w w:val="92"/>
                </w:rPr>
                <w:t>USINESS</w:t>
              </w:r>
            </w:hyperlink>
          </w:p>
        </w:tc>
        <w:tc>
          <w:tcPr>
            <w:tcW w:w="950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M</w:t>
              </w:r>
              <w:r>
                <w:rPr>
                  <w:rFonts w:ascii="Arial" w:cs="Arial" w:eastAsia="Arial" w:hAnsi="Arial"/>
                  <w:sz w:val="15"/>
                  <w:szCs w:val="15"/>
                  <w:color w:val="0000EE"/>
                  <w:w w:val="99"/>
                </w:rPr>
                <w:t>ANAGEMENT</w:t>
              </w:r>
            </w:hyperlink>
          </w:p>
        </w:tc>
        <w:tc>
          <w:tcPr>
            <w:tcW w:w="912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C</w:t>
              </w:r>
              <w:r>
                <w:rPr>
                  <w:rFonts w:ascii="Arial" w:cs="Arial" w:eastAsia="Arial" w:hAnsi="Arial"/>
                  <w:sz w:val="15"/>
                  <w:szCs w:val="15"/>
                  <w:color w:val="0000EE"/>
                </w:rPr>
                <w:t>OMPENSATION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554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55">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776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61">
              <w:r>
                <w:rPr>
                  <w:rFonts w:ascii="Arial" w:cs="Arial" w:eastAsia="Arial" w:hAnsi="Arial"/>
                  <w:sz w:val="18"/>
                  <w:szCs w:val="18"/>
                  <w:color w:val="0000EE"/>
                  <w:w w:val="95"/>
                </w:rPr>
                <w:t>M</w:t>
              </w:r>
              <w:r>
                <w:rPr>
                  <w:rFonts w:ascii="Arial" w:cs="Arial" w:eastAsia="Arial" w:hAnsi="Arial"/>
                  <w:sz w:val="15"/>
                  <w:szCs w:val="15"/>
                  <w:color w:val="0000EE"/>
                  <w:w w:val="95"/>
                </w:rPr>
                <w:t>ATERIAL</w:t>
              </w:r>
              <w:r>
                <w:rPr>
                  <w:rFonts w:ascii="Arial" w:cs="Arial" w:eastAsia="Arial" w:hAnsi="Arial"/>
                  <w:sz w:val="18"/>
                  <w:szCs w:val="18"/>
                  <w:color w:val="0000EE"/>
                  <w:w w:val="95"/>
                </w:rPr>
                <w:t xml:space="preserve"> U.S. F</w:t>
              </w:r>
              <w:r>
                <w:rPr>
                  <w:rFonts w:ascii="Arial" w:cs="Arial" w:eastAsia="Arial" w:hAnsi="Arial"/>
                  <w:sz w:val="15"/>
                  <w:szCs w:val="15"/>
                  <w:color w:val="0000EE"/>
                  <w:w w:val="95"/>
                </w:rPr>
                <w:t>EDERAL</w:t>
              </w:r>
              <w:r>
                <w:rPr>
                  <w:rFonts w:ascii="Arial" w:cs="Arial" w:eastAsia="Arial" w:hAnsi="Arial"/>
                  <w:sz w:val="18"/>
                  <w:szCs w:val="18"/>
                  <w:color w:val="0000EE"/>
                  <w:w w:val="95"/>
                </w:rPr>
                <w:t xml:space="preserve"> T</w:t>
              </w:r>
              <w:r>
                <w:rPr>
                  <w:rFonts w:ascii="Arial" w:cs="Arial" w:eastAsia="Arial" w:hAnsi="Arial"/>
                  <w:sz w:val="15"/>
                  <w:szCs w:val="15"/>
                  <w:color w:val="0000EE"/>
                  <w:w w:val="95"/>
                </w:rPr>
                <w:t>AX</w:t>
              </w:r>
              <w:r>
                <w:rPr>
                  <w:rFonts w:ascii="Arial" w:cs="Arial" w:eastAsia="Arial" w:hAnsi="Arial"/>
                  <w:sz w:val="18"/>
                  <w:szCs w:val="18"/>
                  <w:color w:val="0000EE"/>
                  <w:w w:val="95"/>
                </w:rPr>
                <w:t xml:space="preserve"> C</w:t>
              </w:r>
              <w:r>
                <w:rPr>
                  <w:rFonts w:ascii="Arial" w:cs="Arial" w:eastAsia="Arial" w:hAnsi="Arial"/>
                  <w:sz w:val="15"/>
                  <w:szCs w:val="15"/>
                  <w:color w:val="0000EE"/>
                  <w:w w:val="95"/>
                </w:rPr>
                <w:t>ONSIDERATIONS FOR</w:t>
              </w:r>
              <w:r>
                <w:rPr>
                  <w:rFonts w:ascii="Arial" w:cs="Arial" w:eastAsia="Arial" w:hAnsi="Arial"/>
                  <w:sz w:val="18"/>
                  <w:szCs w:val="18"/>
                  <w:color w:val="0000EE"/>
                  <w:w w:val="95"/>
                </w:rPr>
                <w:t xml:space="preserve"> N</w:t>
              </w:r>
              <w:r>
                <w:rPr>
                  <w:rFonts w:ascii="Arial" w:cs="Arial" w:eastAsia="Arial" w:hAnsi="Arial"/>
                  <w:sz w:val="15"/>
                  <w:szCs w:val="15"/>
                  <w:color w:val="0000EE"/>
                  <w:w w:val="95"/>
                </w:rPr>
                <w:t>ON</w:t>
              </w:r>
              <w:r>
                <w:rPr>
                  <w:rFonts w:ascii="Arial" w:cs="Arial" w:eastAsia="Arial" w:hAnsi="Arial"/>
                  <w:sz w:val="18"/>
                  <w:szCs w:val="18"/>
                  <w:color w:val="0000EE"/>
                  <w:w w:val="95"/>
                </w:rPr>
                <w:t>-U.S. H</w:t>
              </w:r>
              <w:r>
                <w:rPr>
                  <w:rFonts w:ascii="Arial" w:cs="Arial" w:eastAsia="Arial" w:hAnsi="Arial"/>
                  <w:sz w:val="15"/>
                  <w:szCs w:val="15"/>
                  <w:color w:val="0000EE"/>
                  <w:w w:val="95"/>
                </w:rPr>
                <w:t>OLDERS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OMMON</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32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w:t>
              </w:r>
              <w:r>
                <w:rPr>
                  <w:rFonts w:ascii="Arial" w:cs="Arial" w:eastAsia="Arial" w:hAnsi="Arial"/>
                  <w:sz w:val="15"/>
                  <w:szCs w:val="15"/>
                  <w:color w:val="0000EE"/>
                </w:rPr>
                <w:t>HARES</w:t>
              </w:r>
              <w:r>
                <w:rPr>
                  <w:rFonts w:ascii="Arial" w:cs="Arial" w:eastAsia="Arial" w:hAnsi="Arial"/>
                  <w:sz w:val="18"/>
                  <w:szCs w:val="18"/>
                  <w:color w:val="0000EE"/>
                </w:rPr>
                <w:t xml:space="preserve"> E</w:t>
              </w:r>
              <w:r>
                <w:rPr>
                  <w:rFonts w:ascii="Arial" w:cs="Arial" w:eastAsia="Arial" w:hAnsi="Arial"/>
                  <w:sz w:val="15"/>
                  <w:szCs w:val="15"/>
                  <w:color w:val="0000EE"/>
                </w:rPr>
                <w:t>LIGIBLE FOR</w:t>
              </w:r>
              <w:r>
                <w:rPr>
                  <w:rFonts w:ascii="Arial" w:cs="Arial" w:eastAsia="Arial" w:hAnsi="Arial"/>
                  <w:sz w:val="18"/>
                  <w:szCs w:val="18"/>
                  <w:color w:val="0000EE"/>
                </w:rPr>
                <w:t xml:space="preserve"> F</w:t>
              </w:r>
              <w:r>
                <w:rPr>
                  <w:rFonts w:ascii="Arial" w:cs="Arial" w:eastAsia="Arial" w:hAnsi="Arial"/>
                  <w:sz w:val="15"/>
                  <w:szCs w:val="15"/>
                  <w:color w:val="0000EE"/>
                </w:rPr>
                <w:t>UTURE</w:t>
              </w:r>
              <w:r>
                <w:rPr>
                  <w:rFonts w:ascii="Arial" w:cs="Arial" w:eastAsia="Arial" w:hAnsi="Arial"/>
                  <w:sz w:val="18"/>
                  <w:szCs w:val="18"/>
                  <w:color w:val="0000EE"/>
                </w:rPr>
                <w:t xml:space="preserve"> S</w:t>
              </w:r>
              <w:r>
                <w:rPr>
                  <w:rFonts w:ascii="Arial" w:cs="Arial" w:eastAsia="Arial" w:hAnsi="Arial"/>
                  <w:sz w:val="15"/>
                  <w:szCs w:val="15"/>
                  <w:color w:val="0000EE"/>
                </w:rPr>
                <w:t>ALE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23"/>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w:t>
              </w:r>
              <w:r>
                <w:rPr>
                  <w:rFonts w:ascii="Arial" w:cs="Arial" w:eastAsia="Arial" w:hAnsi="Arial"/>
                  <w:sz w:val="15"/>
                  <w:szCs w:val="15"/>
                  <w:color w:val="0000EE"/>
                </w:rPr>
                <w:t>NDERWRITING</w:t>
              </w:r>
              <w:r>
                <w:rPr>
                  <w:rFonts w:ascii="Arial" w:cs="Arial" w:eastAsia="Arial" w:hAnsi="Arial"/>
                  <w:sz w:val="18"/>
                  <w:szCs w:val="18"/>
                  <w:color w:val="0000EE"/>
                </w:rPr>
                <w:t xml:space="preserve"> (C</w:t>
              </w:r>
              <w:r>
                <w:rPr>
                  <w:rFonts w:ascii="Arial" w:cs="Arial" w:eastAsia="Arial" w:hAnsi="Arial"/>
                  <w:sz w:val="15"/>
                  <w:szCs w:val="15"/>
                  <w:color w:val="0000EE"/>
                </w:rPr>
                <w:t>ONFLICTS OF</w:t>
              </w:r>
              <w:r>
                <w:rPr>
                  <w:rFonts w:ascii="Arial" w:cs="Arial" w:eastAsia="Arial" w:hAnsi="Arial"/>
                  <w:sz w:val="18"/>
                  <w:szCs w:val="18"/>
                  <w:color w:val="0000EE"/>
                </w:rPr>
                <w:t xml:space="preserve"> I</w:t>
              </w:r>
              <w:r>
                <w:rPr>
                  <w:rFonts w:ascii="Arial" w:cs="Arial" w:eastAsia="Arial" w:hAnsi="Arial"/>
                  <w:sz w:val="15"/>
                  <w:szCs w:val="15"/>
                  <w:color w:val="0000EE"/>
                </w:rPr>
                <w:t>NTEREST</w:t>
              </w:r>
              <w:r>
                <w:rPr>
                  <w:rFonts w:ascii="Arial" w:cs="Arial" w:eastAsia="Arial" w:hAnsi="Arial"/>
                  <w:sz w:val="18"/>
                  <w:szCs w:val="18"/>
                  <w:color w:val="0000EE"/>
                </w:rPr>
                <w:t xml:space="preserve"> )</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702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9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68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173">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9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74">
              <w:r>
                <w:rPr>
                  <w:rFonts w:ascii="Arial" w:cs="Arial" w:eastAsia="Arial" w:hAnsi="Arial"/>
                  <w:sz w:val="18"/>
                  <w:szCs w:val="18"/>
                  <w:color w:val="0000EE"/>
                  <w:w w:val="97"/>
                </w:rPr>
                <w:t>I</w:t>
              </w:r>
              <w:r>
                <w:rPr>
                  <w:rFonts w:ascii="Arial" w:cs="Arial" w:eastAsia="Arial" w:hAnsi="Arial"/>
                  <w:sz w:val="15"/>
                  <w:szCs w:val="15"/>
                  <w:color w:val="0000EE"/>
                  <w:w w:val="97"/>
                </w:rPr>
                <w:t>NDEX TO</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S</w:t>
              </w:r>
              <w:r>
                <w:rPr>
                  <w:rFonts w:ascii="Arial" w:cs="Arial" w:eastAsia="Arial" w:hAnsi="Arial"/>
                  <w:sz w:val="15"/>
                  <w:szCs w:val="15"/>
                  <w:color w:val="0000EE"/>
                  <w:w w:val="97"/>
                </w:rPr>
                <w:t>TATEMENTS</w:t>
              </w:r>
            </w:hyperlink>
          </w:p>
        </w:tc>
        <w:tc>
          <w:tcPr>
            <w:tcW w:w="678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240030</wp:posOffset>
            </wp:positionV>
            <wp:extent cx="11233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this prospectus, “Reynolds Consumer Products,” “RCP,” the “Company,” “we,” “us” and “our” refer to (i) prior to the Corporate Reorganization, as defined below, the Reynolds Consumer Group business consisting of the combination of Reynolds Consumer Products Inc. and the operations, assets and liabilities comprising Reynolds Group Holdings Limited’s Reynolds Consumer Products segment as reflected in the combined financial statements included elsewhere in this prospectus; and (ii) after the Corporate Reorganization, Reynolds Consumer Products Inc. and its consolidated subsidiaries.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6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Market Share and Other Information</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This prospectus includes industry and market data that we obtained from periodic industry publications, third-party studies and surveys, filings of public companies in our industry and internal company surveys. These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We own or have rights to trademarks, service marks and trade names that we use in connection with the operation of our business.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References to “fiscal year 2018,” “fiscal year 2017” and “fiscal year 2016” relate to our fiscal years ended December 31, 2018, 2017 and 2016, respectively. With the exception of the adoption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2018, the accounting policies set out in the annual combined financial statements included elsewhere in this prospectus have been consistently applied to all periods presented. We adopted the new revenue recognition standard on a modified retrospective basis for all contracts not completed as of the date of adoption, resulting in a $5 million adjustment to Net Parent deficit. There was no other material financial impact from adopting the new revenue recognition standard. See Note 2—Summary of Significant Accounting Policies in our annual combined financial statements included elsewhere in this prospectus for an explanation of the impact of the adoption of ASC 606.</w:t>
      </w:r>
    </w:p>
    <w:p>
      <w:pPr>
        <w:spacing w:after="0" w:line="18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 Unless otherwise indicated, all references to “U.S. dollars,” “dollars,” “U.S. $” and “$” in this prospectus are to the lawful currency of the United States of America.</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U.S. generally accepted accounting principles (“GAAP”).</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7" w:lineRule="exact"/>
        <w:rPr>
          <w:sz w:val="20"/>
          <w:szCs w:val="20"/>
          <w:color w:val="auto"/>
        </w:rPr>
      </w:pPr>
    </w:p>
    <w:p>
      <w:pPr>
        <w:ind w:left="960" w:hanging="3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22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Specifically, we make use of the non-GAAP financial measure “Adjusted EBITDA” in evaluating our past results and future prospects. For the definition of Adjusted EBITDA and a reconciliation to net income, its most directly comparable financial measure presented in accordance with GAAP, see “Prospectus Summary—Summary Historical and Unaudited Pro Forma Combined Financial Data” and “Management’s Discussion and Analysis of Financial Condition and Results of Operations—How We Assess the Performance of Our Business.”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present Adjusted EBITDA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14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such a measure either in isolation or as a substitute for analyzing our results as reported under GAAP. Some of these limitations include the following:</w:t>
      </w:r>
    </w:p>
    <w:p>
      <w:pPr>
        <w:spacing w:after="0" w:line="76" w:lineRule="exact"/>
        <w:rPr>
          <w:sz w:val="20"/>
          <w:szCs w:val="20"/>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every expenditure or contractual commitment;</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w:t>
      </w:r>
    </w:p>
    <w:p>
      <w:pPr>
        <w:spacing w:after="0" w:line="130" w:lineRule="exact"/>
        <w:rPr>
          <w:rFonts w:ascii="Arial" w:cs="Arial" w:eastAsia="Arial" w:hAnsi="Arial"/>
          <w:sz w:val="18"/>
          <w:szCs w:val="18"/>
          <w:color w:val="auto"/>
        </w:rPr>
      </w:pPr>
    </w:p>
    <w:p>
      <w:pPr>
        <w:ind w:left="960" w:right="52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w:t>
      </w:r>
    </w:p>
    <w:p>
      <w:pPr>
        <w:spacing w:after="0" w:line="13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75" w:lineRule="exact"/>
        <w:rPr>
          <w:rFonts w:ascii="Arial" w:cs="Arial" w:eastAsia="Arial" w:hAnsi="Arial"/>
          <w:sz w:val="18"/>
          <w:szCs w:val="18"/>
          <w:color w:val="auto"/>
        </w:rPr>
      </w:pPr>
    </w:p>
    <w:p>
      <w:pPr>
        <w:ind w:left="960" w:right="24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indicative, on a recurring basis, of our ongoing operations; and</w:t>
      </w:r>
    </w:p>
    <w:p>
      <w:pPr>
        <w:spacing w:after="0" w:line="75" w:lineRule="exact"/>
        <w:rPr>
          <w:rFonts w:ascii="Arial" w:cs="Arial" w:eastAsia="Arial" w:hAnsi="Arial"/>
          <w:sz w:val="18"/>
          <w:szCs w:val="18"/>
          <w:color w:val="auto"/>
        </w:rPr>
      </w:pPr>
    </w:p>
    <w:p>
      <w:pPr>
        <w:ind w:left="960" w:right="60" w:hanging="3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their usefulness as comparative measures.</w:t>
      </w:r>
    </w:p>
    <w:p>
      <w:pPr>
        <w:spacing w:after="0" w:line="170" w:lineRule="exact"/>
        <w:rPr>
          <w:sz w:val="20"/>
          <w:szCs w:val="20"/>
          <w:color w:val="auto"/>
        </w:rPr>
      </w:pPr>
    </w:p>
    <w:p>
      <w:pPr>
        <w:jc w:val="center"/>
        <w:ind w:left="260" w:right="620"/>
        <w:spacing w:after="0" w:line="449"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as supplemental information. iii</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40" w:firstLine="426"/>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of the information that you should consider before deciding to invest in our common stock. You should read this entire prospectus carefully, including the “Risk Factors” and the “Management’s Discussion and Analysis of Financial Condition and Results of Operations” sections and our combined financial statements and the notes thereto included elsewhere in this prospectus.</w:t>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w:t>
      </w:r>
      <w:r>
        <w:rPr>
          <w:rFonts w:ascii="Arial" w:cs="Arial" w:eastAsia="Arial" w:hAnsi="Arial"/>
          <w:sz w:val="14"/>
          <w:szCs w:val="14"/>
          <w:color w:val="auto"/>
        </w:rPr>
        <w:t>®</w:t>
      </w:r>
      <w:r>
        <w:rPr>
          <w:rFonts w:ascii="Arial" w:cs="Arial" w:eastAsia="Arial" w:hAnsi="Arial"/>
          <w:sz w:val="17"/>
          <w:szCs w:val="17"/>
          <w:color w:val="auto"/>
        </w:rPr>
        <w:t xml:space="preserve"> and Hefty</w:t>
      </w:r>
      <w:r>
        <w:rPr>
          <w:rFonts w:ascii="Arial" w:cs="Arial" w:eastAsia="Arial" w:hAnsi="Arial"/>
          <w:sz w:val="14"/>
          <w:szCs w:val="14"/>
          <w:color w:val="auto"/>
        </w:rPr>
        <w:t>®</w:t>
      </w:r>
      <w:r>
        <w:rPr>
          <w:rFonts w:ascii="Arial" w:cs="Arial" w:eastAsia="Arial" w:hAnsi="Arial"/>
          <w:sz w:val="17"/>
          <w:szCs w:val="17"/>
          <w:color w:val="auto"/>
        </w:rPr>
        <w:t xml:space="preserve">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ind w:left="380" w:right="20" w:firstLine="426"/>
        <w:spacing w:after="0" w:line="297" w:lineRule="auto"/>
        <w:rPr>
          <w:sz w:val="20"/>
          <w:szCs w:val="20"/>
          <w:color w:val="auto"/>
        </w:rPr>
      </w:pPr>
      <w:r>
        <w:rPr>
          <w:rFonts w:ascii="Arial" w:cs="Arial" w:eastAsia="Arial" w:hAnsi="Arial"/>
          <w:sz w:val="16"/>
          <w:szCs w:val="16"/>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all-commodity volume (“ACV”) in 2018.</w:t>
      </w: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FFFFFF"/>
        </w:rPr>
        <w:t>Our leading brand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0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5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As a category captain level advisor for many of our retail partners, we provide the insights retailers require to grow entire product categories. We provide our customers with category management expertise, including assortment analytics and promotion strategies, which is supported by innovation and consumer-focused insights. We believe that championing our categories helps cement our retailer relationships and will drive growth across all of our product lines. This approach, combined with our leading products, capabilities and service, further differentiates us from our competitors.</w:t>
      </w:r>
    </w:p>
    <w:p>
      <w:pPr>
        <w:spacing w:after="0" w:line="188" w:lineRule="exact"/>
        <w:rPr>
          <w:sz w:val="20"/>
          <w:szCs w:val="20"/>
          <w:color w:val="auto"/>
        </w:rPr>
      </w:pPr>
    </w:p>
    <w:p>
      <w:pPr>
        <w:ind w:left="380" w:right="80" w:firstLine="426"/>
        <w:spacing w:after="0" w:line="272" w:lineRule="auto"/>
        <w:rPr>
          <w:sz w:val="20"/>
          <w:szCs w:val="20"/>
          <w:color w:val="auto"/>
        </w:rPr>
      </w:pPr>
      <w:r>
        <w:rPr>
          <w:rFonts w:ascii="Arial" w:cs="Arial" w:eastAsia="Arial" w:hAnsi="Arial"/>
          <w:sz w:val="17"/>
          <w:szCs w:val="17"/>
          <w:color w:val="auto"/>
        </w:rPr>
        <w:t>While our products have been trusted for generations, we place significant emphasis on constantly improving them. Innovation is a key component of our corporate culture and we aim to continually evolve across our segments through both the introduction of new features on our existing product portfolio and the development of new product solutions. Our objective is to generate 20% of our revenue each year from new products introduced within the prior three years. All of our key product lines include newly developed innovative products such as our Hefty Ultra Strong</w:t>
      </w:r>
      <w:r>
        <w:rPr>
          <w:rFonts w:ascii="Arial" w:cs="Arial" w:eastAsia="Arial" w:hAnsi="Arial"/>
          <w:sz w:val="14"/>
          <w:szCs w:val="14"/>
          <w:color w:val="auto"/>
        </w:rPr>
        <w:t>™</w:t>
      </w:r>
      <w:r>
        <w:rPr>
          <w:rFonts w:ascii="Arial" w:cs="Arial" w:eastAsia="Arial" w:hAnsi="Arial"/>
          <w:sz w:val="17"/>
          <w:szCs w:val="17"/>
          <w:color w:val="auto"/>
        </w:rPr>
        <w:t xml:space="preserve"> trash bags, Reynolds KITCHENS</w:t>
      </w:r>
      <w:r>
        <w:rPr>
          <w:rFonts w:ascii="Arial" w:cs="Arial" w:eastAsia="Arial" w:hAnsi="Arial"/>
          <w:sz w:val="14"/>
          <w:szCs w:val="14"/>
          <w:color w:val="auto"/>
        </w:rPr>
        <w:t>®</w:t>
      </w:r>
      <w:r>
        <w:rPr>
          <w:rFonts w:ascii="Arial" w:cs="Arial" w:eastAsia="Arial" w:hAnsi="Arial"/>
          <w:sz w:val="17"/>
          <w:szCs w:val="17"/>
          <w:color w:val="auto"/>
        </w:rPr>
        <w:t xml:space="preserve"> Slow Cooker Liners, Parchment Pop Up Sheets, 75% Unbleached Compostable Parchment Paper, Hefty branded party cups, store brand party cups and our Presto store brand square-shaped snack bags. We believe our commitment to innovation has driven our growth and is a key reason why consumers continue to choose our products.</w:t>
      </w:r>
    </w:p>
    <w:p>
      <w:pPr>
        <w:spacing w:after="0" w:line="17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put safety first, treat people with respect and act ethically to operate a business that is sustainable for the long-term. We never compromise our values in the face of market forces and we remain committed to strong rules of governance. We strive to operate with respect for the environment, and we are committed to sustainability across three key areas: our product portfolio, supply chain and communities. We currently deliver sustainable solutions across all of our product lines and are focused on innovation that further develops the eco-friendly profile of our product portfolio.</w:t>
      </w:r>
    </w:p>
    <w:p>
      <w:pPr>
        <w:spacing w:after="0" w:line="188"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We have an attractive financial profile with steady, organic revenue growth, robust margins and disciplined capital expenditures. These attributes allow us to generate significant free cash flow. In the year ended December 31, 2018, we generated $3.1 billion in revenue, $176 million in net income and $647 million in Adjusted EBITDA. For the nine months ended September 30, 2019, we generated $2.2 billion in revenue, $135 million in net income and $441 million in Adjusted EBITDA. Since 2014, our income from operations margin and Adjusted EBITDA margin have grown by 364 and 242 basis points to 16% and 21%, respectively, in the year ended December 31, 2018. We have driven margin expansion mainly through our consistent focus on improving operational efficiency, managing costs throughout the cycle and driving innovation. Our revenue, net income and Adjusted EBITDA in the year ended December 31, 2018 reflect compound annual growth rates (“CAGR”) of 2.2%, 110.3% and 5.5%, respectively, since 2014. In the year ended December 31, 2018, we generated $530 million of net cash provided by operating activities and spent $82 million on capital expenditures. See “—Summary Historical and Unaudited Pro Forma Combined Financial Data” and “Management’s Discussion and Analysis of Financial Condition and Results of Operations—How We Assess the Performance of Our Business” for a reconciliation of Adjusted EBITDA to net income.</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157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3157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‘Reyvolution’ Culture</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have a unique corporate culture that aims to continually reinvent and optimize our business. We have formalized our approach into an ethos we refer to as ‘Reyvolution.’ Reyvolution is an all-encompassing way of thinking, planning and evaluating our operations to accelerate future growth through product innovation, process automation and cost reduction. Through this disciplined process and mindset, we aim to drive revenue growth, market share increases and margin expansion. We are focused on long-term planning and goal-setting strategies as well as our near term operating results. We believe it is critical to embrace new technology and, through this program, we have made significant investment across our business to accelerate optimization opportunities. Reyvolution is focused on four key areas:</w:t>
      </w:r>
    </w:p>
    <w:p>
      <w:pPr>
        <w:spacing w:after="0" w:line="80" w:lineRule="exact"/>
        <w:rPr>
          <w:sz w:val="20"/>
          <w:szCs w:val="20"/>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Growth</w:t>
      </w:r>
      <w:r>
        <w:rPr>
          <w:rFonts w:ascii="Arial" w:cs="Arial" w:eastAsia="Arial" w:hAnsi="Arial"/>
          <w:sz w:val="18"/>
          <w:szCs w:val="18"/>
          <w:color w:val="auto"/>
        </w:rPr>
        <w:t>—support our products and customers through a holistic approach to our categories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Innovation</w:t>
      </w:r>
      <w:r>
        <w:rPr>
          <w:rFonts w:ascii="Arial" w:cs="Arial" w:eastAsia="Arial" w:hAnsi="Arial"/>
          <w:sz w:val="18"/>
          <w:szCs w:val="18"/>
          <w:color w:val="auto"/>
        </w:rPr>
        <w:t>—reinforce our existing product portfolio with new and on-trend products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Cost reduction</w:t>
      </w:r>
      <w:r>
        <w:rPr>
          <w:rFonts w:ascii="Arial" w:cs="Arial" w:eastAsia="Arial" w:hAnsi="Arial"/>
          <w:sz w:val="18"/>
          <w:szCs w:val="18"/>
          <w:color w:val="auto"/>
        </w:rPr>
        <w:t>—optimize our processes to drive increased profitability</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Automation</w:t>
      </w:r>
      <w:r>
        <w:rPr>
          <w:rFonts w:ascii="Arial" w:cs="Arial" w:eastAsia="Arial" w:hAnsi="Arial"/>
          <w:sz w:val="18"/>
          <w:szCs w:val="18"/>
          <w:color w:val="auto"/>
        </w:rPr>
        <w:t>—continuously refine our manufacturing base to increase efficiency</w:t>
      </w:r>
    </w:p>
    <w:p>
      <w:pPr>
        <w:spacing w:after="0" w:line="229"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Reyvolution includes a collective, cross-functional effort to drive growth across our business. This systematic program includes collaborative partnerships across our business units, monthly meetings with top executives and rigorous measurement of initiatives and progress against internal benchmarks. The program has yielded significant results both on the top and bottom line. For the two year period ended December 31, 2018, the impact of Reyvolution was approximately $176 million of Adjusted EBITDA benefit. Of the total, $126 million was generated through cost savings across our businesses, with $50 million of Adjusted EBITDA being generated through revenue initiatives. Our Reyvolution strategic initiatives also include internal goals for innovation. Our objective is to generate 20% of our revenue each year from new products introduced within the prior three years. In fiscal year 2018, 21% of our revenue was generated from products that were less than three years old. Reyvolution will continue to impact everything we do on a daily basis.</w:t>
      </w:r>
    </w:p>
    <w:p>
      <w:pPr>
        <w:spacing w:after="0" w:line="2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Segments and Products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pie charts below show the breakdown of our revenue for the fiscal year ended December 31, 2018 by our segments and products.</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84"/>
        </w:trPr>
        <w:tc>
          <w:tcPr>
            <w:tcW w:w="524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87"/>
              </w:rPr>
              <w:t>Our segments</w:t>
            </w:r>
          </w:p>
        </w:tc>
        <w:tc>
          <w:tcPr>
            <w:tcW w:w="320" w:type="dxa"/>
            <w:vAlign w:val="bottom"/>
          </w:tcPr>
          <w:p>
            <w:pPr>
              <w:spacing w:after="0"/>
              <w:rPr>
                <w:sz w:val="24"/>
                <w:szCs w:val="24"/>
                <w:color w:val="auto"/>
              </w:rPr>
            </w:pPr>
          </w:p>
        </w:tc>
        <w:tc>
          <w:tcPr>
            <w:tcW w:w="5080" w:type="dxa"/>
            <w:vAlign w:val="bottom"/>
            <w:shd w:val="clear" w:color="auto" w:fill="02237A"/>
          </w:tcPr>
          <w:p>
            <w:pPr>
              <w:jc w:val="center"/>
              <w:ind w:left="30"/>
              <w:spacing w:after="0"/>
              <w:rPr>
                <w:sz w:val="20"/>
                <w:szCs w:val="20"/>
                <w:color w:val="auto"/>
              </w:rPr>
            </w:pPr>
            <w:r>
              <w:rPr>
                <w:rFonts w:ascii="Arial" w:cs="Arial" w:eastAsia="Arial" w:hAnsi="Arial"/>
                <w:sz w:val="18"/>
                <w:szCs w:val="18"/>
                <w:b w:val="1"/>
                <w:bCs w:val="1"/>
                <w:color w:val="FFFFFF"/>
                <w:w w:val="91"/>
              </w:rPr>
              <w:t>Our products</w:t>
            </w:r>
          </w:p>
        </w:tc>
        <w:tc>
          <w:tcPr>
            <w:tcW w:w="0" w:type="dxa"/>
            <w:vAlign w:val="bottom"/>
          </w:tcPr>
          <w:p>
            <w:pPr>
              <w:spacing w:after="0"/>
              <w:rPr>
                <w:sz w:val="1"/>
                <w:szCs w:val="1"/>
                <w:color w:val="auto"/>
              </w:rPr>
            </w:pPr>
          </w:p>
        </w:tc>
      </w:tr>
      <w:tr>
        <w:trPr>
          <w:trHeight w:val="81"/>
        </w:trPr>
        <w:tc>
          <w:tcPr>
            <w:tcW w:w="5240" w:type="dxa"/>
            <w:vAlign w:val="bottom"/>
            <w:shd w:val="clear" w:color="auto" w:fill="02237A"/>
          </w:tcPr>
          <w:p>
            <w:pPr>
              <w:spacing w:after="0"/>
              <w:rPr>
                <w:sz w:val="7"/>
                <w:szCs w:val="7"/>
                <w:color w:val="auto"/>
              </w:rPr>
            </w:pPr>
          </w:p>
        </w:tc>
        <w:tc>
          <w:tcPr>
            <w:tcW w:w="320" w:type="dxa"/>
            <w:vAlign w:val="bottom"/>
            <w:vMerge w:val="restart"/>
          </w:tcPr>
          <w:p>
            <w:pPr>
              <w:spacing w:after="0"/>
              <w:rPr>
                <w:sz w:val="7"/>
                <w:szCs w:val="7"/>
                <w:color w:val="auto"/>
              </w:rPr>
            </w:pPr>
          </w:p>
        </w:tc>
        <w:tc>
          <w:tcPr>
            <w:tcW w:w="5080" w:type="dxa"/>
            <w:vAlign w:val="bottom"/>
            <w:shd w:val="clear" w:color="auto" w:fill="02237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FY2018 revenue</w:t>
            </w:r>
          </w:p>
        </w:tc>
        <w:tc>
          <w:tcPr>
            <w:tcW w:w="320" w:type="dxa"/>
            <w:vAlign w:val="bottom"/>
            <w:vMerge w:val="continue"/>
          </w:tcPr>
          <w:p>
            <w:pPr>
              <w:spacing w:after="0"/>
              <w:rPr>
                <w:sz w:val="20"/>
                <w:szCs w:val="20"/>
                <w:color w:val="auto"/>
              </w:rPr>
            </w:pPr>
          </w:p>
        </w:tc>
        <w:tc>
          <w:tcPr>
            <w:tcW w:w="50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FY2018 revenue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55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We manage our operations in four reportable segments: Reynolds Cooking &amp; Baking, Hefty Waste &amp; Storage, Hefty Tableware and Presto Products.</w:t>
      </w:r>
    </w:p>
    <w:p>
      <w:pPr>
        <w:spacing w:after="0" w:line="76" w:lineRule="exact"/>
        <w:rPr>
          <w:sz w:val="20"/>
          <w:szCs w:val="20"/>
          <w:color w:val="auto"/>
        </w:rPr>
      </w:pPr>
    </w:p>
    <w:p>
      <w:pPr>
        <w:ind w:left="1100" w:hanging="295"/>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Our namesake Reynolds Cooking &amp; Baking segment (“Reynolds Cooking &amp; Baking”) generated</w:t>
      </w:r>
    </w:p>
    <w:p>
      <w:pPr>
        <w:spacing w:after="0" w:line="34" w:lineRule="exact"/>
        <w:rPr>
          <w:rFonts w:ascii="Arial" w:cs="Arial" w:eastAsia="Arial" w:hAnsi="Arial"/>
          <w:sz w:val="17"/>
          <w:szCs w:val="17"/>
          <w:color w:val="auto"/>
        </w:rPr>
      </w:pPr>
    </w:p>
    <w:p>
      <w:pPr>
        <w:ind w:left="1100"/>
        <w:spacing w:after="0" w:line="286" w:lineRule="auto"/>
        <w:rPr>
          <w:rFonts w:ascii="Arial" w:cs="Arial" w:eastAsia="Arial" w:hAnsi="Arial"/>
          <w:sz w:val="17"/>
          <w:szCs w:val="17"/>
          <w:color w:val="auto"/>
        </w:rPr>
      </w:pPr>
      <w:r>
        <w:rPr>
          <w:rFonts w:ascii="Arial" w:cs="Arial" w:eastAsia="Arial" w:hAnsi="Arial"/>
          <w:sz w:val="16"/>
          <w:szCs w:val="16"/>
          <w:color w:val="auto"/>
        </w:rPr>
        <w:t>$1.2 billion in revenue and $234 million in Adjusted EBITDA (a 20% Adjusted EBITDA margin) for the year ended December 31, 2018 and has grown its revenue at a 4.7% CAGR from 2016 to 2018. Through our Reynolds Cooking &amp; Baking segment, we produce branded and store brand foil, disposable aluminum pans, parchment paper, freezer paper, wax paper, plastic wrap, baking cups, oven bags and slow cooker liners. Our branded products are sold under the Reynolds Wrap</w:t>
      </w:r>
      <w:r>
        <w:rPr>
          <w:rFonts w:ascii="Arial" w:cs="Arial" w:eastAsia="Arial" w:hAnsi="Arial"/>
          <w:sz w:val="13"/>
          <w:szCs w:val="13"/>
          <w:color w:val="auto"/>
        </w:rPr>
        <w:t>®</w:t>
      </w:r>
      <w:r>
        <w:rPr>
          <w:rFonts w:ascii="Arial" w:cs="Arial" w:eastAsia="Arial" w:hAnsi="Arial"/>
          <w:sz w:val="16"/>
          <w:szCs w:val="16"/>
          <w:color w:val="auto"/>
        </w:rPr>
        <w:t>, Reynolds KITCHENS and E-Z Foil</w:t>
      </w:r>
      <w:r>
        <w:rPr>
          <w:rFonts w:ascii="Arial" w:cs="Arial" w:eastAsia="Arial" w:hAnsi="Arial"/>
          <w:sz w:val="13"/>
          <w:szCs w:val="13"/>
          <w:color w:val="auto"/>
        </w:rPr>
        <w:t>®</w:t>
      </w:r>
      <w:r>
        <w:rPr>
          <w:rFonts w:ascii="Arial" w:cs="Arial" w:eastAsia="Arial" w:hAnsi="Arial"/>
          <w:sz w:val="16"/>
          <w:szCs w:val="16"/>
          <w:color w:val="auto"/>
        </w:rPr>
        <w:t xml:space="preserve"> brands in the United States and selected international markets, under the ALCAN</w:t>
      </w:r>
      <w:r>
        <w:rPr>
          <w:rFonts w:ascii="Arial" w:cs="Arial" w:eastAsia="Arial" w:hAnsi="Arial"/>
          <w:sz w:val="13"/>
          <w:szCs w:val="13"/>
          <w:color w:val="auto"/>
        </w:rPr>
        <w:t>®</w:t>
      </w:r>
      <w:r>
        <w:rPr>
          <w:rFonts w:ascii="Arial" w:cs="Arial" w:eastAsia="Arial" w:hAnsi="Arial"/>
          <w:sz w:val="16"/>
          <w:szCs w:val="16"/>
          <w:color w:val="auto"/>
        </w:rPr>
        <w:t xml:space="preserve"> brand in Canada and under the Diamond</w:t>
      </w:r>
      <w:r>
        <w:rPr>
          <w:rFonts w:ascii="Arial" w:cs="Arial" w:eastAsia="Arial" w:hAnsi="Arial"/>
          <w:sz w:val="13"/>
          <w:szCs w:val="13"/>
          <w:color w:val="auto"/>
        </w:rPr>
        <w:t>®</w:t>
      </w:r>
      <w:r>
        <w:rPr>
          <w:rFonts w:ascii="Arial" w:cs="Arial" w:eastAsia="Arial" w:hAnsi="Arial"/>
          <w:sz w:val="16"/>
          <w:szCs w:val="16"/>
          <w:color w:val="auto"/>
        </w:rPr>
        <w:t xml:space="preserve">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 This sustained leadership provides us with a platform for continued product innovation and expansion into adjacent categories. Reynolds Wrap has been one of the most trusted household brands in the United States since 1947, and Reynolds has aided brand awareness of 98%, according to a 2015 brand awareness study.</w:t>
      </w:r>
    </w:p>
    <w:p>
      <w:pPr>
        <w:spacing w:after="0" w:line="72" w:lineRule="exact"/>
        <w:rPr>
          <w:rFonts w:ascii="Arial" w:cs="Arial" w:eastAsia="Arial" w:hAnsi="Arial"/>
          <w:sz w:val="17"/>
          <w:szCs w:val="17"/>
          <w:color w:val="auto"/>
        </w:rPr>
      </w:pPr>
    </w:p>
    <w:p>
      <w:pPr>
        <w:ind w:left="1100" w:right="80" w:hanging="295"/>
        <w:spacing w:after="0" w:line="291"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Hefty Waste &amp; Storage</w:t>
      </w:r>
      <w:r>
        <w:rPr>
          <w:rFonts w:ascii="Arial" w:cs="Arial" w:eastAsia="Arial" w:hAnsi="Arial"/>
          <w:sz w:val="16"/>
          <w:szCs w:val="16"/>
          <w:color w:val="auto"/>
        </w:rPr>
        <w:t>: Our Hefty Waste &amp; Storage segment (“Hefty”) generated $696 million in revenue and $172 million in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(a 25% Adjusted EBITDA margin) for the year ended December 31, 2018 and has grown its revenue at a 2.2% CAGR from 2016 to 2018. Through our Hefty segment, we produce both branded and store brand trash and food storage bags. 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and contractor bags. It also includes sustainable solutions such as blue and clear recycling bags, compostable bags, bags made from recycled materials and the Hefty EnergyBag</w:t>
      </w:r>
      <w:r>
        <w:rPr>
          <w:rFonts w:ascii="Arial" w:cs="Arial" w:eastAsia="Arial" w:hAnsi="Arial"/>
          <w:sz w:val="13"/>
          <w:szCs w:val="13"/>
          <w:color w:val="auto"/>
        </w:rPr>
        <w:t>®</w:t>
      </w:r>
      <w:r>
        <w:rPr>
          <w:rFonts w:ascii="Arial" w:cs="Arial" w:eastAsia="Arial" w:hAnsi="Arial"/>
          <w:sz w:val="16"/>
          <w:szCs w:val="16"/>
          <w:color w:val="auto"/>
        </w:rPr>
        <w:t xml:space="preserve"> Program.</w:t>
      </w:r>
    </w:p>
    <w:p>
      <w:pPr>
        <w:spacing w:after="0" w:line="72" w:lineRule="exact"/>
        <w:rPr>
          <w:rFonts w:ascii="Arial" w:cs="Arial" w:eastAsia="Arial" w:hAnsi="Arial"/>
          <w:sz w:val="16"/>
          <w:szCs w:val="16"/>
          <w:color w:val="auto"/>
        </w:rPr>
      </w:pPr>
    </w:p>
    <w:p>
      <w:pPr>
        <w:ind w:left="1100" w:right="80" w:hanging="295"/>
        <w:spacing w:after="0" w:line="291"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Hefty Tableware</w:t>
      </w:r>
      <w:r>
        <w:rPr>
          <w:rFonts w:ascii="Arial" w:cs="Arial" w:eastAsia="Arial" w:hAnsi="Arial"/>
          <w:sz w:val="16"/>
          <w:szCs w:val="16"/>
          <w:color w:val="auto"/>
        </w:rPr>
        <w:t>: Our Hefty Tableware segment (“Tableware”) generated $757 million in revenue and $168 million in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(a 22% Adjusted EBITDA margin) for the year ended December 31, 2018 and has grown its revenue at a 3.3% CAGR from 2016 to 2018. Through our Tableware segment, we sell both branded and store brand disposable and compostable plates, bowls, platters, cups and cutlery. Our Hefty branded products include dishes and party cups. Hefty branded party cups were the #1 party cup in America by market share as of September 28, 2019.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72" w:lineRule="exact"/>
        <w:rPr>
          <w:rFonts w:ascii="Arial" w:cs="Arial" w:eastAsia="Arial" w:hAnsi="Arial"/>
          <w:sz w:val="16"/>
          <w:szCs w:val="16"/>
          <w:color w:val="auto"/>
        </w:rPr>
      </w:pPr>
    </w:p>
    <w:p>
      <w:pPr>
        <w:ind w:left="1100" w:hanging="295"/>
        <w:spacing w:after="0" w:line="271"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Presto Products</w:t>
      </w:r>
      <w:r>
        <w:rPr>
          <w:rFonts w:ascii="Arial" w:cs="Arial" w:eastAsia="Arial" w:hAnsi="Arial"/>
          <w:sz w:val="17"/>
          <w:szCs w:val="17"/>
          <w:color w:val="auto"/>
        </w:rPr>
        <w:t>: Our Presto Products segment (“Presto”) generated $539 million in revenue and $85 million in Adjusted EBITDA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 Adjusted EBITDA margin) for the year ended December 31, 2018 and has grown its revenue at a 2.7% CAGR from 2016 to 2018. Through our Presto segment, we primarily sell store brand products in four main categories: food storage bags, trash bags, reusable storage containers and plastic wrap. Presto is a market leader in food storage bags and differentiates itself by providing access to category management, consumer insights, marketing, merchandising and R&amp;D resources. As a result, through Presto we had a 57% share of the U.S. store brand food storage bag category and a 26% share of the total category as of September 28, 2019. Our store brand products are national brand equivalent (or better) and we offer consumer-desired features, including compostable bags and products made with plant-based and recycled materials. Our Presto segment also includes our</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147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7147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right="480"/>
        <w:spacing w:after="0" w:line="264" w:lineRule="auto"/>
        <w:rPr>
          <w:sz w:val="20"/>
          <w:szCs w:val="20"/>
          <w:color w:val="auto"/>
        </w:rPr>
      </w:pPr>
      <w:r>
        <w:rPr>
          <w:rFonts w:ascii="Arial" w:cs="Arial" w:eastAsia="Arial" w:hAnsi="Arial"/>
          <w:sz w:val="18"/>
          <w:szCs w:val="18"/>
          <w:color w:val="auto"/>
        </w:rPr>
        <w:t>growing specialty business, which serves other consumer products companies by providing Fresh-Lock</w:t>
      </w:r>
      <w:r>
        <w:rPr>
          <w:rFonts w:ascii="Arial" w:cs="Arial" w:eastAsia="Arial" w:hAnsi="Arial"/>
          <w:sz w:val="15"/>
          <w:szCs w:val="15"/>
          <w:color w:val="auto"/>
        </w:rPr>
        <w:t>®</w:t>
      </w:r>
      <w:r>
        <w:rPr>
          <w:rFonts w:ascii="Arial" w:cs="Arial" w:eastAsia="Arial" w:hAnsi="Arial"/>
          <w:sz w:val="18"/>
          <w:szCs w:val="18"/>
          <w:color w:val="auto"/>
        </w:rPr>
        <w:t xml:space="preserve"> and Slide-Rite</w:t>
      </w:r>
      <w:r>
        <w:rPr>
          <w:rFonts w:ascii="Arial" w:cs="Arial" w:eastAsia="Arial" w:hAnsi="Arial"/>
          <w:sz w:val="15"/>
          <w:szCs w:val="15"/>
          <w:color w:val="auto"/>
        </w:rPr>
        <w:t>®</w:t>
      </w:r>
      <w:r>
        <w:rPr>
          <w:rFonts w:ascii="Arial" w:cs="Arial" w:eastAsia="Arial" w:hAnsi="Arial"/>
          <w:sz w:val="18"/>
          <w:szCs w:val="18"/>
          <w:color w:val="auto"/>
        </w:rPr>
        <w:t xml:space="preserve"> resealable closure systems. We have extended our innovative product technology from our food storage bag products and are growing it through this unique channel.</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color w:val="auto"/>
        </w:rPr>
        <w:t>Our portfolio consists of three main product groups: waste &amp; storage products, cooking products and tableware. All of our key product lines include newly developed innovative products. We have the #1 branded market share in product categories that comprised over 65% of our total revenue in fiscal year 2018. We are also a leading store brand supplier in many of the same categories.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FFFFFF"/>
        </w:rPr>
        <w:t>Our key product categories</w:t>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91"/>
              </w:rPr>
              <w:t>Waste &amp; storage products</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Cooking products</w:t>
            </w: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Tableware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2780" w:type="dxa"/>
            <w:vAlign w:val="bottom"/>
            <w:tcBorders>
              <w:top w:val="single" w:sz="8" w:color="E5E5E5"/>
            </w:tcBorders>
            <w:shd w:val="clear" w:color="auto" w:fill="E5E5E5"/>
          </w:tcPr>
          <w:p>
            <w:pPr>
              <w:ind w:left="100"/>
              <w:spacing w:after="0" w:line="178" w:lineRule="exact"/>
              <w:rPr>
                <w:sz w:val="20"/>
                <w:szCs w:val="20"/>
                <w:color w:val="auto"/>
              </w:rPr>
            </w:pPr>
            <w:r>
              <w:rPr>
                <w:rFonts w:ascii="Arial" w:cs="Arial" w:eastAsia="Arial" w:hAnsi="Arial"/>
                <w:sz w:val="18"/>
                <w:szCs w:val="18"/>
                <w:b w:val="1"/>
                <w:bCs w:val="1"/>
                <w:color w:val="auto"/>
              </w:rPr>
              <w:t>FY18 revenue</w:t>
            </w:r>
          </w:p>
        </w:tc>
        <w:tc>
          <w:tcPr>
            <w:tcW w:w="100" w:type="dxa"/>
            <w:vAlign w:val="bottom"/>
          </w:tcPr>
          <w:p>
            <w:pPr>
              <w:spacing w:after="0"/>
              <w:rPr>
                <w:sz w:val="15"/>
                <w:szCs w:val="15"/>
                <w:color w:val="auto"/>
              </w:rPr>
            </w:pPr>
          </w:p>
        </w:tc>
        <w:tc>
          <w:tcPr>
            <w:tcW w:w="2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(in millions)</w:t>
            </w:r>
          </w:p>
        </w:tc>
        <w:tc>
          <w:tcPr>
            <w:tcW w:w="2460" w:type="dxa"/>
            <w:vAlign w:val="bottom"/>
            <w:gridSpan w:val="2"/>
          </w:tcPr>
          <w:p>
            <w:pPr>
              <w:jc w:val="right"/>
              <w:ind w:right="733"/>
              <w:spacing w:after="0"/>
              <w:rPr>
                <w:sz w:val="20"/>
                <w:szCs w:val="20"/>
                <w:color w:val="auto"/>
              </w:rPr>
            </w:pPr>
            <w:r>
              <w:rPr>
                <w:rFonts w:ascii="Arial" w:cs="Arial" w:eastAsia="Arial" w:hAnsi="Arial"/>
                <w:sz w:val="18"/>
                <w:szCs w:val="18"/>
                <w:color w:val="auto"/>
              </w:rPr>
              <w:t>$1,226</w:t>
            </w:r>
          </w:p>
        </w:tc>
        <w:tc>
          <w:tcPr>
            <w:tcW w:w="2860" w:type="dxa"/>
            <w:vAlign w:val="bottom"/>
            <w:gridSpan w:val="3"/>
          </w:tcPr>
          <w:p>
            <w:pPr>
              <w:jc w:val="right"/>
              <w:ind w:right="932"/>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2440" w:type="dxa"/>
            <w:vAlign w:val="bottom"/>
          </w:tcPr>
          <w:p>
            <w:pPr>
              <w:jc w:val="right"/>
              <w:ind w:right="932"/>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78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FY16—FY18</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CAGR</w:t>
            </w:r>
          </w:p>
        </w:tc>
        <w:tc>
          <w:tcPr>
            <w:tcW w:w="2460" w:type="dxa"/>
            <w:vAlign w:val="bottom"/>
            <w:gridSpan w:val="2"/>
          </w:tcPr>
          <w:p>
            <w:pPr>
              <w:jc w:val="right"/>
              <w:ind w:right="793"/>
              <w:spacing w:after="0"/>
              <w:rPr>
                <w:sz w:val="20"/>
                <w:szCs w:val="20"/>
                <w:color w:val="auto"/>
              </w:rPr>
            </w:pPr>
            <w:r>
              <w:rPr>
                <w:rFonts w:ascii="Arial" w:cs="Arial" w:eastAsia="Arial" w:hAnsi="Arial"/>
                <w:sz w:val="18"/>
                <w:szCs w:val="18"/>
                <w:color w:val="auto"/>
              </w:rPr>
              <w:t>2.5%</w:t>
            </w:r>
          </w:p>
        </w:tc>
        <w:tc>
          <w:tcPr>
            <w:tcW w:w="2860" w:type="dxa"/>
            <w:vAlign w:val="bottom"/>
            <w:gridSpan w:val="3"/>
          </w:tcPr>
          <w:p>
            <w:pPr>
              <w:jc w:val="right"/>
              <w:ind w:right="99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440" w:type="dxa"/>
            <w:vAlign w:val="bottom"/>
          </w:tcPr>
          <w:p>
            <w:pPr>
              <w:jc w:val="right"/>
              <w:ind w:right="93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78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4"/>
        </w:trPr>
        <w:tc>
          <w:tcPr>
            <w:tcW w:w="180" w:type="dxa"/>
            <w:vAlign w:val="bottom"/>
          </w:tcPr>
          <w:p>
            <w:pPr>
              <w:spacing w:after="0"/>
              <w:rPr>
                <w:sz w:val="24"/>
                <w:szCs w:val="24"/>
                <w:color w:val="auto"/>
              </w:rPr>
            </w:pPr>
          </w:p>
        </w:tc>
        <w:tc>
          <w:tcPr>
            <w:tcW w:w="27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Brands</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2780" w:type="dxa"/>
            <w:vAlign w:val="bottom"/>
            <w:tcBorders>
              <w:bottom w:val="single" w:sz="8" w:color="auto"/>
            </w:tcBorders>
            <w:shd w:val="clear" w:color="auto" w:fill="E5E5E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vMerge w:val="restart"/>
          </w:tcPr>
          <w:p>
            <w:pPr>
              <w:jc w:val="center"/>
              <w:ind w:left="133"/>
              <w:spacing w:after="0"/>
              <w:rPr>
                <w:sz w:val="20"/>
                <w:szCs w:val="20"/>
                <w:color w:val="auto"/>
              </w:rPr>
            </w:pPr>
            <w:r>
              <w:rPr>
                <w:rFonts w:ascii="Arial" w:cs="Arial" w:eastAsia="Arial" w:hAnsi="Arial"/>
                <w:sz w:val="18"/>
                <w:szCs w:val="18"/>
                <w:color w:val="auto"/>
                <w:w w:val="90"/>
              </w:rPr>
              <w:t>Indoor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Aluminum foil</w:t>
            </w:r>
          </w:p>
        </w:tc>
        <w:tc>
          <w:tcPr>
            <w:tcW w:w="26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Party cups</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780" w:type="dxa"/>
            <w:vAlign w:val="bottom"/>
            <w:shd w:val="clear" w:color="auto" w:fill="E5E5E5"/>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vMerge w:val="restart"/>
          </w:tcPr>
          <w:p>
            <w:pPr>
              <w:jc w:val="center"/>
              <w:ind w:left="133"/>
              <w:spacing w:after="0"/>
              <w:rPr>
                <w:sz w:val="20"/>
                <w:szCs w:val="20"/>
                <w:color w:val="auto"/>
              </w:rPr>
            </w:pPr>
            <w:r>
              <w:rPr>
                <w:rFonts w:ascii="Arial" w:cs="Arial" w:eastAsia="Arial" w:hAnsi="Arial"/>
                <w:sz w:val="18"/>
                <w:szCs w:val="18"/>
                <w:color w:val="auto"/>
                <w:w w:val="89"/>
              </w:rPr>
              <w:t>Outdoor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Aluminum bakeware</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Tableware</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780" w:type="dxa"/>
            <w:vAlign w:val="bottom"/>
            <w:shd w:val="clear" w:color="auto" w:fill="E5E5E5"/>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Parchment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Sustainable tableware</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2780" w:type="dxa"/>
            <w:vAlign w:val="bottom"/>
            <w:vMerge w:val="restart"/>
            <w:shd w:val="clear" w:color="auto" w:fill="E5E5E5"/>
          </w:tcPr>
          <w:p>
            <w:pPr>
              <w:ind w:left="100"/>
              <w:spacing w:after="0"/>
              <w:rPr>
                <w:sz w:val="20"/>
                <w:szCs w:val="20"/>
                <w:color w:val="auto"/>
              </w:rPr>
            </w:pPr>
            <w:r>
              <w:rPr>
                <w:rFonts w:ascii="Arial" w:cs="Arial" w:eastAsia="Arial" w:hAnsi="Arial"/>
                <w:sz w:val="18"/>
                <w:szCs w:val="18"/>
                <w:b w:val="1"/>
                <w:bCs w:val="1"/>
                <w:color w:val="auto"/>
              </w:rPr>
              <w:t>Products</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Slow cooker liners</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vMerge w:val="continue"/>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vMerge w:val="restart"/>
          </w:tcPr>
          <w:p>
            <w:pPr>
              <w:jc w:val="center"/>
              <w:ind w:left="133"/>
              <w:spacing w:after="0"/>
              <w:rPr>
                <w:sz w:val="20"/>
                <w:szCs w:val="20"/>
                <w:color w:val="auto"/>
              </w:rPr>
            </w:pPr>
            <w:r>
              <w:rPr>
                <w:rFonts w:ascii="Arial" w:cs="Arial" w:eastAsia="Arial" w:hAnsi="Arial"/>
                <w:sz w:val="18"/>
                <w:szCs w:val="18"/>
                <w:color w:val="auto"/>
                <w:w w:val="88"/>
              </w:rPr>
              <w:t>Sustainable bags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Platters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278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Oven bags</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jc w:val="center"/>
              <w:ind w:left="133"/>
              <w:spacing w:after="0"/>
              <w:rPr>
                <w:sz w:val="20"/>
                <w:szCs w:val="20"/>
                <w:color w:val="auto"/>
              </w:rPr>
            </w:pPr>
            <w:r>
              <w:rPr>
                <w:rFonts w:ascii="Arial" w:cs="Arial" w:eastAsia="Arial" w:hAnsi="Arial"/>
                <w:sz w:val="18"/>
                <w:szCs w:val="18"/>
                <w:color w:val="auto"/>
                <w:w w:val="88"/>
              </w:rPr>
              <w:t>Slider storage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Cutlery</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Freezer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jc w:val="center"/>
              <w:ind w:left="133"/>
              <w:spacing w:after="0"/>
              <w:rPr>
                <w:sz w:val="20"/>
                <w:szCs w:val="20"/>
                <w:color w:val="auto"/>
              </w:rPr>
            </w:pPr>
            <w:r>
              <w:rPr>
                <w:rFonts w:ascii="Arial" w:cs="Arial" w:eastAsia="Arial" w:hAnsi="Arial"/>
                <w:sz w:val="18"/>
                <w:szCs w:val="18"/>
                <w:color w:val="auto"/>
                <w:w w:val="86"/>
              </w:rPr>
              <w:t>Press-to-close storage bags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Wax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shd w:val="clear" w:color="auto" w:fill="E5E5E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88"/>
              </w:rPr>
              <w:t>Reusable storage containers</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Leading market positions in attractive consumer categories reinforced by well-recognized, iconic brands that resonate with consumers</w:t>
      </w:r>
    </w:p>
    <w:p>
      <w:pPr>
        <w:spacing w:after="0" w:line="144" w:lineRule="exact"/>
        <w:rPr>
          <w:sz w:val="20"/>
          <w:szCs w:val="20"/>
          <w:color w:val="auto"/>
        </w:rPr>
      </w:pPr>
    </w:p>
    <w:p>
      <w:pPr>
        <w:ind w:left="380" w:right="320" w:firstLine="426"/>
        <w:spacing w:after="0" w:line="302" w:lineRule="auto"/>
        <w:rPr>
          <w:sz w:val="20"/>
          <w:szCs w:val="20"/>
          <w:color w:val="auto"/>
        </w:rPr>
      </w:pPr>
      <w:r>
        <w:rPr>
          <w:rFonts w:ascii="Arial" w:cs="Arial" w:eastAsia="Arial" w:hAnsi="Arial"/>
          <w:sz w:val="16"/>
          <w:szCs w:val="16"/>
          <w:color w:val="auto"/>
        </w:rPr>
        <w:t>We hold the #1 or #2 market position by revenue in virtually all of our product categories and are well positioned to capitalize on their growth. Over 65% of our revenue comes from products that are #1 in their respective categories. We invest in both our branded and store brand products, which allows us to focus on growing the entire product category. We have preeminent market positions across both branded and store brand products with total market share of 44% across all of our major product categories for the 52 weeks ended September 28, 2019.</w:t>
      </w:r>
    </w:p>
    <w:p>
      <w:pPr>
        <w:spacing w:after="0" w:line="17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Leading market share in core categories across both branded and store brand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i w:val="1"/>
          <w:iCs w:val="1"/>
          <w:color w:val="auto"/>
        </w:rPr>
        <w:t>(% total combined market share for the 52 weeks ended September 28, 2019)</w:t>
      </w:r>
    </w:p>
    <w:p>
      <w:pPr>
        <w:spacing w:after="0" w:line="320"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96"/>
              </w:rPr>
              <w:t>Aluminum foil</w:t>
            </w:r>
          </w:p>
        </w:tc>
        <w:tc>
          <w:tcPr>
            <w:tcW w:w="660" w:type="dxa"/>
            <w:vAlign w:val="bottom"/>
          </w:tcPr>
          <w:p>
            <w:pPr>
              <w:spacing w:after="0"/>
              <w:rPr>
                <w:sz w:val="19"/>
                <w:szCs w:val="19"/>
                <w:color w:val="auto"/>
              </w:rPr>
            </w:pPr>
          </w:p>
        </w:tc>
        <w:tc>
          <w:tcPr>
            <w:tcW w:w="3080" w:type="dxa"/>
            <w:vAlign w:val="bottom"/>
            <w:tcBorders>
              <w:bottom w:val="single" w:sz="8" w:color="02237A"/>
            </w:tcBorders>
            <w:shd w:val="clear" w:color="auto" w:fill="02237A"/>
          </w:tcPr>
          <w:p>
            <w:pPr>
              <w:jc w:val="center"/>
              <w:ind w:left="68"/>
              <w:spacing w:after="0"/>
              <w:rPr>
                <w:sz w:val="20"/>
                <w:szCs w:val="20"/>
                <w:color w:val="auto"/>
              </w:rPr>
            </w:pPr>
            <w:r>
              <w:rPr>
                <w:rFonts w:ascii="Arial" w:cs="Arial" w:eastAsia="Arial" w:hAnsi="Arial"/>
                <w:sz w:val="14"/>
                <w:szCs w:val="14"/>
                <w:b w:val="1"/>
                <w:bCs w:val="1"/>
                <w:color w:val="FFFFFF"/>
                <w:w w:val="89"/>
              </w:rPr>
              <w:t>Convenience cooking</w:t>
            </w:r>
          </w:p>
        </w:tc>
        <w:tc>
          <w:tcPr>
            <w:tcW w:w="640" w:type="dxa"/>
            <w:vAlign w:val="bottom"/>
          </w:tcPr>
          <w:p>
            <w:pPr>
              <w:spacing w:after="0"/>
              <w:rPr>
                <w:sz w:val="19"/>
                <w:szCs w:val="19"/>
                <w:color w:val="auto"/>
              </w:rPr>
            </w:pPr>
          </w:p>
        </w:tc>
        <w:tc>
          <w:tcPr>
            <w:tcW w:w="306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8"/>
              </w:rPr>
              <w:t>Trash bags</w:t>
            </w:r>
          </w:p>
        </w:tc>
      </w:tr>
      <w:tr>
        <w:trPr>
          <w:trHeight w:val="126"/>
        </w:trPr>
        <w:tc>
          <w:tcPr>
            <w:tcW w:w="32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(Total category: $809 million)</w:t>
            </w:r>
          </w:p>
        </w:tc>
        <w:tc>
          <w:tcPr>
            <w:tcW w:w="660" w:type="dxa"/>
            <w:vAlign w:val="bottom"/>
          </w:tcPr>
          <w:p>
            <w:pPr>
              <w:spacing w:after="0"/>
              <w:rPr>
                <w:sz w:val="10"/>
                <w:szCs w:val="10"/>
                <w:color w:val="auto"/>
              </w:rPr>
            </w:pPr>
          </w:p>
        </w:tc>
        <w:tc>
          <w:tcPr>
            <w:tcW w:w="308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3"/>
              </w:rPr>
              <w:t>(Parchment, wax and freezer paper,</w:t>
            </w:r>
          </w:p>
        </w:tc>
        <w:tc>
          <w:tcPr>
            <w:tcW w:w="640" w:type="dxa"/>
            <w:vAlign w:val="bottom"/>
          </w:tcPr>
          <w:p>
            <w:pPr>
              <w:spacing w:after="0"/>
              <w:rPr>
                <w:sz w:val="10"/>
                <w:szCs w:val="10"/>
                <w:color w:val="auto"/>
              </w:rPr>
            </w:pPr>
          </w:p>
        </w:tc>
        <w:tc>
          <w:tcPr>
            <w:tcW w:w="306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4"/>
              </w:rPr>
              <w:t>(Total category: $2,675 million)</w:t>
            </w:r>
          </w:p>
        </w:tc>
      </w:tr>
      <w:tr>
        <w:trPr>
          <w:trHeight w:val="149"/>
        </w:trPr>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slow cooker liners, oven bags</w:t>
            </w: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and baking cups)</w:t>
            </w: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86"/>
        </w:trPr>
        <w:tc>
          <w:tcPr>
            <w:tcW w:w="3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(Total category: $264 million)</w:t>
            </w:r>
          </w:p>
        </w:tc>
        <w:tc>
          <w:tcPr>
            <w:tcW w:w="640" w:type="dxa"/>
            <w:vAlign w:val="bottom"/>
          </w:tcPr>
          <w:p>
            <w:pPr>
              <w:spacing w:after="0"/>
              <w:rPr>
                <w:sz w:val="16"/>
                <w:szCs w:val="16"/>
                <w:color w:val="auto"/>
              </w:rPr>
            </w:pPr>
          </w:p>
        </w:tc>
        <w:tc>
          <w:tcPr>
            <w:tcW w:w="3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87"/>
              </w:rPr>
              <w:t>Food storage bags</w:t>
            </w:r>
          </w:p>
        </w:tc>
        <w:tc>
          <w:tcPr>
            <w:tcW w:w="660" w:type="dxa"/>
            <w:vAlign w:val="bottom"/>
          </w:tcPr>
          <w:p>
            <w:pPr>
              <w:spacing w:after="0"/>
              <w:rPr>
                <w:sz w:val="19"/>
                <w:szCs w:val="19"/>
                <w:color w:val="auto"/>
              </w:rPr>
            </w:pPr>
          </w:p>
        </w:tc>
        <w:tc>
          <w:tcPr>
            <w:tcW w:w="308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8"/>
              </w:rPr>
              <w:t>Foam dishes</w:t>
            </w:r>
          </w:p>
        </w:tc>
        <w:tc>
          <w:tcPr>
            <w:tcW w:w="640" w:type="dxa"/>
            <w:vAlign w:val="bottom"/>
          </w:tcPr>
          <w:p>
            <w:pPr>
              <w:spacing w:after="0"/>
              <w:rPr>
                <w:sz w:val="19"/>
                <w:szCs w:val="19"/>
                <w:color w:val="auto"/>
              </w:rPr>
            </w:pPr>
          </w:p>
        </w:tc>
        <w:tc>
          <w:tcPr>
            <w:tcW w:w="306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0"/>
              </w:rPr>
              <w:t>Plastic cups</w:t>
            </w:r>
          </w:p>
        </w:tc>
      </w:tr>
      <w:tr>
        <w:trPr>
          <w:trHeight w:val="186"/>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(Total category: $1,638 million)</w:t>
            </w:r>
          </w:p>
        </w:tc>
        <w:tc>
          <w:tcPr>
            <w:tcW w:w="660" w:type="dxa"/>
            <w:vAlign w:val="bottom"/>
          </w:tcPr>
          <w:p>
            <w:pPr>
              <w:spacing w:after="0"/>
              <w:rPr>
                <w:sz w:val="16"/>
                <w:szCs w:val="16"/>
                <w:color w:val="auto"/>
              </w:rPr>
            </w:pP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(Total category: $741 million)</w:t>
            </w:r>
          </w:p>
        </w:tc>
        <w:tc>
          <w:tcPr>
            <w:tcW w:w="640" w:type="dxa"/>
            <w:vAlign w:val="bottom"/>
          </w:tcPr>
          <w:p>
            <w:pPr>
              <w:spacing w:after="0"/>
              <w:rPr>
                <w:sz w:val="16"/>
                <w:szCs w:val="16"/>
                <w:color w:val="auto"/>
              </w:rPr>
            </w:pPr>
          </w:p>
        </w:tc>
        <w:tc>
          <w:tcPr>
            <w:tcW w:w="30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category: $595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380" w:right="60" w:firstLine="426"/>
        <w:spacing w:after="0" w:line="297" w:lineRule="auto"/>
        <w:rPr>
          <w:sz w:val="20"/>
          <w:szCs w:val="20"/>
          <w:color w:val="auto"/>
        </w:rPr>
      </w:pPr>
      <w:r>
        <w:rPr>
          <w:rFonts w:ascii="Arial" w:cs="Arial" w:eastAsia="Arial" w:hAnsi="Arial"/>
          <w:sz w:val="16"/>
          <w:szCs w:val="16"/>
          <w:color w:val="auto"/>
        </w:rPr>
        <w:t>We participate in large and growing consumer product categories, with an average growth rate of 3.4% year-over-year from the 52 weeks ended September 29, 2018 to the 52 weeks ended September 28, 2019. Our categories continue to experience consistent growth, with foil and food storage bags growing at 4.6% and 2.0%, respectively, year-over-year from the 52 weeks ended September 29, 2018 to the 52 weeks ended September 28, 2019. Our categories are supported by strong demographic profiles, consumer demand for convenience and evolving consumer needs. We continue to drive category growth through our innovation driven new product development and relationships with leading retailers.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61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7061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iconic brands, such as Reynolds and Hefty, have developed strong brand recognition within their categories. Our brands are recognized across all demographics and generations for their quality, strength and reliability. Reynolds Wrap has been one of the top trusted household brands in the United States since 1947. According to a 2015 brand awareness study, Reynolds Wrap has aided brand awareness of 98%. Additionally, Hefty has aided brand awareness of 95%, according to a 2017 brand awareness study.</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Our brands have #1 positions across nearly all our categories</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080" w:type="dxa"/>
            <w:vAlign w:val="bottom"/>
            <w:tcBorders>
              <w:top w:val="single" w:sz="8" w:color="auto"/>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5"/>
              </w:rPr>
              <w:t>Category</w:t>
            </w:r>
          </w:p>
        </w:tc>
        <w:tc>
          <w:tcPr>
            <w:tcW w:w="24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b w:val="1"/>
                <w:bCs w:val="1"/>
                <w:color w:val="auto"/>
              </w:rPr>
              <w:t>Brand</w:t>
            </w:r>
          </w:p>
        </w:tc>
        <w:tc>
          <w:tcPr>
            <w:tcW w:w="238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Position</w:t>
            </w:r>
          </w:p>
        </w:tc>
        <w:tc>
          <w:tcPr>
            <w:tcW w:w="2780" w:type="dxa"/>
            <w:vAlign w:val="bottom"/>
            <w:tcBorders>
              <w:top w:val="single" w:sz="8" w:color="auto"/>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2"/>
              </w:rPr>
              <w:t>Brand share of total category</w:t>
            </w:r>
          </w:p>
        </w:tc>
      </w:tr>
      <w:tr>
        <w:trPr>
          <w:trHeight w:val="399"/>
        </w:trPr>
        <w:tc>
          <w:tcPr>
            <w:tcW w:w="3080" w:type="dxa"/>
            <w:vAlign w:val="bottom"/>
          </w:tcPr>
          <w:p>
            <w:pPr>
              <w:jc w:val="center"/>
              <w:ind w:right="311"/>
              <w:spacing w:after="0"/>
              <w:rPr>
                <w:sz w:val="20"/>
                <w:szCs w:val="20"/>
                <w:color w:val="auto"/>
              </w:rPr>
            </w:pPr>
            <w:r>
              <w:rPr>
                <w:rFonts w:ascii="Arial" w:cs="Arial" w:eastAsia="Arial" w:hAnsi="Arial"/>
                <w:sz w:val="18"/>
                <w:szCs w:val="18"/>
                <w:color w:val="auto"/>
                <w:w w:val="97"/>
              </w:rPr>
              <w:t>Aluminum foil (U.S.)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64%</w:t>
            </w:r>
          </w:p>
        </w:tc>
      </w:tr>
      <w:tr>
        <w:trPr>
          <w:trHeight w:val="567"/>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94"/>
              </w:rPr>
              <w:t>Aluminum foil (Canada)</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72%</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8"/>
              </w:rPr>
              <w:t>Parchment paper</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51%</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9"/>
              </w:rPr>
              <w:t>Wax paper</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59%</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91"/>
              </w:rPr>
              <w:t>Slow cooker liners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77%</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9"/>
              </w:rPr>
              <w:t>Oven bags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93%</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6"/>
              </w:rPr>
              <w:t>Freezer paper</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94%</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91"/>
              </w:rPr>
              <w:t>Slider bags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34%</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6"/>
              </w:rPr>
              <w:t>Party cups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22%</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7"/>
              </w:rPr>
              <w:t>Foam dishes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43%</w:t>
            </w:r>
          </w:p>
        </w:tc>
      </w:tr>
      <w:tr>
        <w:trPr>
          <w:trHeight w:val="540"/>
        </w:trPr>
        <w:tc>
          <w:tcPr>
            <w:tcW w:w="3080" w:type="dxa"/>
            <w:vAlign w:val="bottom"/>
          </w:tcPr>
          <w:p>
            <w:pPr>
              <w:jc w:val="center"/>
              <w:ind w:right="291"/>
              <w:spacing w:after="0"/>
              <w:rPr>
                <w:sz w:val="20"/>
                <w:szCs w:val="20"/>
                <w:color w:val="auto"/>
              </w:rPr>
            </w:pPr>
            <w:r>
              <w:rPr>
                <w:rFonts w:ascii="Arial" w:cs="Arial" w:eastAsia="Arial" w:hAnsi="Arial"/>
                <w:sz w:val="18"/>
                <w:szCs w:val="18"/>
                <w:color w:val="auto"/>
                <w:w w:val="86"/>
              </w:rPr>
              <w:t>Trash bags</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jc w:val="center"/>
              <w:ind w:left="391"/>
              <w:spacing w:after="0"/>
              <w:rPr>
                <w:sz w:val="20"/>
                <w:szCs w:val="20"/>
                <w:color w:val="auto"/>
              </w:rPr>
            </w:pPr>
            <w:r>
              <w:rPr>
                <w:rFonts w:ascii="Arial" w:cs="Arial" w:eastAsia="Arial" w:hAnsi="Arial"/>
                <w:sz w:val="18"/>
                <w:szCs w:val="18"/>
                <w:color w:val="auto"/>
                <w:w w:val="94"/>
              </w:rPr>
              <w:t>20%</w:t>
            </w:r>
          </w:p>
        </w:tc>
      </w:tr>
    </w:tbl>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Long-term strategic relationships with a diverse set of leading customers</w:t>
      </w:r>
    </w:p>
    <w:p>
      <w:pPr>
        <w:spacing w:after="0" w:line="121" w:lineRule="exact"/>
        <w:rPr>
          <w:sz w:val="20"/>
          <w:szCs w:val="20"/>
          <w:color w:val="auto"/>
        </w:rPr>
      </w:pPr>
    </w:p>
    <w:p>
      <w:pPr>
        <w:ind w:left="380" w:right="20" w:firstLine="426"/>
        <w:spacing w:after="0" w:line="291" w:lineRule="auto"/>
        <w:rPr>
          <w:sz w:val="20"/>
          <w:szCs w:val="20"/>
          <w:color w:val="auto"/>
        </w:rPr>
      </w:pPr>
      <w:r>
        <w:rPr>
          <w:rFonts w:ascii="Arial" w:cs="Arial" w:eastAsia="Arial" w:hAnsi="Arial"/>
          <w:sz w:val="16"/>
          <w:szCs w:val="16"/>
          <w:color w:val="auto"/>
        </w:rPr>
        <w:t>Our customer relationships across leading grocery stores, mass merchants, warehouse clubs, discount chains, drug stores, home improvement stores, military outlets and eCommerce retailers are based on a long history of trust. With many of our customers, we have maintained an ongoing relationship since the inception of our Reynolds brand over 70 years ago. Our experienced sales force, which averages over 10 years of experience at RCP, and the superb service we provide our customers drive our superior levels of ongoing customer satisfaction. The majority of our products are made in the United States, and our strategically located national manufacturing footprint provides logistics advantages and certainty of supply for our retail partners. Our short supply chain relative to competitors and the vendor-managed inventory we offer our major customers are highly valued by our customers because it reduces the inventory they have to carry and limits product shortages.</w:t>
      </w:r>
    </w:p>
    <w:p>
      <w:pPr>
        <w:spacing w:after="0" w:line="167"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We have over 70 years of technical knowledge about our products. We deploy this experience across our business segments to deliver custom innovation solutions. This, together with our low cost manufacturing capabilities and consistent product quality, enables us to provide our customers with a compelling value</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64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5664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0"/>
        <w:spacing w:after="0" w:line="342" w:lineRule="auto"/>
        <w:rPr>
          <w:sz w:val="20"/>
          <w:szCs w:val="20"/>
          <w:color w:val="auto"/>
        </w:rPr>
      </w:pPr>
      <w:r>
        <w:rPr>
          <w:rFonts w:ascii="Arial" w:cs="Arial" w:eastAsia="Arial" w:hAnsi="Arial"/>
          <w:sz w:val="16"/>
          <w:szCs w:val="16"/>
          <w:color w:val="auto"/>
        </w:rPr>
        <w:t>proposition. For example, in addition to our renowned branded products, our store brand products are subject to the same high degree of quality control as branded products and as a result consistently receive a “Pass” rating when tested against the national brands at third-party laboratories.</w:t>
      </w:r>
    </w:p>
    <w:p>
      <w:pPr>
        <w:spacing w:after="0" w:line="124"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We work to make not only our individual products successful but also to provide our retail partners with the insights and recommendations they need to grow entire product categories. We provide our retailers with category management expertise that is supported by innovation and consumer focused insights and includes assortment and promotion strategies. Our ability to provide best-in-class shopper insights directly results in stronger customer loyalty.</w:t>
      </w:r>
    </w:p>
    <w:p>
      <w:pPr>
        <w:spacing w:after="0" w:line="187" w:lineRule="exact"/>
        <w:rPr>
          <w:sz w:val="20"/>
          <w:szCs w:val="20"/>
          <w:color w:val="auto"/>
        </w:rPr>
      </w:pPr>
    </w:p>
    <w:p>
      <w:pPr>
        <w:ind w:left="380" w:right="140" w:firstLine="426"/>
        <w:spacing w:after="0" w:line="342" w:lineRule="auto"/>
        <w:rPr>
          <w:sz w:val="20"/>
          <w:szCs w:val="20"/>
          <w:color w:val="auto"/>
        </w:rPr>
      </w:pPr>
      <w:r>
        <w:rPr>
          <w:rFonts w:ascii="Arial" w:cs="Arial" w:eastAsia="Arial" w:hAnsi="Arial"/>
          <w:sz w:val="16"/>
          <w:szCs w:val="16"/>
          <w:color w:val="auto"/>
        </w:rPr>
        <w:t>We believe these value-added services differentiate us from our competitors and strengthen our customer relationships. This is evidenced by our relationships with our largest retail customers, who we partner with to sell our branded products and to produce their store brand products.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Demonstrated track record of new product development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have a strong track record of innovation, focused on the addition of innovative features to our existing products and the development of new products that address consumers’ unmet needs. Additionally, we strive to further enhance our core product portfolio. We are able to identify emerging consumer trends through our extensive consumer insights, allowing us to develop products with the features and functions that consumers are looking for. We believe we were the first to introduce a food storage bag, the first to introduce a slider closure on food storage bags, the first to introduce the drawstring trash bag, the first to introduce the “gripper” feature on trash bags, the first to add an unscented odor block feature to trash bags and the first to add non-stick coating to aluminum foil. We have a robust track record of developing and launching successful new products.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3420" w:type="dxa"/>
            <w:vAlign w:val="bottom"/>
            <w:vMerge w:val="restart"/>
            <w:shd w:val="clear" w:color="auto" w:fill="02237A"/>
          </w:tcPr>
          <w:p>
            <w:pPr>
              <w:ind w:left="1140"/>
              <w:spacing w:after="0"/>
              <w:rPr>
                <w:sz w:val="20"/>
                <w:szCs w:val="20"/>
                <w:color w:val="auto"/>
              </w:rPr>
            </w:pPr>
            <w:r>
              <w:rPr>
                <w:rFonts w:ascii="Arial" w:cs="Arial" w:eastAsia="Arial" w:hAnsi="Arial"/>
                <w:sz w:val="14"/>
                <w:szCs w:val="14"/>
                <w:b w:val="1"/>
                <w:bCs w:val="1"/>
                <w:color w:val="FFFFFF"/>
              </w:rPr>
              <w:t>Hefty Ultra Strong</w:t>
            </w:r>
          </w:p>
        </w:tc>
        <w:tc>
          <w:tcPr>
            <w:tcW w:w="320" w:type="dxa"/>
            <w:vAlign w:val="bottom"/>
          </w:tcPr>
          <w:p>
            <w:pPr>
              <w:spacing w:after="0"/>
              <w:rPr>
                <w:sz w:val="16"/>
                <w:szCs w:val="16"/>
                <w:color w:val="auto"/>
              </w:rPr>
            </w:pPr>
          </w:p>
        </w:tc>
        <w:tc>
          <w:tcPr>
            <w:tcW w:w="3320" w:type="dxa"/>
            <w:vAlign w:val="bottom"/>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5"/>
              </w:rPr>
              <w:t>Reynolds KITCHENS Slow</w:t>
            </w:r>
          </w:p>
        </w:tc>
        <w:tc>
          <w:tcPr>
            <w:tcW w:w="300" w:type="dxa"/>
            <w:vAlign w:val="bottom"/>
          </w:tcPr>
          <w:p>
            <w:pPr>
              <w:spacing w:after="0"/>
              <w:rPr>
                <w:sz w:val="16"/>
                <w:szCs w:val="16"/>
                <w:color w:val="auto"/>
              </w:rPr>
            </w:pPr>
          </w:p>
        </w:tc>
        <w:tc>
          <w:tcPr>
            <w:tcW w:w="3280" w:type="dxa"/>
            <w:vAlign w:val="bottom"/>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3"/>
              </w:rPr>
              <w:t>Store brand square</w:t>
            </w:r>
          </w:p>
        </w:tc>
        <w:tc>
          <w:tcPr>
            <w:tcW w:w="0" w:type="dxa"/>
            <w:vAlign w:val="bottom"/>
          </w:tcPr>
          <w:p>
            <w:pPr>
              <w:spacing w:after="0"/>
              <w:rPr>
                <w:sz w:val="1"/>
                <w:szCs w:val="1"/>
                <w:color w:val="auto"/>
              </w:rPr>
            </w:pPr>
          </w:p>
        </w:tc>
      </w:tr>
      <w:tr>
        <w:trPr>
          <w:trHeight w:val="119"/>
        </w:trPr>
        <w:tc>
          <w:tcPr>
            <w:tcW w:w="3420" w:type="dxa"/>
            <w:vAlign w:val="bottom"/>
            <w:vMerge w:val="continue"/>
            <w:shd w:val="clear" w:color="auto" w:fill="02237A"/>
          </w:tcPr>
          <w:p>
            <w:pPr>
              <w:spacing w:after="0"/>
              <w:rPr>
                <w:sz w:val="10"/>
                <w:szCs w:val="10"/>
                <w:color w:val="auto"/>
              </w:rPr>
            </w:pPr>
          </w:p>
        </w:tc>
        <w:tc>
          <w:tcPr>
            <w:tcW w:w="320" w:type="dxa"/>
            <w:vAlign w:val="bottom"/>
          </w:tcPr>
          <w:p>
            <w:pPr>
              <w:spacing w:after="0"/>
              <w:rPr>
                <w:sz w:val="10"/>
                <w:szCs w:val="10"/>
                <w:color w:val="auto"/>
              </w:rPr>
            </w:pPr>
          </w:p>
        </w:tc>
        <w:tc>
          <w:tcPr>
            <w:tcW w:w="3320" w:type="dxa"/>
            <w:vAlign w:val="bottom"/>
            <w:vMerge w:val="restart"/>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3"/>
              </w:rPr>
              <w:t>Cooker Liners</w:t>
            </w:r>
          </w:p>
        </w:tc>
        <w:tc>
          <w:tcPr>
            <w:tcW w:w="300" w:type="dxa"/>
            <w:vAlign w:val="bottom"/>
          </w:tcPr>
          <w:p>
            <w:pPr>
              <w:spacing w:after="0"/>
              <w:rPr>
                <w:sz w:val="10"/>
                <w:szCs w:val="10"/>
                <w:color w:val="auto"/>
              </w:rPr>
            </w:pPr>
          </w:p>
        </w:tc>
        <w:tc>
          <w:tcPr>
            <w:tcW w:w="3280" w:type="dxa"/>
            <w:vAlign w:val="bottom"/>
            <w:vMerge w:val="restart"/>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9"/>
              </w:rPr>
              <w:t>snack bags</w:t>
            </w:r>
          </w:p>
        </w:tc>
        <w:tc>
          <w:tcPr>
            <w:tcW w:w="0" w:type="dxa"/>
            <w:vAlign w:val="bottom"/>
          </w:tcPr>
          <w:p>
            <w:pPr>
              <w:spacing w:after="0"/>
              <w:rPr>
                <w:sz w:val="1"/>
                <w:szCs w:val="1"/>
                <w:color w:val="auto"/>
              </w:rPr>
            </w:pPr>
          </w:p>
        </w:tc>
      </w:tr>
      <w:tr>
        <w:trPr>
          <w:trHeight w:val="68"/>
        </w:trPr>
        <w:tc>
          <w:tcPr>
            <w:tcW w:w="342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vMerge w:val="continue"/>
            <w:shd w:val="clear" w:color="auto" w:fill="02237A"/>
          </w:tcPr>
          <w:p>
            <w:pPr>
              <w:spacing w:after="0"/>
              <w:rPr>
                <w:sz w:val="5"/>
                <w:szCs w:val="5"/>
                <w:color w:val="auto"/>
              </w:rPr>
            </w:pPr>
          </w:p>
        </w:tc>
        <w:tc>
          <w:tcPr>
            <w:tcW w:w="300" w:type="dxa"/>
            <w:vAlign w:val="bottom"/>
          </w:tcPr>
          <w:p>
            <w:pPr>
              <w:spacing w:after="0"/>
              <w:rPr>
                <w:sz w:val="5"/>
                <w:szCs w:val="5"/>
                <w:color w:val="auto"/>
              </w:rPr>
            </w:pPr>
          </w:p>
        </w:tc>
        <w:tc>
          <w:tcPr>
            <w:tcW w:w="3280" w:type="dxa"/>
            <w:vAlign w:val="bottom"/>
            <w:vMerge w:val="continue"/>
            <w:shd w:val="clear" w:color="auto" w:fill="02237A"/>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42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shd w:val="clear" w:color="auto" w:fill="02237A"/>
          </w:tcPr>
          <w:p>
            <w:pPr>
              <w:spacing w:after="0"/>
              <w:rPr>
                <w:sz w:val="5"/>
                <w:szCs w:val="5"/>
                <w:color w:val="auto"/>
              </w:rPr>
            </w:pPr>
          </w:p>
        </w:tc>
        <w:tc>
          <w:tcPr>
            <w:tcW w:w="300" w:type="dxa"/>
            <w:vAlign w:val="bottom"/>
          </w:tcPr>
          <w:p>
            <w:pPr>
              <w:spacing w:after="0"/>
              <w:rPr>
                <w:sz w:val="5"/>
                <w:szCs w:val="5"/>
                <w:color w:val="auto"/>
              </w:rPr>
            </w:pPr>
          </w:p>
        </w:tc>
        <w:tc>
          <w:tcPr>
            <w:tcW w:w="3280" w:type="dxa"/>
            <w:vAlign w:val="bottom"/>
            <w:shd w:val="clear" w:color="auto" w:fill="02237A"/>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0" w:right="154" w:hanging="215"/>
        <w:spacing w:after="0" w:line="291" w:lineRule="auto"/>
        <w:tabs>
          <w:tab w:leader="none" w:pos="659" w:val="left"/>
        </w:tabs>
        <w:numPr>
          <w:ilvl w:val="0"/>
          <w:numId w:val="6"/>
        </w:numPr>
        <w:rPr>
          <w:rFonts w:ascii="Arial" w:cs="Arial" w:eastAsia="Arial" w:hAnsi="Arial"/>
          <w:sz w:val="13"/>
          <w:szCs w:val="13"/>
          <w:color w:val="auto"/>
        </w:rPr>
      </w:pPr>
      <w:r>
        <w:rPr>
          <w:rFonts w:ascii="Arial" w:cs="Arial" w:eastAsia="Arial" w:hAnsi="Arial"/>
          <w:sz w:val="13"/>
          <w:szCs w:val="13"/>
          <w:color w:val="auto"/>
        </w:rPr>
        <w:t>Addresses top consumer dissatisfactions such as odors, drawstring breaks and bag tears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6" w:hanging="206"/>
        <w:spacing w:after="0" w:line="253" w:lineRule="auto"/>
        <w:tabs>
          <w:tab w:leader="none" w:pos="186" w:val="left"/>
        </w:tabs>
        <w:numPr>
          <w:ilvl w:val="0"/>
          <w:numId w:val="7"/>
        </w:numPr>
        <w:rPr>
          <w:rFonts w:ascii="Arial" w:cs="Arial" w:eastAsia="Arial" w:hAnsi="Arial"/>
          <w:sz w:val="14"/>
          <w:szCs w:val="14"/>
          <w:color w:val="auto"/>
        </w:rPr>
      </w:pPr>
      <w:r>
        <w:rPr>
          <w:rFonts w:ascii="Arial" w:cs="Arial" w:eastAsia="Arial" w:hAnsi="Arial"/>
          <w:sz w:val="14"/>
          <w:szCs w:val="14"/>
          <w:color w:val="auto"/>
        </w:rPr>
        <w:t>Addresses key pain point of soaking/scrubbing the slow cooker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20" w:right="100" w:hanging="220"/>
        <w:spacing w:after="0" w:line="238"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Addresses consumer need for taller bags that can fit a larger assortment of snacks in terms of size and shape</w:t>
      </w:r>
    </w:p>
    <w:p>
      <w:pPr>
        <w:spacing w:after="0" w:line="62" w:lineRule="exact"/>
        <w:rPr>
          <w:sz w:val="20"/>
          <w:szCs w:val="20"/>
          <w:color w:val="auto"/>
        </w:rPr>
      </w:pPr>
    </w:p>
    <w:p>
      <w:pPr>
        <w:sectPr>
          <w:pgSz w:w="11900" w:h="16838" w:orient="portrait"/>
          <w:cols w:equalWidth="0" w:num="3">
            <w:col w:w="3594" w:space="720"/>
            <w:col w:w="3106" w:space="500"/>
            <w:col w:w="3120"/>
          </w:cols>
          <w:pgMar w:left="240" w:top="459" w:right="619" w:bottom="1440" w:gutter="0" w:footer="0" w:header="0"/>
          <w:type w:val="continuous"/>
        </w:sectPr>
      </w:pPr>
    </w:p>
    <w:tbl>
      <w:tblPr>
        <w:tblLayout w:type="fixed"/>
        <w:tblInd w:w="380" w:type="dxa"/>
        <w:tblCellMar>
          <w:top w:w="0" w:type="dxa"/>
          <w:left w:w="0" w:type="dxa"/>
          <w:bottom w:w="0" w:type="dxa"/>
          <w:right w:w="0" w:type="dxa"/>
        </w:tblCellMar>
      </w:tblPr>
      <w:tr>
        <w:trPr>
          <w:trHeight w:val="161"/>
        </w:trPr>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440" w:type="dxa"/>
            <w:vAlign w:val="bottom"/>
          </w:tcPr>
          <w:p>
            <w:pPr>
              <w:ind w:left="60"/>
              <w:spacing w:after="0"/>
              <w:rPr>
                <w:sz w:val="20"/>
                <w:szCs w:val="20"/>
                <w:color w:val="auto"/>
              </w:rPr>
            </w:pPr>
            <w:r>
              <w:rPr>
                <w:rFonts w:ascii="Arial" w:cs="Arial" w:eastAsia="Arial" w:hAnsi="Arial"/>
                <w:sz w:val="14"/>
                <w:szCs w:val="14"/>
                <w:color w:val="auto"/>
              </w:rPr>
              <w:t>Utilizes Arm &amp; Hammer</w:t>
            </w:r>
            <w:r>
              <w:rPr>
                <w:rFonts w:ascii="Arial" w:cs="Arial" w:eastAsia="Arial" w:hAnsi="Arial"/>
                <w:sz w:val="12"/>
                <w:szCs w:val="12"/>
                <w:color w:val="auto"/>
              </w:rPr>
              <w:t>®</w:t>
            </w:r>
            <w:r>
              <w:rPr>
                <w:rFonts w:ascii="Arial" w:cs="Arial" w:eastAsia="Arial" w:hAnsi="Arial"/>
                <w:sz w:val="14"/>
                <w:szCs w:val="14"/>
                <w:color w:val="auto"/>
              </w:rPr>
              <w:t xml:space="preserve"> patented odor neutralizer</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3080" w:type="dxa"/>
            <w:vAlign w:val="bottom"/>
          </w:tcPr>
          <w:p>
            <w:pPr>
              <w:ind w:left="80"/>
              <w:spacing w:after="0"/>
              <w:rPr>
                <w:sz w:val="20"/>
                <w:szCs w:val="20"/>
                <w:color w:val="auto"/>
              </w:rPr>
            </w:pPr>
            <w:r>
              <w:rPr>
                <w:rFonts w:ascii="Arial" w:cs="Arial" w:eastAsia="Arial" w:hAnsi="Arial"/>
                <w:sz w:val="14"/>
                <w:szCs w:val="14"/>
                <w:color w:val="auto"/>
              </w:rPr>
              <w:t>BPA-free product that offers convenience for</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2980" w:type="dxa"/>
            <w:vAlign w:val="bottom"/>
          </w:tcPr>
          <w:p>
            <w:pPr>
              <w:ind w:left="80"/>
              <w:spacing w:after="0"/>
              <w:rPr>
                <w:sz w:val="20"/>
                <w:szCs w:val="20"/>
                <w:color w:val="auto"/>
              </w:rPr>
            </w:pPr>
            <w:r>
              <w:rPr>
                <w:rFonts w:ascii="Arial" w:cs="Arial" w:eastAsia="Arial" w:hAnsi="Arial"/>
                <w:sz w:val="14"/>
                <w:szCs w:val="14"/>
                <w:color w:val="auto"/>
                <w:w w:val="92"/>
              </w:rPr>
              <w:t>Unique square shape that is easier to fill and close</w:t>
            </w:r>
          </w:p>
        </w:tc>
      </w:tr>
      <w:tr>
        <w:trPr>
          <w:trHeight w:val="182"/>
        </w:trPr>
        <w:tc>
          <w:tcPr>
            <w:tcW w:w="22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for revitalized scents</w:t>
            </w:r>
          </w:p>
        </w:tc>
        <w:tc>
          <w:tcPr>
            <w:tcW w:w="40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4"/>
                <w:szCs w:val="14"/>
                <w:color w:val="auto"/>
              </w:rPr>
              <w:t>household meal preparation</w:t>
            </w:r>
          </w:p>
        </w:tc>
        <w:tc>
          <w:tcPr>
            <w:tcW w:w="520" w:type="dxa"/>
            <w:vAlign w:val="bottom"/>
          </w:tcPr>
          <w:p>
            <w:pPr>
              <w:spacing w:after="0"/>
              <w:rPr>
                <w:sz w:val="15"/>
                <w:szCs w:val="15"/>
                <w:color w:val="auto"/>
              </w:rPr>
            </w:pPr>
          </w:p>
        </w:tc>
        <w:tc>
          <w:tcPr>
            <w:tcW w:w="2980" w:type="dxa"/>
            <w:vAlign w:val="bottom"/>
          </w:tcPr>
          <w:p>
            <w:pPr>
              <w:ind w:left="100"/>
              <w:spacing w:after="0"/>
              <w:rPr>
                <w:sz w:val="20"/>
                <w:szCs w:val="20"/>
                <w:color w:val="auto"/>
              </w:rPr>
            </w:pPr>
            <w:r>
              <w:rPr>
                <w:rFonts w:ascii="Arial" w:cs="Arial" w:eastAsia="Arial" w:hAnsi="Arial"/>
                <w:sz w:val="14"/>
                <w:szCs w:val="14"/>
                <w:color w:val="auto"/>
                <w:w w:val="93"/>
              </w:rPr>
              <w:t>and offers more optionality than rectangular bags</w:t>
            </w:r>
          </w:p>
        </w:tc>
      </w:tr>
      <w:tr>
        <w:trPr>
          <w:trHeight w:val="223"/>
        </w:trPr>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3440" w:type="dxa"/>
            <w:vAlign w:val="bottom"/>
          </w:tcPr>
          <w:p>
            <w:pPr>
              <w:ind w:left="60"/>
              <w:spacing w:after="0"/>
              <w:rPr>
                <w:sz w:val="20"/>
                <w:szCs w:val="20"/>
                <w:color w:val="auto"/>
              </w:rPr>
            </w:pPr>
            <w:r>
              <w:rPr>
                <w:rFonts w:ascii="Arial" w:cs="Arial" w:eastAsia="Arial" w:hAnsi="Arial"/>
                <w:sz w:val="14"/>
                <w:szCs w:val="14"/>
                <w:color w:val="auto"/>
                <w:w w:val="99"/>
              </w:rPr>
              <w:t>Uses active tear-resistant technology and higher grade</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3080" w:type="dxa"/>
            <w:vAlign w:val="bottom"/>
          </w:tcPr>
          <w:p>
            <w:pPr>
              <w:ind w:left="80"/>
              <w:spacing w:after="0"/>
              <w:rPr>
                <w:sz w:val="20"/>
                <w:szCs w:val="20"/>
                <w:color w:val="auto"/>
              </w:rPr>
            </w:pPr>
            <w:r>
              <w:rPr>
                <w:rFonts w:ascii="Arial" w:cs="Arial" w:eastAsia="Arial" w:hAnsi="Arial"/>
                <w:sz w:val="14"/>
                <w:szCs w:val="14"/>
                <w:color w:val="auto"/>
              </w:rPr>
              <w:t>Provides fast and easy clean up in seconds</w:t>
            </w:r>
          </w:p>
        </w:tc>
        <w:tc>
          <w:tcPr>
            <w:tcW w:w="520" w:type="dxa"/>
            <w:vAlign w:val="bottom"/>
          </w:tcPr>
          <w:p>
            <w:pPr>
              <w:ind w:left="400"/>
              <w:spacing w:after="0"/>
              <w:rPr>
                <w:sz w:val="20"/>
                <w:szCs w:val="20"/>
                <w:color w:val="auto"/>
              </w:rPr>
            </w:pPr>
            <w:r>
              <w:rPr>
                <w:rFonts w:ascii="Arial" w:cs="Arial" w:eastAsia="Arial" w:hAnsi="Arial"/>
                <w:sz w:val="14"/>
                <w:szCs w:val="14"/>
                <w:color w:val="auto"/>
              </w:rPr>
              <w:t>•</w:t>
            </w:r>
          </w:p>
        </w:tc>
        <w:tc>
          <w:tcPr>
            <w:tcW w:w="2980" w:type="dxa"/>
            <w:vAlign w:val="bottom"/>
          </w:tcPr>
          <w:p>
            <w:pPr>
              <w:ind w:left="80"/>
              <w:spacing w:after="0"/>
              <w:rPr>
                <w:sz w:val="20"/>
                <w:szCs w:val="20"/>
                <w:color w:val="auto"/>
              </w:rPr>
            </w:pPr>
            <w:r>
              <w:rPr>
                <w:rFonts w:ascii="Arial" w:cs="Arial" w:eastAsia="Arial" w:hAnsi="Arial"/>
                <w:sz w:val="14"/>
                <w:szCs w:val="14"/>
                <w:color w:val="auto"/>
              </w:rPr>
              <w:t>Multipurpose storage that seals in flavor and</w:t>
            </w:r>
          </w:p>
        </w:tc>
      </w:tr>
      <w:tr>
        <w:trPr>
          <w:trHeight w:val="167"/>
        </w:trPr>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resin for stronger bags and improved performance</w:t>
            </w:r>
          </w:p>
        </w:tc>
        <w:tc>
          <w:tcPr>
            <w:tcW w:w="4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freshness for food items</w:t>
            </w:r>
          </w:p>
        </w:tc>
      </w:tr>
    </w:tbl>
    <w:p>
      <w:pPr>
        <w:spacing w:after="0" w:line="202"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invested considerable resources to develop proprietary products and efficient manufacturing capabilities and we actively protect our intellectual property. 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also look to partner with both our suppliers and customers to drive innovation through the entire supply chain.</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As sustainability becomes more central to the consumer’s purchasing decision, we remain focused on developing new eco-friendly products, and we are continuously investing in our capabilities to improve our ability to utilize recycled materials. We currently have environmentally friendly options across the vast majority of our product categories, such as compostable trash bags and store brand bags made from plant-based resins and recyclable materials. We have a strong pipeline of new products in development, many of which are part of our broader sustainability initiatives.</w:t>
      </w:r>
    </w:p>
    <w:p>
      <w:pPr>
        <w:spacing w:after="0" w:line="188"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auto"/>
        </w:rPr>
        <w:t>Innovation is a significant component of our culture and is further instilled through Reyvolution. We have devoted significant resources towards this endeavor and believe that our highly experienced R&amp;D teams will remain on the cutting edge.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Well-invested manufacturing footprint that serves as a competitive moat</w:t>
      </w:r>
    </w:p>
    <w:p>
      <w:pPr>
        <w:spacing w:after="0" w:line="121" w:lineRule="exact"/>
        <w:rPr>
          <w:sz w:val="20"/>
          <w:szCs w:val="20"/>
          <w:color w:val="auto"/>
        </w:rPr>
      </w:pPr>
    </w:p>
    <w:p>
      <w:pPr>
        <w:ind w:left="380" w:right="60" w:firstLine="426"/>
        <w:spacing w:after="0" w:line="254" w:lineRule="auto"/>
        <w:rPr>
          <w:sz w:val="20"/>
          <w:szCs w:val="20"/>
          <w:color w:val="auto"/>
        </w:rPr>
      </w:pPr>
      <w:r>
        <w:rPr>
          <w:rFonts w:ascii="Arial" w:cs="Arial" w:eastAsia="Arial" w:hAnsi="Arial"/>
          <w:sz w:val="18"/>
          <w:szCs w:val="18"/>
          <w:color w:val="auto"/>
        </w:rPr>
        <w:t>We have a robust and well invested manufacturing footprint which includes 17 manufacturing facilities and over 5,000 employees. Our facilities are strategically located across the United States and Canada, and the majority of our products are proudly made in the United States. Our low-cost and efficient manufacturing facilities enable us to optimize distribution, minimize lead times and reduce freight costs. This significant production base, built over decades, positions us well versus our competitive peer set. We estimate that it would require more than $2.5 billion to replicate our manufacturing assets, and we believe it would be exceedingly difficult to replicate our proprietary manufacturing know-how and in-house developed technology that enable us to run our facilities faster, with greater automation and with higher quality control. Our unique manufacturing capabilities enable us to produce a broad selection of differentiated products that help drive growth while providing a substantial barrier to entry.</w:t>
      </w:r>
    </w:p>
    <w:p>
      <w:pPr>
        <w:spacing w:after="0" w:line="192" w:lineRule="exact"/>
        <w:rPr>
          <w:sz w:val="20"/>
          <w:szCs w:val="20"/>
          <w:color w:val="auto"/>
        </w:rPr>
      </w:pPr>
    </w:p>
    <w:p>
      <w:pPr>
        <w:jc w:val="both"/>
        <w:ind w:left="380" w:right="120" w:firstLine="426"/>
        <w:spacing w:after="0" w:line="279" w:lineRule="auto"/>
        <w:rPr>
          <w:sz w:val="20"/>
          <w:szCs w:val="20"/>
          <w:color w:val="auto"/>
        </w:rPr>
      </w:pPr>
      <w:r>
        <w:rPr>
          <w:rFonts w:ascii="Arial" w:cs="Arial" w:eastAsia="Arial" w:hAnsi="Arial"/>
          <w:sz w:val="17"/>
          <w:szCs w:val="17"/>
          <w:color w:val="auto"/>
        </w:rPr>
        <w:t>Through Reyvolution, we are focused on lean manufacturing initiatives to reduce material usage, improve uptime and increase productivity across every site. We are heavily automated today and are committed to further investments in automation, including recent initiatives focused on the automation of repetitive manual tasks to increase operating efficiency and consistency, while protecting ourselves from labor fluctuations. Our automation processes and proprietary manufacturing technologies are difficult for competitors to replicate.</w:t>
      </w:r>
    </w:p>
    <w:p>
      <w:pPr>
        <w:spacing w:after="0" w:line="171" w:lineRule="exact"/>
        <w:rPr>
          <w:sz w:val="20"/>
          <w:szCs w:val="20"/>
          <w:color w:val="auto"/>
        </w:rPr>
      </w:pPr>
    </w:p>
    <w:p>
      <w:pPr>
        <w:jc w:val="both"/>
        <w:ind w:left="380" w:right="320" w:firstLine="426"/>
        <w:spacing w:after="0" w:line="312" w:lineRule="auto"/>
        <w:rPr>
          <w:sz w:val="20"/>
          <w:szCs w:val="20"/>
          <w:color w:val="auto"/>
        </w:rPr>
      </w:pPr>
      <w:r>
        <w:rPr>
          <w:rFonts w:ascii="Arial" w:cs="Arial" w:eastAsia="Arial" w:hAnsi="Arial"/>
          <w:sz w:val="16"/>
          <w:szCs w:val="16"/>
          <w:color w:val="auto"/>
        </w:rPr>
        <w:t>Our operations have significant scale and substantial vertical integration, which provides us with competitive advantages. Our substantial vertical integration gives us increased independence from suppliers and the ability to control costs more efficiently. It also partially insulates us from import volatility. We have a robust network of suppliers allowing us to be nimble in our input material purchasing.</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Attractive financial performance with strong free cash flow generation</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We have an attractive financial profile with steady organic revenue growth, strong margins and disciplined capital expenditures. These attributes allow us to generate robust free cash flow.</w:t>
      </w:r>
    </w:p>
    <w:p>
      <w:pPr>
        <w:spacing w:after="0" w:line="170"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Since 2014, our income from operations margin and Adjusted EBITDA margin have grown by 364 and 242 basis points to 16% and 21%, respectively, in the year ended December 31, 2018. We have driven margin expansion mainly by managing costs, increasing our volumes and manufacturing efficiency and driving innovation. We are able to deliver attractive Adjusted EBITDA margins due to the high value-added nature of our products. We defend our margin position through innovation driven growth, cost savings and effective purchasing. The vertically integrated nature of our business provides further insulation for our margin profile.</w:t>
      </w:r>
    </w:p>
    <w:p>
      <w:pPr>
        <w:spacing w:after="0" w:line="188" w:lineRule="exact"/>
        <w:rPr>
          <w:sz w:val="20"/>
          <w:szCs w:val="20"/>
          <w:color w:val="auto"/>
        </w:rPr>
      </w:pPr>
    </w:p>
    <w:p>
      <w:pPr>
        <w:jc w:val="both"/>
        <w:ind w:left="380" w:right="140" w:firstLine="426"/>
        <w:spacing w:after="0" w:line="259" w:lineRule="auto"/>
        <w:rPr>
          <w:sz w:val="20"/>
          <w:szCs w:val="20"/>
          <w:color w:val="auto"/>
        </w:rPr>
      </w:pPr>
      <w:r>
        <w:rPr>
          <w:rFonts w:ascii="Arial" w:cs="Arial" w:eastAsia="Arial" w:hAnsi="Arial"/>
          <w:sz w:val="18"/>
          <w:szCs w:val="18"/>
          <w:color w:val="auto"/>
        </w:rPr>
        <w:t>We plan to continue leveraging Reyvolution to deliver incremental operational productivity savings, improve our business mix and increase the effectiveness of our sales force. Historically our business has relatively low capital expenditure requirements, averaging $60 million per year over the past three fiscal years, which drives our high rate of free cash flow conversion. We plan to continue to manage our costs, working capital and capital expenditures to deliver strong free cash flow.</w:t>
      </w:r>
    </w:p>
    <w:p>
      <w:pPr>
        <w:spacing w:after="0" w:line="1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33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Commitment to sustainability and values</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put safety first, treat people with respect and operate ethically to help ensure that we manage our business on a sound long-term foundation. We never compromise our values, regardless of market forces, and we remain committed to strong rules of governance. We manage our business for long-term results, as evidenced by the robust Reyvolution initiative pipeline across all facets of our business. We believe corporate responsibility is the obligation of all employees. Our management team is committed to maintaining our culture, which has been an important component of our success.</w:t>
      </w:r>
    </w:p>
    <w:p>
      <w:pPr>
        <w:spacing w:after="0" w:line="188"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We strive to operate with respect for the environment and are committed to sustainability across three key areas: our product portfolio, supply chain and communities. We engage with our employees and partner with our customers to explore sustainability topics like plant and distribution route efficiency. We participate at the forefront of emerging municipal programs that generate new community based solutions and also end-to-end recycling solutions with our Hefty EnergyBag Program in partnership with a key supplier. We are longstanding members of the Sustainable Packaging Coalition</w:t>
      </w:r>
      <w:r>
        <w:rPr>
          <w:rFonts w:ascii="Arial" w:cs="Arial" w:eastAsia="Arial" w:hAnsi="Arial"/>
          <w:sz w:val="14"/>
          <w:szCs w:val="14"/>
          <w:color w:val="auto"/>
        </w:rPr>
        <w:t>®</w:t>
      </w:r>
      <w:r>
        <w:rPr>
          <w:rFonts w:ascii="Arial" w:cs="Arial" w:eastAsia="Arial" w:hAnsi="Arial"/>
          <w:sz w:val="17"/>
          <w:szCs w:val="17"/>
          <w:color w:val="auto"/>
        </w:rPr>
        <w:t>, an industry working group dedicated to a more robust environmental vision for packaging, and the Forest Stewardship Council through their voluntary program for responsible forest management. We are committed to using recycled, renewable, recyclable, compostable and other sustainable materials in our products, which drives our product-oriented sustainability initiatives. Currently, 33% of the products that we sell in the United States are recyclable.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Management team with a strong track record of innovation-driven growth</w:t>
      </w:r>
    </w:p>
    <w:p>
      <w:pPr>
        <w:spacing w:after="0" w:line="121" w:lineRule="exact"/>
        <w:rPr>
          <w:sz w:val="20"/>
          <w:szCs w:val="20"/>
          <w:color w:val="auto"/>
        </w:rPr>
      </w:pPr>
    </w:p>
    <w:p>
      <w:pPr>
        <w:ind w:left="380" w:right="120" w:firstLine="426"/>
        <w:spacing w:after="0" w:line="289" w:lineRule="auto"/>
        <w:rPr>
          <w:sz w:val="20"/>
          <w:szCs w:val="20"/>
          <w:color w:val="auto"/>
        </w:rPr>
      </w:pPr>
      <w:r>
        <w:rPr>
          <w:rFonts w:ascii="Arial" w:cs="Arial" w:eastAsia="Arial" w:hAnsi="Arial"/>
          <w:sz w:val="16"/>
          <w:szCs w:val="16"/>
          <w:color w:val="auto"/>
        </w:rPr>
        <w:t>We have a deep bench of talented managers led by Lance Mitchell, our President and Chief Executive Officer, who has over 35 years of industry experience. Both our CEO and CFO have played a pivotal role in the successful integration of the Reynolds and Hefty businesses. We have continued to assemble a leading team through strategic hires and have expanded our organizational capabilities in new product development. Through the lens of Reyvolution, our management team is focused on their vision for RCP, which includes a culture of innovation, excelling at quality and service, creating products people love and constantly evolving the business. Our management team’s key accomplishments include integrating, developing and growing a company with a strong ethics-driven and safety-focused culture while still achieving best-in-class market share and strong financial results. In addition, we attribute our lower than industry standard turnover rates to our collaborative, trustworthy company culture and our unwavering commitment to safety and to our people. Our strong management team is well positioned to effectively manage the business into the future with a depth of talented and dedicated employees already primed to lead the next generation of RCP.</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Business Strategies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Key elements of our business strategy include: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Champion our categories and grow with our customers</w:t>
      </w:r>
    </w:p>
    <w:p>
      <w:pPr>
        <w:spacing w:after="0" w:line="121" w:lineRule="exact"/>
        <w:rPr>
          <w:sz w:val="20"/>
          <w:szCs w:val="20"/>
          <w:color w:val="auto"/>
        </w:rPr>
      </w:pPr>
    </w:p>
    <w:p>
      <w:pPr>
        <w:ind w:left="380" w:right="80" w:firstLine="426"/>
        <w:spacing w:after="0" w:line="271" w:lineRule="auto"/>
        <w:rPr>
          <w:sz w:val="20"/>
          <w:szCs w:val="20"/>
          <w:color w:val="auto"/>
        </w:rPr>
      </w:pPr>
      <w:r>
        <w:rPr>
          <w:rFonts w:ascii="Arial" w:cs="Arial" w:eastAsia="Arial" w:hAnsi="Arial"/>
          <w:sz w:val="17"/>
          <w:szCs w:val="17"/>
          <w:color w:val="auto"/>
        </w:rPr>
        <w:t>We participate in large consumer categories with strong household penetration. Our combined branded and store brand share is significant in our categories. Our products appeal to consumers of all demographics and have a multitude of usage occasions. Our scale across household aisles and ability to offer trusted branded and store brand products enable us to grow the overall category and has earned us the opportunity to provide category captain level advisor insights at the majority of our retail partners. Our respected and trusted category managers provide our customers with category management expertise, insight and analytics to help them drive consumer traffic and spending. Through marketing and consumer education strategies, both inside the store and out, we expand usage occasions and stimulate consumption. Our new product innovation drives incremental growth within our categories. These factors and our focus on offering a high quality portfolio of branded and store brand products provide tremendous value to our retailers versus our competition.</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Continued investment behind our market-leading brand portfolio</w:t>
      </w:r>
    </w:p>
    <w:p>
      <w:pPr>
        <w:spacing w:after="0" w:line="121" w:lineRule="exact"/>
        <w:rPr>
          <w:sz w:val="20"/>
          <w:szCs w:val="20"/>
          <w:color w:val="auto"/>
        </w:rPr>
      </w:pPr>
    </w:p>
    <w:p>
      <w:pPr>
        <w:ind w:left="380" w:right="60" w:firstLine="426"/>
        <w:spacing w:after="0" w:line="270" w:lineRule="auto"/>
        <w:rPr>
          <w:sz w:val="20"/>
          <w:szCs w:val="20"/>
          <w:color w:val="auto"/>
        </w:rPr>
      </w:pPr>
      <w:r>
        <w:rPr>
          <w:rFonts w:ascii="Arial" w:cs="Arial" w:eastAsia="Arial" w:hAnsi="Arial"/>
          <w:sz w:val="17"/>
          <w:szCs w:val="17"/>
          <w:color w:val="auto"/>
        </w:rPr>
        <w:t>We have iconic brands and a proven ability to innovate, which enable us to approach adjacencies strategically and enhance our brand relevance with consumers. We plan to continue our investment in marketing and advertising to grow the revenues of our product offerings and the categories in which they participate. Our innovative approach to advertising, and early adoption of new channels such as digital, social media and experiential events, have addressed the full range of consumer constituents and resulted in powerful penetration growth, market share growth and increased usage occasions, even in some of our more mature categories. For example, we have worked closely with advertisers to integrate aluminum foil, parchment paper, slow cooker liners and oven bags into recipes, which has resulted in over 40,000 integrated online recipes which offer simplified solutions in the kitchen. Additionally, our successful Hefty advertising campaigns have driven a 5% market share growth in the trash bag category over the last four years. We have a strong competency in measuring, monitoring and improving the efficiency of our marketing spending through internal proprietary analytical techniques. We believe there is a significant opportunity to use our existing brand equity and expand into adjacent categories.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Strengthen presence across distribution channels</w:t>
      </w:r>
    </w:p>
    <w:p>
      <w:pPr>
        <w:spacing w:after="0" w:line="121"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In addition to traditional grocery, we believe there is significant opportunity to expand within the club, home improvement, dollar-store and eCommerce channels across our full product portfolio. Building on Hefty’s brand dominance in large trash bags, we have provided new consumer insights to the home improvement and club channels, which have generated growth and new distribution. For example, the introduction of the new Hefty Load ‘n Carry product in the home improvement channel has energized Hefty’s relationships with DIYers and generated significant interest from these retail partners. Additionally, we see opportunity for our Reynolds products in the home improvement and club channels, with recent new customer wins and stock keeping unit (“SKU”) expansion driving future growth.</w:t>
      </w:r>
    </w:p>
    <w:p>
      <w:pPr>
        <w:spacing w:after="0" w:line="178" w:lineRule="exact"/>
        <w:rPr>
          <w:sz w:val="20"/>
          <w:szCs w:val="20"/>
          <w:color w:val="auto"/>
        </w:rPr>
      </w:pPr>
    </w:p>
    <w:p>
      <w:pPr>
        <w:ind w:left="380" w:right="160" w:firstLine="426"/>
        <w:spacing w:after="0" w:line="272" w:lineRule="auto"/>
        <w:rPr>
          <w:sz w:val="20"/>
          <w:szCs w:val="20"/>
          <w:color w:val="auto"/>
        </w:rPr>
      </w:pPr>
      <w:r>
        <w:rPr>
          <w:rFonts w:ascii="Arial" w:cs="Arial" w:eastAsia="Arial" w:hAnsi="Arial"/>
          <w:sz w:val="17"/>
          <w:szCs w:val="17"/>
          <w:color w:val="auto"/>
        </w:rPr>
        <w:t>eCommerce penetration is expected to increase, due to the convenience of online ordering and subscription delivery, particularly for easy-to-ship household product categories. Given our strong relationship with online retailers, we are well-positioned to compete profitably and gain share in this growing channel. We provide both branded and private brand products through this channel to address the consumer’s need for convenience and value. Furthering our eCommerce strategy, we recently launched a full line of store brand aluminum foil, trash bags and food storage bags as the exclusive supplier to the eCommerce leader. Additionally, most of our products are compatible with the eCommerce channel because they are shelf stable and efficient to transport. The recurring nature of consumer purchase cycles for our products positions us well to capitalize on continued growth of grocery pickup and subscription services.</w:t>
      </w:r>
    </w:p>
    <w:p>
      <w:pPr>
        <w:spacing w:after="0" w:line="178"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Finally, given our brand strength, technical expertise and the extensive use of products within our categories around the world, we see opportunities to selectively expand internationally. We currently sell to 54 countries around the world; however, this currently represents a small percentage of our annual revenue. During fiscal year 2018, North America represented 99% of our total sales. We estimate our addressable market outside the United States and Canada to be approximately $7.3 billion.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Drive growth through new and innovative products</w:t>
      </w:r>
    </w:p>
    <w:p>
      <w:pPr>
        <w:spacing w:after="0" w:line="121" w:lineRule="exact"/>
        <w:rPr>
          <w:sz w:val="20"/>
          <w:szCs w:val="20"/>
          <w:color w:val="auto"/>
        </w:rPr>
      </w:pPr>
    </w:p>
    <w:p>
      <w:pPr>
        <w:jc w:val="both"/>
        <w:ind w:left="380" w:right="220" w:firstLine="426"/>
        <w:spacing w:after="0" w:line="302" w:lineRule="auto"/>
        <w:rPr>
          <w:sz w:val="20"/>
          <w:szCs w:val="20"/>
          <w:color w:val="auto"/>
        </w:rPr>
      </w:pPr>
      <w:r>
        <w:rPr>
          <w:rFonts w:ascii="Arial" w:cs="Arial" w:eastAsia="Arial" w:hAnsi="Arial"/>
          <w:sz w:val="16"/>
          <w:szCs w:val="16"/>
          <w:color w:val="auto"/>
        </w:rPr>
        <w:t>We are an innovation driven company, and through Reyvolution, new product development plays a significant role in our growth strategy. Our innovation capabilities, combined with our investments in consumer-focused market research, will allow us to continue our track record of successful new product launches. We proactively collaborate with our retail partners on customized product innovation. Our product innovation pipeline focuses on use occasions including meals and snacks on-the-go as well as sustainability and the needs of</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240" w:top="459"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75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color w:val="auto"/>
        </w:rPr>
        <w:t>the millennial consumer. Our objective is to generate 20% of our revenue each year from new products introduced within the prior three years. In fiscal year 2018, 21% of our revenue was generated from products that were less than three years old.</w:t>
      </w:r>
    </w:p>
    <w:p>
      <w:pPr>
        <w:spacing w:after="0" w:line="170"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More recently, through Hefty, we launched a new Ultra Strong product line that takes advantage of our triple action technology, which Nielsen awarded the 2018 Innovation Award (one of only 25 nationally). Our Reynolds KITCHENS Parchment Pop Up Sheets and Presto store brand square-shaped snack bags have been great successes with consumers, providing products better aligned with usage needs than the existing options on the shelf. Furthermore, Hefty sliders storage bags with the Stand &amp; Fill feature, launched in 2019, are preferred over the competition by 73% of consumers.</w:t>
      </w:r>
    </w:p>
    <w:p>
      <w:pPr>
        <w:spacing w:after="0" w:line="188"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have focused much of our innovation efforts around sustainability, and we offer a broad line of products that are better for the planet. We are focusing on products made with recycled, renewable, recyclable and compostable materials. For example, we recently launched 75% Unbleached Compostable Parchment Paper and redesigned our Hefty party cups to reduce the plastic by 10% while maintaining strength.</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Systematically improve operational efficiency and reduce cost</w:t>
      </w:r>
    </w:p>
    <w:p>
      <w:pPr>
        <w:spacing w:after="0" w:line="121" w:lineRule="exact"/>
        <w:rPr>
          <w:sz w:val="20"/>
          <w:szCs w:val="20"/>
          <w:color w:val="auto"/>
        </w:rPr>
      </w:pPr>
    </w:p>
    <w:p>
      <w:pPr>
        <w:ind w:left="380" w:right="40" w:firstLine="426"/>
        <w:spacing w:after="0" w:line="253" w:lineRule="auto"/>
        <w:rPr>
          <w:sz w:val="20"/>
          <w:szCs w:val="20"/>
          <w:color w:val="auto"/>
        </w:rPr>
      </w:pPr>
      <w:r>
        <w:rPr>
          <w:rFonts w:ascii="Arial" w:cs="Arial" w:eastAsia="Arial" w:hAnsi="Arial"/>
          <w:sz w:val="18"/>
          <w:szCs w:val="18"/>
          <w:color w:val="auto"/>
        </w:rPr>
        <w:t>We have cultivated a continuous improvement mindset oriented towards cost reduction, productivity improvements and lean manufacturing. We are focused on improving the ways in which we develop and manufacture products with data-driven decision making and robust lean business principles. Deep manufacturing expertise across our portfolio provides us with trade secret manufacturing know-how that delivers technical advantages and a low-cost competitive position. Our scale enables us to purchase inputs efficiently and increases our purchasing flexibility. We have implemented a simplified go-to-market strategy that fully leverages our customer relationships and scale and reduces overhead. We also continue to invest in automating repetitive manual tasks to increase operating efficiency and consistency, while reducing our exposure to labor fluctuations. We use digital capabilities to significantly improve our operational efficiency and effectiveness. We have launched an “intelligent factory program” to establish an integrated, data-driven culture that transforms our operations through digitally-connected people, assets and processes.</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Drive shareholder returns through balanced capital allocation</w:t>
      </w:r>
    </w:p>
    <w:p>
      <w:pPr>
        <w:spacing w:after="0" w:line="121"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We believe our strong free cash flow enables us to invest in and grow our business organically, reduce our indebtedness and pursue strategic M&amp;A to create value for our stockholders. We also expect to return capital to our stockholders through regular dividend payments. We expect to</w:t>
      </w:r>
    </w:p>
    <w:p>
      <w:pPr>
        <w:ind w:left="380" w:right="60"/>
        <w:spacing w:after="0" w:line="261" w:lineRule="auto"/>
        <w:rPr>
          <w:sz w:val="20"/>
          <w:szCs w:val="20"/>
          <w:color w:val="auto"/>
        </w:rPr>
      </w:pPr>
      <w:r>
        <w:rPr>
          <w:rFonts w:ascii="Arial" w:cs="Arial" w:eastAsia="Arial" w:hAnsi="Arial"/>
          <w:sz w:val="18"/>
          <w:szCs w:val="18"/>
          <w:color w:val="auto"/>
        </w:rPr>
        <w:t>pay a regular quarterly cash dividend on our common stock of $ per share beginning in the quarter of fiscal year 20 , subject to declaration by our board of directors. See “Dividend Policy” for additional details.</w:t>
      </w:r>
    </w:p>
    <w:p>
      <w:pPr>
        <w:spacing w:after="0" w:line="28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Investing in our stock involves risks. These risks include, among others, those related to:</w:t>
      </w:r>
    </w:p>
    <w:p>
      <w:pPr>
        <w:spacing w:after="0" w:line="131" w:lineRule="exact"/>
        <w:rPr>
          <w:sz w:val="20"/>
          <w:szCs w:val="20"/>
          <w:color w:val="auto"/>
        </w:rPr>
      </w:pPr>
    </w:p>
    <w:p>
      <w:pPr>
        <w:ind w:left="1100" w:hanging="295"/>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240" w:top="459" w:right="6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38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00" w:right="60" w:hanging="295"/>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75"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30" w:lineRule="exact"/>
        <w:rPr>
          <w:rFonts w:ascii="Arial" w:cs="Arial" w:eastAsia="Arial" w:hAnsi="Arial"/>
          <w:sz w:val="18"/>
          <w:szCs w:val="18"/>
          <w:color w:val="auto"/>
        </w:rPr>
      </w:pPr>
    </w:p>
    <w:p>
      <w:pPr>
        <w:ind w:left="1100" w:hanging="29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Before you invest in our stock, you should carefully consider all the information in this prospectus, including matters set forth under the heading “Risk Factors” beginning on page 21.</w:t>
      </w: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380" w:right="980" w:firstLine="426"/>
        <w:spacing w:after="0" w:line="308" w:lineRule="auto"/>
        <w:rPr>
          <w:sz w:val="20"/>
          <w:szCs w:val="20"/>
          <w:color w:val="auto"/>
        </w:rPr>
      </w:pPr>
      <w:r>
        <w:rPr>
          <w:rFonts w:ascii="Arial" w:cs="Arial" w:eastAsia="Arial" w:hAnsi="Arial"/>
          <w:sz w:val="17"/>
          <w:szCs w:val="17"/>
          <w:color w:val="auto"/>
        </w:rPr>
        <w:t>Reynolds Consumer Products Inc. (“RCPI”) was incorporated in the state of Delaware under the name RenPac Holdings Inc. on September 29, 2011. On June 26, 2019, RenPac Holdings Inc. changed its name to Reynolds Consumer Products Inc.</w:t>
      </w:r>
    </w:p>
    <w:p>
      <w:pPr>
        <w:spacing w:after="0" w:line="147"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Our principal executive offices are located at 1900 W. Field Court Lake Forest, Illinois, 60045 and our telephone number is (800) 879-5067. Our website is www.reynoldsconsumerproducts.com. Our website and the information contained therein or connected thereto are not incorporated into this prospectus or the registration statement of which it forms a part.</w:t>
      </w:r>
    </w:p>
    <w:p>
      <w:pPr>
        <w:spacing w:after="0" w:line="18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PFL, a company incorporated pursuant to the laws of New Zealand, will be our only stockholder immediately prior to the closing of this offering. PFL is a wholly-owned subsidiary of Packaging Holdings Limited (“PHL”), a company incorporated pursuant to the laws of New Zealand and wholly-owned by Mr. Graeme Hart. PFL is also the sole shareholder of Reynolds Group Holdings Limited (“RGHL” and together with its subsidiaries, “RGHL Group”). Rank Group Limited (“Rank”), a company incorporated pursuant to the laws of New Zealand, is Mr. Graeme Hart’s principal operating entity. For more information on our relationship with PFL, RGHL Group, Rank and Mr. Graeme Hart, see “Certain Relationships and Related Party Transactions” and “Principal Stockholders.”</w:t>
      </w:r>
    </w:p>
    <w:p>
      <w:pPr>
        <w:spacing w:after="0" w:line="193"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Upon closing of this offering, PFL will own, and control the voting power of, approximately % of our outstanding shares of common stock (or approximately % if the underwriters’ option to purchase additional shares of common stock is exercised in full). Upon closing of this offering, we will be a “controlled company” as defined under the corporate governance rules of Nasdaq. As a result, PFL will be able to exercise control over all matters requiring approval by our stockholders, including the election of our directors and approval of significant corporate transactions. PFL’s controlling interest may discourage or prevent a change in control of our company that other holders of our common stock may favor. See “Risk Factors—Risks Relating to Our Relationship with RGHL Group, PFL and Rank—We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Prior to the closing of this offering, we will consummate the following transactions:</w:t>
      </w:r>
    </w:p>
    <w:p>
      <w:pPr>
        <w:spacing w:after="0" w:line="131" w:lineRule="exact"/>
        <w:rPr>
          <w:sz w:val="20"/>
          <w:szCs w:val="20"/>
          <w:color w:val="auto"/>
        </w:rPr>
      </w:pPr>
    </w:p>
    <w:p>
      <w:pPr>
        <w:ind w:left="1100" w:hanging="295"/>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1100" w:right="40" w:hanging="295"/>
        <w:spacing w:after="0" w:line="286"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execution of a transition services agreement with Reynolds Group Holdings Inc. (“RGHI”) (“RGHI TSA”), whereby RGHL Group will continue to provide certain administrative services to us, and we will provide certain services to RGHL Group, in each case for up to 24 months, which is described in greater detail in “Certain Relationships and Related Party Transactions;”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81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5081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00" w:hanging="295"/>
        <w:spacing w:after="0" w:line="286"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 all of which are described in greater detail in “Certain Relationships and Related Party Transactions;”</w:t>
      </w:r>
    </w:p>
    <w:p>
      <w:pPr>
        <w:spacing w:after="0" w:line="70" w:lineRule="exact"/>
        <w:rPr>
          <w:rFonts w:ascii="Arial" w:cs="Arial" w:eastAsia="Arial" w:hAnsi="Arial"/>
          <w:sz w:val="17"/>
          <w:szCs w:val="17"/>
          <w:color w:val="auto"/>
        </w:rPr>
      </w:pPr>
    </w:p>
    <w:p>
      <w:pPr>
        <w:ind w:left="1100" w:right="600" w:hanging="295"/>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execution of a transition services agreement with Rank (“Rank TSA”) whereby, upon our request, Rank will provide certain administrative services to us for up to 24 months, which is described in greater detail in “Certain Relationships and Related Party Transactions;”</w:t>
      </w:r>
    </w:p>
    <w:p>
      <w:pPr>
        <w:spacing w:after="0" w:line="86" w:lineRule="exact"/>
        <w:rPr>
          <w:rFonts w:ascii="Arial" w:cs="Arial" w:eastAsia="Arial" w:hAnsi="Arial"/>
          <w:sz w:val="18"/>
          <w:szCs w:val="18"/>
          <w:color w:val="auto"/>
        </w:rPr>
      </w:pPr>
    </w:p>
    <w:p>
      <w:pPr>
        <w:ind w:left="1100" w:right="360" w:hanging="295"/>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RGHL Group’s credit agreement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100" w:right="420" w:hanging="295"/>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100" w:right="200" w:hanging="295"/>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100" w:hanging="295"/>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 stock split pursuant to which each share of our outstanding common stock will be exchanged</w:t>
      </w:r>
    </w:p>
    <w:p>
      <w:pPr>
        <w:sectPr>
          <w:pgSz w:w="11900" w:h="16838" w:orient="portrait"/>
          <w:cols w:equalWidth="0" w:num="1">
            <w:col w:w="11000"/>
          </w:cols>
          <w:pgMar w:left="240" w:top="459" w:right="659" w:bottom="1440" w:gutter="0" w:footer="0" w:header="0"/>
        </w:sectPr>
      </w:pPr>
    </w:p>
    <w:p>
      <w:pPr>
        <w:spacing w:after="0" w:line="23" w:lineRule="exact"/>
        <w:rPr>
          <w:sz w:val="20"/>
          <w:szCs w:val="20"/>
          <w:color w:val="auto"/>
        </w:rPr>
      </w:pPr>
    </w:p>
    <w:p>
      <w:pPr>
        <w:ind w:left="1100"/>
        <w:spacing w:after="0"/>
        <w:tabs>
          <w:tab w:leader="none" w:pos="2180" w:val="left"/>
        </w:tabs>
        <w:rPr>
          <w:sz w:val="20"/>
          <w:szCs w:val="20"/>
          <w:color w:val="auto"/>
        </w:rPr>
      </w:pPr>
      <w:r>
        <w:rPr>
          <w:rFonts w:ascii="Arial" w:cs="Arial" w:eastAsia="Arial" w:hAnsi="Arial"/>
          <w:sz w:val="16"/>
          <w:szCs w:val="16"/>
          <w:color w:val="auto"/>
        </w:rPr>
        <w:t>into</w:t>
      </w:r>
      <w:r>
        <w:rPr>
          <w:sz w:val="20"/>
          <w:szCs w:val="20"/>
          <w:color w:val="auto"/>
        </w:rPr>
        <w:tab/>
      </w:r>
      <w:r>
        <w:rPr>
          <w:rFonts w:ascii="Arial" w:cs="Arial" w:eastAsia="Arial" w:hAnsi="Arial"/>
          <w:sz w:val="16"/>
          <w:szCs w:val="16"/>
          <w:color w:val="auto"/>
        </w:rPr>
        <w:t>shares of common stock (“Stock Split”);</w:t>
      </w:r>
    </w:p>
    <w:p>
      <w:pPr>
        <w:sectPr>
          <w:pgSz w:w="11900" w:h="16838" w:orient="portrait"/>
          <w:cols w:equalWidth="0" w:num="1">
            <w:col w:w="11000"/>
          </w:cols>
          <w:pgMar w:left="240" w:top="459" w:right="659" w:bottom="1440" w:gutter="0" w:footer="0" w:header="0"/>
          <w:type w:val="continuous"/>
        </w:sectPr>
      </w:pPr>
    </w:p>
    <w:p>
      <w:pPr>
        <w:spacing w:after="0" w:line="13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entering into our new external debt facilities (“New Credit Facilities”), which will consist of a $ million senior secured term loan facility (“New Term Loan Facility”) and a $ million senior secured revolving credit facility (“New Revolving Facility”), each of</w:t>
      </w:r>
    </w:p>
    <w:p>
      <w:pPr>
        <w:spacing w:after="0" w:line="1" w:lineRule="exact"/>
        <w:rPr>
          <w:sz w:val="20"/>
          <w:szCs w:val="20"/>
          <w:color w:val="auto"/>
        </w:rPr>
      </w:pPr>
    </w:p>
    <w:p>
      <w:pPr>
        <w:sectPr>
          <w:pgSz w:w="11900" w:h="16838" w:orient="portrait"/>
          <w:cols w:equalWidth="0" w:num="2">
            <w:col w:w="860" w:space="240"/>
            <w:col w:w="9900"/>
          </w:cols>
          <w:pgMar w:left="240" w:top="459" w:right="659" w:bottom="1440" w:gutter="0" w:footer="0" w:header="0"/>
          <w:type w:val="continuous"/>
        </w:sectPr>
      </w:pPr>
    </w:p>
    <w:p>
      <w:pPr>
        <w:ind w:left="1100" w:right="100"/>
        <w:spacing w:after="0" w:line="254" w:lineRule="auto"/>
        <w:rPr>
          <w:sz w:val="20"/>
          <w:szCs w:val="20"/>
          <w:color w:val="auto"/>
        </w:rPr>
      </w:pPr>
      <w:r>
        <w:rPr>
          <w:rFonts w:ascii="Arial" w:cs="Arial" w:eastAsia="Arial" w:hAnsi="Arial"/>
          <w:sz w:val="18"/>
          <w:szCs w:val="18"/>
          <w:color w:val="auto"/>
        </w:rPr>
        <w:t>which is described in greater detail in “Management’s Discussion and Analysis of Financial Condition and Results of Operations— Sources of Liquidity.” We intend to use the net proceeds of the New Term Loan Facility to settle certain related party borrowings, including amounts arising as part of the Corporate Reorganization (as defined below) prior to this offering. The New Revolving Facility is expected to be undrawn upon the closing of this offering;</w:t>
      </w:r>
    </w:p>
    <w:p>
      <w:pPr>
        <w:spacing w:after="0" w:line="95" w:lineRule="exact"/>
        <w:rPr>
          <w:sz w:val="20"/>
          <w:szCs w:val="20"/>
          <w:color w:val="auto"/>
        </w:rPr>
      </w:pPr>
    </w:p>
    <w:p>
      <w:pPr>
        <w:ind w:left="1100" w:right="340" w:hanging="295"/>
        <w:spacing w:after="0" w:line="312"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incurrence of debt in an amount equal to the net proceeds from this offering under a one-day settlement facility (“IPO Settlement Facility”). The IPO Settlement Facility, which is described in greater detail in “Use of Proceeds,” will be funded on the date of, and immediately prior to the closing of, this offering and will be repaid and terminated with the net proceeds from this offering;</w:t>
      </w:r>
    </w:p>
    <w:p>
      <w:pPr>
        <w:spacing w:after="0" w:line="52" w:lineRule="exact"/>
        <w:rPr>
          <w:rFonts w:ascii="Arial" w:cs="Arial" w:eastAsia="Arial" w:hAnsi="Arial"/>
          <w:sz w:val="16"/>
          <w:szCs w:val="16"/>
          <w:color w:val="auto"/>
        </w:rPr>
      </w:pPr>
    </w:p>
    <w:p>
      <w:pPr>
        <w:ind w:left="1100" w:right="80" w:hanging="295"/>
        <w:spacing w:after="0" w:line="308"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repayment of certain related party borrowings owing to RGHL Group and the capitalization, as additional paid-in capital without the issuance of any additional shares, of the remaining balance of the related party borrowings owing to RGHL Group; and</w:t>
      </w:r>
    </w:p>
    <w:p>
      <w:pPr>
        <w:spacing w:after="0" w:line="51" w:lineRule="exact"/>
        <w:rPr>
          <w:rFonts w:ascii="Arial" w:cs="Arial" w:eastAsia="Arial" w:hAnsi="Arial"/>
          <w:sz w:val="17"/>
          <w:szCs w:val="17"/>
          <w:color w:val="auto"/>
        </w:rPr>
      </w:pPr>
    </w:p>
    <w:p>
      <w:pPr>
        <w:ind w:left="1100" w:right="100" w:hanging="295"/>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reorganization of our equity holdings such that RGHL Group will transfer its interests in us to PFL and, as such, PFL’s ownership of our common stock will be held outside the group of entities that will represent RGHL Group after this offering.</w:t>
      </w:r>
    </w:p>
    <w:p>
      <w:pPr>
        <w:spacing w:after="0" w:line="170" w:lineRule="exact"/>
        <w:rPr>
          <w:sz w:val="20"/>
          <w:szCs w:val="20"/>
          <w:color w:val="auto"/>
        </w:rPr>
      </w:pPr>
    </w:p>
    <w:p>
      <w:pPr>
        <w:ind w:left="380" w:right="1220" w:firstLine="426"/>
        <w:spacing w:after="0" w:line="277" w:lineRule="auto"/>
        <w:rPr>
          <w:sz w:val="20"/>
          <w:szCs w:val="20"/>
          <w:color w:val="auto"/>
        </w:rPr>
      </w:pPr>
      <w:r>
        <w:rPr>
          <w:rFonts w:ascii="Arial" w:cs="Arial" w:eastAsia="Arial" w:hAnsi="Arial"/>
          <w:sz w:val="18"/>
          <w:szCs w:val="18"/>
          <w:color w:val="auto"/>
        </w:rPr>
        <w:t>We refer to the foregoing transactions we will consummate prior to the closing of this offering collectively as the “Corporate Reorganization.”</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240" w:top="459" w:right="6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41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2145" cy="54413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80" w:right="320" w:firstLine="426"/>
        <w:spacing w:after="0" w:line="312" w:lineRule="auto"/>
        <w:rPr>
          <w:sz w:val="20"/>
          <w:szCs w:val="20"/>
          <w:color w:val="auto"/>
        </w:rPr>
      </w:pPr>
      <w:r>
        <w:rPr>
          <w:rFonts w:ascii="Arial" w:cs="Arial" w:eastAsia="Arial" w:hAnsi="Arial"/>
          <w:sz w:val="16"/>
          <w:szCs w:val="16"/>
          <w:i w:val="1"/>
          <w:iCs w:val="1"/>
          <w:color w:val="auto"/>
        </w:rPr>
        <w:t>This summary highlights information presented in greater detail elsewhere in this prospectus. This summary is not complete and does not contain all the information you should consider before investing in our common stock. You should carefully read this entire prospectus before investing in our common stock including the “Risk Factors” section and our combined financial statements and notes thereto.</w:t>
      </w:r>
    </w:p>
    <w:p>
      <w:pPr>
        <w:sectPr>
          <w:pgSz w:w="11900" w:h="16838" w:orient="portrait"/>
          <w:cols w:equalWidth="0" w:num="1">
            <w:col w:w="11020"/>
          </w:cols>
          <w:pgMar w:left="240" w:top="459" w:right="639" w:bottom="1440" w:gutter="0" w:footer="0" w:header="0"/>
        </w:sectPr>
      </w:pP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460" w:space="720"/>
            <w:col w:w="5840"/>
          </w:cols>
          <w:pgMar w:left="240" w:top="459" w:right="639" w:bottom="1440" w:gutter="0" w:footer="0" w:header="0"/>
          <w:type w:val="continuous"/>
        </w:sectPr>
      </w:pP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460" w:space="720"/>
            <w:col w:w="5840"/>
          </w:cols>
          <w:pgMar w:left="240" w:top="459" w:right="639" w:bottom="1440" w:gutter="0" w:footer="0" w:header="0"/>
          <w:type w:val="continuous"/>
        </w:sectPr>
      </w:pPr>
    </w:p>
    <w:p>
      <w:pPr>
        <w:spacing w:after="0" w:line="8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Use of proceeds</w:t>
            </w: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9"/>
              </w:rPr>
              <w:t>We estimate that the net proceeds to us from this offering will be approximately $</w:t>
            </w:r>
          </w:p>
        </w:tc>
      </w:tr>
      <w:tr>
        <w:trPr>
          <w:trHeight w:val="216"/>
        </w:trPr>
        <w:tc>
          <w:tcPr>
            <w:tcW w:w="2740" w:type="dxa"/>
            <w:vAlign w:val="bottom"/>
          </w:tcPr>
          <w:p>
            <w:pPr>
              <w:spacing w:after="0"/>
              <w:rPr>
                <w:sz w:val="18"/>
                <w:szCs w:val="18"/>
                <w:color w:val="auto"/>
              </w:rPr>
            </w:pPr>
          </w:p>
        </w:tc>
        <w:tc>
          <w:tcPr>
            <w:tcW w:w="3680" w:type="dxa"/>
            <w:vAlign w:val="bottom"/>
            <w:gridSpan w:val="2"/>
          </w:tcPr>
          <w:p>
            <w:pPr>
              <w:ind w:left="1300"/>
              <w:spacing w:after="0"/>
              <w:rPr>
                <w:sz w:val="20"/>
                <w:szCs w:val="20"/>
                <w:color w:val="auto"/>
              </w:rPr>
            </w:pPr>
            <w:r>
              <w:rPr>
                <w:rFonts w:ascii="Arial" w:cs="Arial" w:eastAsia="Arial" w:hAnsi="Arial"/>
                <w:sz w:val="18"/>
                <w:szCs w:val="18"/>
                <w:color w:val="auto"/>
              </w:rPr>
              <w:t>million, or approximately $</w:t>
            </w:r>
          </w:p>
        </w:tc>
        <w:tc>
          <w:tcPr>
            <w:tcW w:w="4080" w:type="dxa"/>
            <w:vAlign w:val="bottom"/>
          </w:tcPr>
          <w:p>
            <w:pPr>
              <w:spacing w:after="0"/>
              <w:rPr>
                <w:sz w:val="20"/>
                <w:szCs w:val="20"/>
                <w:color w:val="auto"/>
              </w:rPr>
            </w:pPr>
            <w:r>
              <w:rPr>
                <w:rFonts w:ascii="Arial" w:cs="Arial" w:eastAsia="Arial" w:hAnsi="Arial"/>
                <w:sz w:val="18"/>
                <w:szCs w:val="18"/>
                <w:color w:val="auto"/>
              </w:rPr>
              <w:t>million if the underwriters exercise their option to</w:t>
            </w:r>
          </w:p>
        </w:tc>
      </w:tr>
      <w:tr>
        <w:trPr>
          <w:trHeight w:val="216"/>
        </w:trPr>
        <w:tc>
          <w:tcPr>
            <w:tcW w:w="2740" w:type="dxa"/>
            <w:vAlign w:val="bottom"/>
          </w:tcPr>
          <w:p>
            <w:pPr>
              <w:spacing w:after="0"/>
              <w:rPr>
                <w:sz w:val="18"/>
                <w:szCs w:val="18"/>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4"/>
              </w:rPr>
              <w:t>purchase additional shares of common stock in full, assuming an initial public offering</w:t>
            </w:r>
          </w:p>
        </w:tc>
      </w:tr>
      <w:tr>
        <w:trPr>
          <w:trHeight w:val="216"/>
        </w:trPr>
        <w:tc>
          <w:tcPr>
            <w:tcW w:w="2740" w:type="dxa"/>
            <w:vAlign w:val="bottom"/>
          </w:tcPr>
          <w:p>
            <w:pPr>
              <w:spacing w:after="0"/>
              <w:rPr>
                <w:sz w:val="18"/>
                <w:szCs w:val="18"/>
                <w:color w:val="auto"/>
              </w:rPr>
            </w:pPr>
          </w:p>
        </w:tc>
        <w:tc>
          <w:tcPr>
            <w:tcW w:w="2200" w:type="dxa"/>
            <w:vAlign w:val="bottom"/>
          </w:tcPr>
          <w:p>
            <w:pPr>
              <w:ind w:left="1300"/>
              <w:spacing w:after="0"/>
              <w:rPr>
                <w:sz w:val="20"/>
                <w:szCs w:val="20"/>
                <w:color w:val="auto"/>
              </w:rPr>
            </w:pPr>
            <w:r>
              <w:rPr>
                <w:rFonts w:ascii="Arial" w:cs="Arial" w:eastAsia="Arial" w:hAnsi="Arial"/>
                <w:sz w:val="18"/>
                <w:szCs w:val="18"/>
                <w:color w:val="auto"/>
              </w:rPr>
              <w:t>price of $</w:t>
            </w: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w w:val="95"/>
              </w:rPr>
              <w:t>per share (the midpoint of the range set forth on the cover page of this</w:t>
            </w:r>
          </w:p>
        </w:tc>
      </w:tr>
      <w:tr>
        <w:trPr>
          <w:trHeight w:val="216"/>
        </w:trPr>
        <w:tc>
          <w:tcPr>
            <w:tcW w:w="2740" w:type="dxa"/>
            <w:vAlign w:val="bottom"/>
          </w:tcPr>
          <w:p>
            <w:pPr>
              <w:spacing w:after="0"/>
              <w:rPr>
                <w:sz w:val="18"/>
                <w:szCs w:val="18"/>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6"/>
              </w:rPr>
              <w:t>prospectus), after deducting estimated underwriting discounts and commissions and</w:t>
            </w:r>
          </w:p>
        </w:tc>
      </w:tr>
      <w:tr>
        <w:trPr>
          <w:trHeight w:val="216"/>
        </w:trPr>
        <w:tc>
          <w:tcPr>
            <w:tcW w:w="2740" w:type="dxa"/>
            <w:vAlign w:val="bottom"/>
          </w:tcPr>
          <w:p>
            <w:pPr>
              <w:spacing w:after="0"/>
              <w:rPr>
                <w:sz w:val="18"/>
                <w:szCs w:val="18"/>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1"/>
              </w:rPr>
              <w:t>estimated offering expenses. Each $1 increase (decrease) in the public offering price per</w:t>
            </w:r>
          </w:p>
        </w:tc>
      </w:tr>
      <w:tr>
        <w:trPr>
          <w:trHeight w:val="216"/>
        </w:trPr>
        <w:tc>
          <w:tcPr>
            <w:tcW w:w="2740" w:type="dxa"/>
            <w:vAlign w:val="bottom"/>
          </w:tcPr>
          <w:p>
            <w:pPr>
              <w:spacing w:after="0"/>
              <w:rPr>
                <w:sz w:val="18"/>
                <w:szCs w:val="18"/>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89"/>
              </w:rPr>
              <w:t>share would increase (decrease) our net proceeds, after deducting estimated underwriting</w:t>
            </w:r>
          </w:p>
        </w:tc>
      </w:tr>
      <w:tr>
        <w:trPr>
          <w:trHeight w:val="216"/>
        </w:trPr>
        <w:tc>
          <w:tcPr>
            <w:tcW w:w="2740" w:type="dxa"/>
            <w:vAlign w:val="bottom"/>
          </w:tcPr>
          <w:p>
            <w:pPr>
              <w:spacing w:after="0"/>
              <w:rPr>
                <w:sz w:val="18"/>
                <w:szCs w:val="18"/>
                <w:color w:val="auto"/>
              </w:rPr>
            </w:pPr>
          </w:p>
        </w:tc>
        <w:tc>
          <w:tcPr>
            <w:tcW w:w="3680" w:type="dxa"/>
            <w:vAlign w:val="bottom"/>
            <w:gridSpan w:val="2"/>
          </w:tcPr>
          <w:p>
            <w:pPr>
              <w:ind w:left="1300"/>
              <w:spacing w:after="0"/>
              <w:rPr>
                <w:sz w:val="20"/>
                <w:szCs w:val="20"/>
                <w:color w:val="auto"/>
              </w:rPr>
            </w:pPr>
            <w:r>
              <w:rPr>
                <w:rFonts w:ascii="Arial" w:cs="Arial" w:eastAsia="Arial" w:hAnsi="Arial"/>
                <w:sz w:val="18"/>
                <w:szCs w:val="18"/>
                <w:color w:val="auto"/>
                <w:w w:val="89"/>
              </w:rPr>
              <w:t>discounts and commissions, by $</w:t>
            </w:r>
          </w:p>
        </w:tc>
        <w:tc>
          <w:tcPr>
            <w:tcW w:w="4080" w:type="dxa"/>
            <w:vAlign w:val="bottom"/>
          </w:tcPr>
          <w:p>
            <w:pPr>
              <w:ind w:left="400"/>
              <w:spacing w:after="0"/>
              <w:rPr>
                <w:sz w:val="20"/>
                <w:szCs w:val="20"/>
                <w:color w:val="auto"/>
              </w:rPr>
            </w:pPr>
            <w:r>
              <w:rPr>
                <w:rFonts w:ascii="Arial" w:cs="Arial" w:eastAsia="Arial" w:hAnsi="Arial"/>
                <w:sz w:val="18"/>
                <w:szCs w:val="18"/>
                <w:color w:val="auto"/>
                <w:w w:val="92"/>
              </w:rPr>
              <w:t>million (assuming no exercise of the underwriters’</w:t>
            </w:r>
          </w:p>
        </w:tc>
      </w:tr>
      <w:tr>
        <w:trPr>
          <w:trHeight w:val="216"/>
        </w:trPr>
        <w:tc>
          <w:tcPr>
            <w:tcW w:w="2740" w:type="dxa"/>
            <w:vAlign w:val="bottom"/>
          </w:tcPr>
          <w:p>
            <w:pPr>
              <w:spacing w:after="0"/>
              <w:rPr>
                <w:sz w:val="18"/>
                <w:szCs w:val="18"/>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89"/>
              </w:rPr>
              <w:t>option to purchase additional shares of common stock). We intend to use the net proceeds</w:t>
            </w:r>
          </w:p>
        </w:tc>
      </w:tr>
      <w:tr>
        <w:trPr>
          <w:trHeight w:val="216"/>
        </w:trPr>
        <w:tc>
          <w:tcPr>
            <w:tcW w:w="2740" w:type="dxa"/>
            <w:vAlign w:val="bottom"/>
          </w:tcPr>
          <w:p>
            <w:pPr>
              <w:spacing w:after="0"/>
              <w:rPr>
                <w:sz w:val="18"/>
                <w:szCs w:val="18"/>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3"/>
              </w:rPr>
              <w:t>from this offering to repay amounts owed under the IPO Settlement Facility incurred as</w:t>
            </w:r>
          </w:p>
        </w:tc>
      </w:tr>
      <w:tr>
        <w:trPr>
          <w:trHeight w:val="230"/>
        </w:trPr>
        <w:tc>
          <w:tcPr>
            <w:tcW w:w="2740" w:type="dxa"/>
            <w:vAlign w:val="bottom"/>
          </w:tcPr>
          <w:p>
            <w:pPr>
              <w:spacing w:after="0"/>
              <w:rPr>
                <w:sz w:val="20"/>
                <w:szCs w:val="20"/>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rPr>
              <w:t>part of the Corporate Reorganization. See “Use of Proceeds.”</w:t>
            </w:r>
          </w:p>
        </w:tc>
      </w:tr>
      <w:tr>
        <w:trPr>
          <w:trHeight w:val="445"/>
        </w:trPr>
        <w:tc>
          <w:tcPr>
            <w:tcW w:w="2740" w:type="dxa"/>
            <w:vAlign w:val="bottom"/>
          </w:tcPr>
          <w:p>
            <w:pPr>
              <w:spacing w:after="0"/>
              <w:rPr>
                <w:sz w:val="20"/>
                <w:szCs w:val="20"/>
                <w:color w:val="auto"/>
              </w:rPr>
            </w:pPr>
            <w:r>
              <w:rPr>
                <w:rFonts w:ascii="Arial" w:cs="Arial" w:eastAsia="Arial" w:hAnsi="Arial"/>
                <w:sz w:val="18"/>
                <w:szCs w:val="18"/>
                <w:color w:val="auto"/>
              </w:rPr>
              <w:t>Conflicts of Interest</w:t>
            </w: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3"/>
              </w:rPr>
              <w:t>An affiliate of Goldman Sachs &amp; Co. LLC, which is an underwriter in this offering, is the</w:t>
            </w:r>
          </w:p>
        </w:tc>
      </w:tr>
      <w:tr>
        <w:trPr>
          <w:trHeight w:val="230"/>
        </w:trPr>
        <w:tc>
          <w:tcPr>
            <w:tcW w:w="2740" w:type="dxa"/>
            <w:vAlign w:val="bottom"/>
          </w:tcPr>
          <w:p>
            <w:pPr>
              <w:spacing w:after="0"/>
              <w:rPr>
                <w:sz w:val="20"/>
                <w:szCs w:val="20"/>
                <w:color w:val="auto"/>
              </w:rPr>
            </w:pPr>
          </w:p>
        </w:tc>
        <w:tc>
          <w:tcPr>
            <w:tcW w:w="7760" w:type="dxa"/>
            <w:vAlign w:val="bottom"/>
            <w:gridSpan w:val="3"/>
          </w:tcPr>
          <w:p>
            <w:pPr>
              <w:ind w:left="1300"/>
              <w:spacing w:after="0"/>
              <w:rPr>
                <w:sz w:val="20"/>
                <w:szCs w:val="20"/>
                <w:color w:val="auto"/>
              </w:rPr>
            </w:pPr>
            <w:r>
              <w:rPr>
                <w:rFonts w:ascii="Arial" w:cs="Arial" w:eastAsia="Arial" w:hAnsi="Arial"/>
                <w:sz w:val="18"/>
                <w:szCs w:val="18"/>
                <w:color w:val="auto"/>
                <w:w w:val="91"/>
              </w:rPr>
              <w:t>lender under the IPO Settlement Facility. The net proceeds from this offering will be used</w:t>
            </w:r>
          </w:p>
        </w:tc>
      </w:tr>
    </w:tbl>
    <w:p>
      <w:pPr>
        <w:ind w:left="4420"/>
        <w:spacing w:after="0" w:line="285" w:lineRule="auto"/>
        <w:rPr>
          <w:sz w:val="20"/>
          <w:szCs w:val="20"/>
          <w:color w:val="auto"/>
        </w:rPr>
      </w:pPr>
      <w:r>
        <w:rPr>
          <w:rFonts w:ascii="Arial" w:cs="Arial" w:eastAsia="Arial" w:hAnsi="Arial"/>
          <w:sz w:val="16"/>
          <w:szCs w:val="16"/>
          <w:color w:val="auto"/>
        </w:rPr>
        <w:t>to repay the IPO Settlement Facility.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Credit Suisse Securities (USA) LLC has agreed to act as qualified independent underwriter for the offering and to undertake the legal responsibilities and liabilities of an underwriter under the Securities Act, specifically including those inherent in Section 11 of the Securities Act. We will agree to indemnify Credit Suisse Securities (USA) LLC against liabilities incurred in connection with acting as qualified independent underwriter, including liabilities under the Securities Act. Moreover, Goldman Sachs &amp; Co. LLC is not permitted to sell common stock in this offering to an account over which it exercises discretionary authority without the prior specific</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06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2145" cy="4506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rPr>
              <w:t>written approval of the account holder. See “Underwriting (Conflicts of Interest).”</w:t>
            </w:r>
          </w:p>
        </w:tc>
      </w:tr>
      <w:tr>
        <w:trPr>
          <w:trHeight w:val="458"/>
        </w:trPr>
        <w:tc>
          <w:tcPr>
            <w:tcW w:w="3040" w:type="dxa"/>
            <w:vAlign w:val="bottom"/>
          </w:tcPr>
          <w:p>
            <w:pPr>
              <w:spacing w:after="0"/>
              <w:rPr>
                <w:sz w:val="20"/>
                <w:szCs w:val="20"/>
                <w:color w:val="auto"/>
              </w:rPr>
            </w:pPr>
            <w:r>
              <w:rPr>
                <w:rFonts w:ascii="Arial" w:cs="Arial" w:eastAsia="Arial" w:hAnsi="Arial"/>
                <w:sz w:val="18"/>
                <w:szCs w:val="18"/>
                <w:color w:val="auto"/>
              </w:rPr>
              <w:t>Concentration of ownership</w:t>
            </w: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w w:val="94"/>
              </w:rPr>
              <w:t>Upon closing of this offering, PFL will own a majority of the voting power of our common</w:t>
            </w:r>
          </w:p>
        </w:tc>
      </w:tr>
      <w:tr>
        <w:trPr>
          <w:trHeight w:val="216"/>
        </w:trPr>
        <w:tc>
          <w:tcPr>
            <w:tcW w:w="3040" w:type="dxa"/>
            <w:vAlign w:val="bottom"/>
          </w:tcPr>
          <w:p>
            <w:pPr>
              <w:spacing w:after="0"/>
              <w:rPr>
                <w:sz w:val="18"/>
                <w:szCs w:val="18"/>
                <w:color w:val="auto"/>
              </w:rPr>
            </w:pP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w w:val="92"/>
              </w:rPr>
              <w:t>stock. We currently intend to avail ourselves of the “controlled company” exemption under</w:t>
            </w:r>
          </w:p>
        </w:tc>
      </w:tr>
      <w:tr>
        <w:trPr>
          <w:trHeight w:val="230"/>
        </w:trPr>
        <w:tc>
          <w:tcPr>
            <w:tcW w:w="3040" w:type="dxa"/>
            <w:vAlign w:val="bottom"/>
          </w:tcPr>
          <w:p>
            <w:pPr>
              <w:spacing w:after="0"/>
              <w:rPr>
                <w:sz w:val="20"/>
                <w:szCs w:val="20"/>
                <w:color w:val="auto"/>
              </w:rPr>
            </w:pPr>
          </w:p>
        </w:tc>
        <w:tc>
          <w:tcPr>
            <w:tcW w:w="4700" w:type="dxa"/>
            <w:vAlign w:val="bottom"/>
            <w:gridSpan w:val="2"/>
          </w:tcPr>
          <w:p>
            <w:pPr>
              <w:ind w:left="1000"/>
              <w:spacing w:after="0"/>
              <w:rPr>
                <w:sz w:val="20"/>
                <w:szCs w:val="20"/>
                <w:color w:val="auto"/>
              </w:rPr>
            </w:pPr>
            <w:r>
              <w:rPr>
                <w:rFonts w:ascii="Arial" w:cs="Arial" w:eastAsia="Arial" w:hAnsi="Arial"/>
                <w:sz w:val="18"/>
                <w:szCs w:val="18"/>
                <w:color w:val="auto"/>
              </w:rPr>
              <w:t>the corporate governance rules of Nasdaq.</w:t>
            </w:r>
          </w:p>
        </w:tc>
        <w:tc>
          <w:tcPr>
            <w:tcW w:w="1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5"/>
        </w:trPr>
        <w:tc>
          <w:tcPr>
            <w:tcW w:w="3040" w:type="dxa"/>
            <w:vAlign w:val="bottom"/>
          </w:tcPr>
          <w:p>
            <w:pPr>
              <w:spacing w:after="0"/>
              <w:rPr>
                <w:sz w:val="20"/>
                <w:szCs w:val="20"/>
                <w:color w:val="auto"/>
              </w:rPr>
            </w:pPr>
            <w:r>
              <w:rPr>
                <w:rFonts w:ascii="Arial" w:cs="Arial" w:eastAsia="Arial" w:hAnsi="Arial"/>
                <w:sz w:val="18"/>
                <w:szCs w:val="18"/>
                <w:color w:val="auto"/>
              </w:rPr>
              <w:t>Dividend policy</w:t>
            </w: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w w:val="94"/>
              </w:rPr>
              <w:t>Following closing of this offering and subject to legally available funds, we intend to pay</w:t>
            </w:r>
          </w:p>
        </w:tc>
      </w:tr>
      <w:tr>
        <w:trPr>
          <w:trHeight w:val="216"/>
        </w:trPr>
        <w:tc>
          <w:tcPr>
            <w:tcW w:w="3040" w:type="dxa"/>
            <w:vAlign w:val="bottom"/>
          </w:tcPr>
          <w:p>
            <w:pPr>
              <w:spacing w:after="0"/>
              <w:rPr>
                <w:sz w:val="18"/>
                <w:szCs w:val="18"/>
                <w:color w:val="auto"/>
              </w:rPr>
            </w:pPr>
          </w:p>
        </w:tc>
        <w:tc>
          <w:tcPr>
            <w:tcW w:w="5940" w:type="dxa"/>
            <w:vAlign w:val="bottom"/>
            <w:gridSpan w:val="3"/>
          </w:tcPr>
          <w:p>
            <w:pPr>
              <w:ind w:left="1000"/>
              <w:spacing w:after="0"/>
              <w:rPr>
                <w:sz w:val="20"/>
                <w:szCs w:val="20"/>
                <w:color w:val="auto"/>
              </w:rPr>
            </w:pPr>
            <w:r>
              <w:rPr>
                <w:rFonts w:ascii="Arial" w:cs="Arial" w:eastAsia="Arial" w:hAnsi="Arial"/>
                <w:sz w:val="18"/>
                <w:szCs w:val="18"/>
                <w:color w:val="auto"/>
                <w:w w:val="95"/>
              </w:rPr>
              <w:t>quarterly cash dividends on our common stock initially equal to $</w:t>
            </w:r>
          </w:p>
        </w:tc>
        <w:tc>
          <w:tcPr>
            <w:tcW w:w="1660" w:type="dxa"/>
            <w:vAlign w:val="bottom"/>
          </w:tcPr>
          <w:p>
            <w:pPr>
              <w:ind w:left="200"/>
              <w:spacing w:after="0"/>
              <w:rPr>
                <w:sz w:val="20"/>
                <w:szCs w:val="20"/>
                <w:color w:val="auto"/>
              </w:rPr>
            </w:pPr>
            <w:r>
              <w:rPr>
                <w:rFonts w:ascii="Arial" w:cs="Arial" w:eastAsia="Arial" w:hAnsi="Arial"/>
                <w:sz w:val="18"/>
                <w:szCs w:val="18"/>
                <w:color w:val="auto"/>
              </w:rPr>
              <w:t>per share,</w:t>
            </w:r>
          </w:p>
        </w:tc>
      </w:tr>
      <w:tr>
        <w:trPr>
          <w:trHeight w:val="230"/>
        </w:trPr>
        <w:tc>
          <w:tcPr>
            <w:tcW w:w="3040" w:type="dxa"/>
            <w:vAlign w:val="bottom"/>
          </w:tcPr>
          <w:p>
            <w:pPr>
              <w:spacing w:after="0"/>
              <w:rPr>
                <w:sz w:val="20"/>
                <w:szCs w:val="20"/>
                <w:color w:val="auto"/>
              </w:rPr>
            </w:pPr>
          </w:p>
        </w:tc>
        <w:tc>
          <w:tcPr>
            <w:tcW w:w="2860" w:type="dxa"/>
            <w:vAlign w:val="bottom"/>
          </w:tcPr>
          <w:p>
            <w:pPr>
              <w:ind w:left="1000"/>
              <w:spacing w:after="0"/>
              <w:rPr>
                <w:sz w:val="20"/>
                <w:szCs w:val="20"/>
                <w:color w:val="auto"/>
              </w:rPr>
            </w:pPr>
            <w:r>
              <w:rPr>
                <w:rFonts w:ascii="Arial" w:cs="Arial" w:eastAsia="Arial" w:hAnsi="Arial"/>
                <w:sz w:val="18"/>
                <w:szCs w:val="18"/>
                <w:color w:val="auto"/>
              </w:rPr>
              <w:t>commencing with the</w:t>
            </w:r>
          </w:p>
        </w:tc>
        <w:tc>
          <w:tcPr>
            <w:tcW w:w="1840" w:type="dxa"/>
            <w:vAlign w:val="bottom"/>
          </w:tcPr>
          <w:p>
            <w:pPr>
              <w:ind w:left="280"/>
              <w:spacing w:after="0"/>
              <w:rPr>
                <w:sz w:val="20"/>
                <w:szCs w:val="20"/>
                <w:color w:val="auto"/>
              </w:rPr>
            </w:pPr>
            <w:r>
              <w:rPr>
                <w:rFonts w:ascii="Arial" w:cs="Arial" w:eastAsia="Arial" w:hAnsi="Arial"/>
                <w:sz w:val="18"/>
                <w:szCs w:val="18"/>
                <w:color w:val="auto"/>
              </w:rPr>
              <w:t>fiscal quarter of 20</w:t>
            </w:r>
          </w:p>
        </w:tc>
        <w:tc>
          <w:tcPr>
            <w:tcW w:w="12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w w:val="92"/>
              </w:rPr>
              <w:t>The declaration, amount and payment of any dividends will be at the sole discretion of our</w:t>
            </w:r>
          </w:p>
        </w:tc>
      </w:tr>
      <w:tr>
        <w:trPr>
          <w:trHeight w:val="230"/>
        </w:trPr>
        <w:tc>
          <w:tcPr>
            <w:tcW w:w="3040" w:type="dxa"/>
            <w:vAlign w:val="bottom"/>
          </w:tcPr>
          <w:p>
            <w:pPr>
              <w:spacing w:after="0"/>
              <w:rPr>
                <w:sz w:val="20"/>
                <w:szCs w:val="20"/>
                <w:color w:val="auto"/>
              </w:rPr>
            </w:pP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rPr>
              <w:t>board of directors and subject to certain considerations. See “Dividend Policy.”</w:t>
            </w:r>
          </w:p>
        </w:tc>
      </w:tr>
      <w:tr>
        <w:trPr>
          <w:trHeight w:val="459"/>
        </w:trPr>
        <w:tc>
          <w:tcPr>
            <w:tcW w:w="3040" w:type="dxa"/>
            <w:vAlign w:val="bottom"/>
          </w:tcPr>
          <w:p>
            <w:pPr>
              <w:spacing w:after="0"/>
              <w:rPr>
                <w:sz w:val="20"/>
                <w:szCs w:val="20"/>
                <w:color w:val="auto"/>
              </w:rPr>
            </w:pPr>
            <w:r>
              <w:rPr>
                <w:rFonts w:ascii="Arial" w:cs="Arial" w:eastAsia="Arial" w:hAnsi="Arial"/>
                <w:sz w:val="18"/>
                <w:szCs w:val="18"/>
                <w:color w:val="auto"/>
              </w:rPr>
              <w:t>Listing</w:t>
            </w:r>
          </w:p>
        </w:tc>
        <w:tc>
          <w:tcPr>
            <w:tcW w:w="7600" w:type="dxa"/>
            <w:vAlign w:val="bottom"/>
            <w:gridSpan w:val="4"/>
          </w:tcPr>
          <w:p>
            <w:pPr>
              <w:ind w:left="1000"/>
              <w:spacing w:after="0"/>
              <w:rPr>
                <w:sz w:val="20"/>
                <w:szCs w:val="20"/>
                <w:color w:val="auto"/>
              </w:rPr>
            </w:pPr>
            <w:r>
              <w:rPr>
                <w:rFonts w:ascii="Arial" w:cs="Arial" w:eastAsia="Arial" w:hAnsi="Arial"/>
                <w:sz w:val="18"/>
                <w:szCs w:val="18"/>
                <w:color w:val="auto"/>
                <w:w w:val="91"/>
              </w:rPr>
              <w:t>We intend to apply to list our common stock on Nasdaq under the trading symbol “REYN.”</w:t>
            </w:r>
          </w:p>
        </w:tc>
      </w:tr>
    </w:tbl>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shares of our common stock to be outstanding after this offering:</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ind w:left="120"/>
              <w:spacing w:after="0"/>
              <w:rPr>
                <w:sz w:val="20"/>
                <w:szCs w:val="20"/>
                <w:color w:val="auto"/>
              </w:rPr>
            </w:pPr>
            <w:r>
              <w:rPr>
                <w:rFonts w:ascii="Arial" w:cs="Arial" w:eastAsia="Arial" w:hAnsi="Arial"/>
                <w:sz w:val="18"/>
                <w:szCs w:val="18"/>
                <w:color w:val="auto"/>
              </w:rPr>
              <w:t>is based on</w:t>
            </w:r>
          </w:p>
        </w:tc>
        <w:tc>
          <w:tcPr>
            <w:tcW w:w="8700" w:type="dxa"/>
            <w:vAlign w:val="bottom"/>
            <w:gridSpan w:val="3"/>
          </w:tcPr>
          <w:p>
            <w:pPr>
              <w:ind w:left="520"/>
              <w:spacing w:after="0"/>
              <w:rPr>
                <w:sz w:val="20"/>
                <w:szCs w:val="20"/>
                <w:color w:val="auto"/>
              </w:rPr>
            </w:pPr>
            <w:r>
              <w:rPr>
                <w:rFonts w:ascii="Arial" w:cs="Arial" w:eastAsia="Arial" w:hAnsi="Arial"/>
                <w:sz w:val="18"/>
                <w:szCs w:val="18"/>
                <w:color w:val="auto"/>
                <w:w w:val="93"/>
              </w:rPr>
              <w:t>shares of common stock outstanding prior to this offering (after giving effect to the Corporate Reorganization);</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ind w:left="120"/>
              <w:spacing w:after="0"/>
              <w:rPr>
                <w:sz w:val="20"/>
                <w:szCs w:val="20"/>
                <w:color w:val="auto"/>
              </w:rPr>
            </w:pPr>
            <w:r>
              <w:rPr>
                <w:rFonts w:ascii="Arial" w:cs="Arial" w:eastAsia="Arial" w:hAnsi="Arial"/>
                <w:sz w:val="18"/>
                <w:szCs w:val="18"/>
                <w:color w:val="auto"/>
              </w:rPr>
              <w:t>includes</w:t>
            </w:r>
          </w:p>
        </w:tc>
        <w:tc>
          <w:tcPr>
            <w:tcW w:w="8700" w:type="dxa"/>
            <w:vAlign w:val="bottom"/>
            <w:gridSpan w:val="3"/>
          </w:tcPr>
          <w:p>
            <w:pPr>
              <w:ind w:left="320"/>
              <w:spacing w:after="0"/>
              <w:rPr>
                <w:sz w:val="20"/>
                <w:szCs w:val="20"/>
                <w:color w:val="auto"/>
              </w:rPr>
            </w:pPr>
            <w:r>
              <w:rPr>
                <w:rFonts w:ascii="Arial" w:cs="Arial" w:eastAsia="Arial" w:hAnsi="Arial"/>
                <w:sz w:val="18"/>
                <w:szCs w:val="18"/>
                <w:color w:val="auto"/>
                <w:w w:val="92"/>
              </w:rPr>
              <w:t>shares of common stock (based on the midpoint of the price range set forth on the cover of this prospectus) to be</w:t>
            </w:r>
          </w:p>
        </w:tc>
      </w:tr>
      <w:tr>
        <w:trPr>
          <w:trHeight w:val="216"/>
        </w:trPr>
        <w:tc>
          <w:tcPr>
            <w:tcW w:w="180" w:type="dxa"/>
            <w:vAlign w:val="bottom"/>
          </w:tcPr>
          <w:p>
            <w:pPr>
              <w:spacing w:after="0"/>
              <w:rPr>
                <w:sz w:val="18"/>
                <w:szCs w:val="18"/>
                <w:color w:val="auto"/>
              </w:rPr>
            </w:pPr>
          </w:p>
        </w:tc>
        <w:tc>
          <w:tcPr>
            <w:tcW w:w="9920" w:type="dxa"/>
            <w:vAlign w:val="bottom"/>
            <w:gridSpan w:val="4"/>
          </w:tcPr>
          <w:p>
            <w:pPr>
              <w:ind w:left="120"/>
              <w:spacing w:after="0"/>
              <w:rPr>
                <w:sz w:val="20"/>
                <w:szCs w:val="20"/>
                <w:color w:val="auto"/>
              </w:rPr>
            </w:pPr>
            <w:r>
              <w:rPr>
                <w:rFonts w:ascii="Arial" w:cs="Arial" w:eastAsia="Arial" w:hAnsi="Arial"/>
                <w:sz w:val="18"/>
                <w:szCs w:val="18"/>
                <w:color w:val="auto"/>
                <w:w w:val="90"/>
              </w:rPr>
              <w:t>issued upon the closing of this offering to persons, including our senior management, pursuant to retention agreements entered into with</w:t>
            </w:r>
          </w:p>
        </w:tc>
      </w:tr>
      <w:tr>
        <w:trPr>
          <w:trHeight w:val="216"/>
        </w:trPr>
        <w:tc>
          <w:tcPr>
            <w:tcW w:w="180" w:type="dxa"/>
            <w:vAlign w:val="bottom"/>
          </w:tcPr>
          <w:p>
            <w:pPr>
              <w:spacing w:after="0"/>
              <w:rPr>
                <w:sz w:val="18"/>
                <w:szCs w:val="18"/>
                <w:color w:val="auto"/>
              </w:rPr>
            </w:pPr>
          </w:p>
        </w:tc>
        <w:tc>
          <w:tcPr>
            <w:tcW w:w="9920" w:type="dxa"/>
            <w:vAlign w:val="bottom"/>
            <w:gridSpan w:val="4"/>
          </w:tcPr>
          <w:p>
            <w:pPr>
              <w:ind w:left="120"/>
              <w:spacing w:after="0"/>
              <w:rPr>
                <w:sz w:val="20"/>
                <w:szCs w:val="20"/>
                <w:color w:val="auto"/>
              </w:rPr>
            </w:pPr>
            <w:r>
              <w:rPr>
                <w:rFonts w:ascii="Arial" w:cs="Arial" w:eastAsia="Arial" w:hAnsi="Arial"/>
                <w:sz w:val="18"/>
                <w:szCs w:val="18"/>
                <w:color w:val="auto"/>
                <w:w w:val="90"/>
              </w:rPr>
              <w:t>such persons (“IPO Grants”). These IPO Grants will be issued as restricted stock units, vesting ratably on an annual basis over a three-</w:t>
            </w:r>
          </w:p>
        </w:tc>
      </w:tr>
      <w:tr>
        <w:trPr>
          <w:trHeight w:val="230"/>
        </w:trPr>
        <w:tc>
          <w:tcPr>
            <w:tcW w:w="180" w:type="dxa"/>
            <w:vAlign w:val="bottom"/>
          </w:tcPr>
          <w:p>
            <w:pPr>
              <w:spacing w:after="0"/>
              <w:rPr>
                <w:sz w:val="20"/>
                <w:szCs w:val="20"/>
                <w:color w:val="auto"/>
              </w:rPr>
            </w:pPr>
          </w:p>
        </w:tc>
        <w:tc>
          <w:tcPr>
            <w:tcW w:w="7700" w:type="dxa"/>
            <w:vAlign w:val="bottom"/>
            <w:gridSpan w:val="3"/>
          </w:tcPr>
          <w:p>
            <w:pPr>
              <w:ind w:left="120"/>
              <w:spacing w:after="0"/>
              <w:rPr>
                <w:sz w:val="20"/>
                <w:szCs w:val="20"/>
                <w:color w:val="auto"/>
              </w:rPr>
            </w:pPr>
            <w:r>
              <w:rPr>
                <w:rFonts w:ascii="Arial" w:cs="Arial" w:eastAsia="Arial" w:hAnsi="Arial"/>
                <w:sz w:val="18"/>
                <w:szCs w:val="18"/>
                <w:color w:val="auto"/>
              </w:rPr>
              <w:t>year period, commencing on the first anniversary of the closing date of this offering;</w:t>
            </w:r>
          </w:p>
        </w:tc>
        <w:tc>
          <w:tcPr>
            <w:tcW w:w="2220" w:type="dxa"/>
            <w:vAlign w:val="bottom"/>
          </w:tcPr>
          <w:p>
            <w:pPr>
              <w:spacing w:after="0"/>
              <w:rPr>
                <w:sz w:val="20"/>
                <w:szCs w:val="20"/>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ind w:left="120"/>
              <w:spacing w:after="0"/>
              <w:rPr>
                <w:sz w:val="20"/>
                <w:szCs w:val="20"/>
                <w:color w:val="auto"/>
              </w:rPr>
            </w:pPr>
            <w:r>
              <w:rPr>
                <w:rFonts w:ascii="Arial" w:cs="Arial" w:eastAsia="Arial" w:hAnsi="Arial"/>
                <w:sz w:val="18"/>
                <w:szCs w:val="18"/>
                <w:color w:val="auto"/>
              </w:rPr>
              <w:t>excludes</w:t>
            </w:r>
          </w:p>
        </w:tc>
        <w:tc>
          <w:tcPr>
            <w:tcW w:w="8700" w:type="dxa"/>
            <w:vAlign w:val="bottom"/>
            <w:gridSpan w:val="3"/>
          </w:tcPr>
          <w:p>
            <w:pPr>
              <w:ind w:left="340"/>
              <w:spacing w:after="0"/>
              <w:rPr>
                <w:sz w:val="20"/>
                <w:szCs w:val="20"/>
                <w:color w:val="auto"/>
              </w:rPr>
            </w:pPr>
            <w:r>
              <w:rPr>
                <w:rFonts w:ascii="Arial" w:cs="Arial" w:eastAsia="Arial" w:hAnsi="Arial"/>
                <w:sz w:val="18"/>
                <w:szCs w:val="18"/>
                <w:color w:val="auto"/>
              </w:rPr>
              <w:t>shares of common stock reserved for future issuance under our 2020 incentive award plan; and</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excludes the issuance of up to</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1"/>
              </w:rPr>
              <w:t>shares of common stock which the underwriters have the option to purchase from us solely to</w:t>
            </w:r>
          </w:p>
        </w:tc>
      </w:tr>
      <w:tr>
        <w:trPr>
          <w:trHeight w:val="216"/>
        </w:trPr>
        <w:tc>
          <w:tcPr>
            <w:tcW w:w="180" w:type="dxa"/>
            <w:vAlign w:val="bottom"/>
          </w:tcPr>
          <w:p>
            <w:pPr>
              <w:spacing w:after="0"/>
              <w:rPr>
                <w:sz w:val="18"/>
                <w:szCs w:val="18"/>
                <w:color w:val="auto"/>
              </w:rPr>
            </w:pPr>
          </w:p>
        </w:tc>
        <w:tc>
          <w:tcPr>
            <w:tcW w:w="7700" w:type="dxa"/>
            <w:vAlign w:val="bottom"/>
            <w:gridSpan w:val="3"/>
          </w:tcPr>
          <w:p>
            <w:pPr>
              <w:ind w:left="120"/>
              <w:spacing w:after="0"/>
              <w:rPr>
                <w:sz w:val="20"/>
                <w:szCs w:val="20"/>
                <w:color w:val="auto"/>
              </w:rPr>
            </w:pPr>
            <w:r>
              <w:rPr>
                <w:rFonts w:ascii="Arial" w:cs="Arial" w:eastAsia="Arial" w:hAnsi="Arial"/>
                <w:sz w:val="18"/>
                <w:szCs w:val="18"/>
                <w:color w:val="auto"/>
                <w:w w:val="96"/>
              </w:rPr>
              <w:t>cover over-allotments. If the underwriters exercise their option to purchase additional shares in full,</w:t>
            </w:r>
          </w:p>
        </w:tc>
        <w:tc>
          <w:tcPr>
            <w:tcW w:w="2220" w:type="dxa"/>
            <w:vAlign w:val="bottom"/>
          </w:tcPr>
          <w:p>
            <w:pPr>
              <w:ind w:left="400"/>
              <w:spacing w:after="0"/>
              <w:rPr>
                <w:sz w:val="20"/>
                <w:szCs w:val="20"/>
                <w:color w:val="auto"/>
              </w:rPr>
            </w:pPr>
            <w:r>
              <w:rPr>
                <w:rFonts w:ascii="Arial" w:cs="Arial" w:eastAsia="Arial" w:hAnsi="Arial"/>
                <w:sz w:val="18"/>
                <w:szCs w:val="18"/>
                <w:color w:val="auto"/>
                <w:w w:val="92"/>
              </w:rPr>
              <w:t>shares of common stock</w:t>
            </w:r>
          </w:p>
        </w:tc>
      </w:tr>
      <w:tr>
        <w:trPr>
          <w:trHeight w:val="230"/>
        </w:trPr>
        <w:tc>
          <w:tcPr>
            <w:tcW w:w="18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will be outstanding after this offering.</w:t>
            </w:r>
          </w:p>
        </w:tc>
        <w:tc>
          <w:tcPr>
            <w:tcW w:w="474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2" w:lineRule="exact"/>
        <w:rPr>
          <w:sz w:val="20"/>
          <w:szCs w:val="20"/>
          <w:color w:val="auto"/>
        </w:rPr>
      </w:pPr>
    </w:p>
    <w:p>
      <w:pPr>
        <w:ind w:left="380" w:right="40" w:firstLine="426"/>
        <w:spacing w:after="0" w:line="312" w:lineRule="auto"/>
        <w:rPr>
          <w:sz w:val="20"/>
          <w:szCs w:val="20"/>
          <w:color w:val="auto"/>
        </w:rPr>
      </w:pPr>
      <w:r>
        <w:rPr>
          <w:rFonts w:ascii="Arial" w:cs="Arial" w:eastAsia="Arial" w:hAnsi="Arial"/>
          <w:sz w:val="16"/>
          <w:szCs w:val="16"/>
          <w:color w:val="auto"/>
        </w:rPr>
        <w:t>Unless we specifically state otherwise, all information in this prospectus, (1) except for our historical combined financial statements included elsewhere in this prospectus, assumes the consummation of the Corporate Reorganization immediately prior to the closing of this offering and (2) assumes no exercise of the underwriters’ option to purchase additional shares of common stock solely to cover overallotments.</w:t>
      </w:r>
    </w:p>
    <w:p>
      <w:pPr>
        <w:spacing w:after="0" w:line="9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SUMMARY HISTORICAL AND UNAUDITED PRO FORMA COMBINED FINANCIAL DATA</w:t>
      </w:r>
    </w:p>
    <w:p>
      <w:pPr>
        <w:spacing w:after="0" w:line="229"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Set forth below are summary historical financial and other data. The combined balance sheet data as of December 31, 2018 and 2017 and the combined statements of income data and the combined statements of cash flows data for the years ended December 31, 2018, 2017 and 2016 have been derived from our annual combined financial statements included elsewhere in this prospectus. The combined balance sheet data as of December 31, 2016 has been derived from our financial records, which were derived from the financial records of RGHL Group and are not included in this prospectus. The combined balance sheet data as of September 30, 2019 and the combined statements of income data and the combined statements of cash flows data for the nine months ended September 30, 2019 and 2018 have been derived from our interim condensed combined financial statements included elsewhere in this prospectus. The interim condensed combined financial statements were prepared on a basis consistent with that used in preparing our annual combined financial statements and include all normal and recurring adjustments considered necessary for a fair statement of our financial position and results of operations for the interim periods. The historical financial data includes costs of our business, which include the allocation of certain expenses from RGHL Group. We believe these allocations were made on a reasonable basis. The summary financial data may not be indicative of our future performance as a stand-alone public company. It should be read in conjunction with the discussion in “Management’s Discussion and Analysis of Financial Condition and Results of Operations,” “Unaudited Pro Forma Combined Financial Data” and the annual combined financial statements and corresponding notes and the interim condensed combined financial statements and corresponding notes included elsewhere in this prospectus.</w:t>
      </w:r>
    </w:p>
    <w:p>
      <w:pPr>
        <w:spacing w:after="0" w:line="172"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Also set forth below are summary unaudited pro forma combined statements of income data for the nine months ended September 30, 2019 and the year ended December 31, 2018, which assume that the Corporate Reorganization and this offering had occurred as of January 1, 2018. The summary unaudited pro forma combined balance sheet data as of September 30, 2019 assumes that the Corporate Reorganization and this offering occurred as of September 30, 2019. The pro forma adjustments are based upon available information and assumptions that we believe are reasonable. The summary unaudited pro forma combined financial data does not purport to represent what the financial position or results of operations of RCP would have been if we had operated as a stand-alone public company during the periods presented or if the transactions described therein had actually occurred as of the dates indicated, nor does it project the financial position at any future date or the results of operations for any future period. Please see the notes to the “Unaudited Pro Forma Combined Financial Data” included elsewhere in this prospectus for a complete description of the adjustments reflected in the unaudited pro forma combined financial data.</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9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Historical</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440" w:type="dxa"/>
            <w:vAlign w:val="bottom"/>
            <w:gridSpan w:val="6"/>
            <w:vMerge w:val="restart"/>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1060" w:type="dxa"/>
            <w:vAlign w:val="bottom"/>
            <w:gridSpan w:val="2"/>
            <w:vMerge w:val="continue"/>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gridSpan w:val="12"/>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 except share and per share data)</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Income Data:</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Net revenues(1)</w:t>
            </w: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2,083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2,113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2,981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2,809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2,792</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net revenues(1)</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Total net revenues</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2,197</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2,235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3,142</w:t>
            </w: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2,957</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2,935</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0"/>
              </w:rPr>
              <w:t>(1,580)</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6"/>
              </w:rPr>
              <w:t>(1,669)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6"/>
              </w:rPr>
              <w:t>(2,310)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0"/>
              </w:rPr>
              <w:t>(2,095)</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(2,048)</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832</w:t>
            </w: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Other expense, net(2)</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513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Non-operating income (expense), net</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Income before income taxes</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vMerge w:val="continue"/>
          </w:tcPr>
          <w:p>
            <w:pPr>
              <w:spacing w:after="0"/>
              <w:rPr>
                <w:sz w:val="17"/>
                <w:szCs w:val="17"/>
                <w:color w:val="auto"/>
              </w:rPr>
            </w:pP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135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176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8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2145" cy="6838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5160" w:type="dxa"/>
        <w:tblCellMar>
          <w:top w:w="0" w:type="dxa"/>
          <w:left w:w="0" w:type="dxa"/>
          <w:bottom w:w="0" w:type="dxa"/>
          <w:right w:w="0" w:type="dxa"/>
        </w:tblCellMar>
      </w:tblPr>
      <w:tr>
        <w:trPr>
          <w:trHeight w:val="171"/>
        </w:trPr>
        <w:tc>
          <w:tcPr>
            <w:tcW w:w="19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Historical</w:t>
            </w: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Year ended</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10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6"/>
          </w:tcPr>
          <w:p>
            <w:pPr>
              <w:jc w:val="right"/>
              <w:ind w:right="88"/>
              <w:spacing w:after="0" w:line="146" w:lineRule="exact"/>
              <w:rPr>
                <w:sz w:val="20"/>
                <w:szCs w:val="20"/>
                <w:color w:val="auto"/>
              </w:rPr>
            </w:pPr>
            <w:r>
              <w:rPr>
                <w:rFonts w:ascii="Arial" w:cs="Arial" w:eastAsia="Arial" w:hAnsi="Arial"/>
                <w:sz w:val="14"/>
                <w:szCs w:val="14"/>
                <w:b w:val="1"/>
                <w:bCs w:val="1"/>
                <w:color w:val="auto"/>
              </w:rPr>
              <w:t>(In millions, except share and per share data)</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Arial" w:cs="Arial" w:eastAsia="Arial" w:hAnsi="Arial"/>
          <w:sz w:val="16"/>
          <w:szCs w:val="16"/>
          <w:b w:val="1"/>
          <w:bCs w:val="1"/>
          <w:color w:val="auto"/>
        </w:rPr>
        <w:t>Per share:</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Earnings per share:</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Basic</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Diluted</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Weighted average number of shares used in calculating earnings per</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Basic</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Diluted</w:t>
      </w:r>
    </w:p>
    <w:p>
      <w:pPr>
        <w:spacing w:after="0" w:line="119"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Balance Sheet Data (as of end of period):</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2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478</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429</w:t>
            </w:r>
          </w:p>
        </w:tc>
        <w:tc>
          <w:tcPr>
            <w:tcW w:w="20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371</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receivables—non-current</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2,401</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1,929</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1,784</w:t>
            </w: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rPr>
              <w:t>Total assets(3)</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4,130</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6,421</w:t>
            </w:r>
          </w:p>
        </w:tc>
        <w:tc>
          <w:tcPr>
            <w:tcW w:w="20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5,911</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5,738</w:t>
            </w: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rPr>
              <w:t>Long-term debt, including current portion</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2,016</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2,030</w:t>
            </w:r>
          </w:p>
        </w:tc>
        <w:tc>
          <w:tcPr>
            <w:tcW w:w="20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2,049</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2,067</w:t>
            </w: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borrowings, including current portion</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4"/>
              </w:rPr>
              <w:t>2,148</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3,950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3,927</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3,957</w:t>
            </w:r>
          </w:p>
        </w:tc>
      </w:tr>
      <w:tr>
        <w:trPr>
          <w:trHeight w:val="206"/>
        </w:trPr>
        <w:tc>
          <w:tcPr>
            <w:tcW w:w="4080" w:type="dxa"/>
            <w:vAlign w:val="bottom"/>
          </w:tcPr>
          <w:p>
            <w:pPr>
              <w:ind w:left="20"/>
              <w:spacing w:after="0"/>
              <w:rPr>
                <w:sz w:val="20"/>
                <w:szCs w:val="20"/>
                <w:color w:val="auto"/>
              </w:rPr>
            </w:pPr>
            <w:r>
              <w:rPr>
                <w:rFonts w:ascii="Arial" w:cs="Arial" w:eastAsia="Arial" w:hAnsi="Arial"/>
                <w:sz w:val="16"/>
                <w:szCs w:val="16"/>
                <w:color w:val="auto"/>
              </w:rPr>
              <w:t>Total equity (deficit)</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(798)</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(1,027)</w:t>
            </w:r>
          </w:p>
        </w:tc>
        <w:tc>
          <w:tcPr>
            <w:tcW w:w="2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6"/>
              </w:rPr>
              <w:t>(1,298)</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(1,517)</w:t>
            </w:r>
          </w:p>
        </w:tc>
      </w:tr>
      <w:tr>
        <w:trPr>
          <w:trHeight w:val="104"/>
        </w:trPr>
        <w:tc>
          <w:tcPr>
            <w:tcW w:w="4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Data:(4)</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rPr>
              <w:t>Net cash provided by (used in):</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8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2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308"/>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Other Financial Data:(5)</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12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bl>
    <w:p>
      <w:pPr>
        <w:spacing w:after="0" w:line="179" w:lineRule="exact"/>
        <w:rPr>
          <w:sz w:val="20"/>
          <w:szCs w:val="20"/>
          <w:color w:val="auto"/>
        </w:rPr>
      </w:pPr>
    </w:p>
    <w:p>
      <w:pPr>
        <w:ind w:left="800" w:right="20" w:hanging="414"/>
        <w:spacing w:after="0" w:line="264"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January 1, 2018, we adopted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other related Accounting Standards Updates regarding Accounting Standards Codification Topic 606 (“ASC 606”), using the modified retrospective method. Results as of and for the year ended December 31, 2018 and periods thereafter are presented under ASC 606, while prior period amounts are not adjusted and continue to be reported under ASC 605, Revenue Recognition, the accounting standard in effect for those periods presented. Our adoption of ASC 606 resulted in a $5 million adjustment to Net Parent deficit. There was no other material financial statement impact from adopting the new revenue recognition accounting standard. For further details regarding the impact of the adoption of ASC 606, refer to Note 2—Summary of Significant Accounting Policies of our annual combined financial statements included elsewhere in this prospectus.</w:t>
      </w:r>
    </w:p>
    <w:p>
      <w:pPr>
        <w:spacing w:after="0" w:line="5" w:lineRule="exact"/>
        <w:rPr>
          <w:rFonts w:ascii="Arial" w:cs="Arial" w:eastAsia="Arial" w:hAnsi="Arial"/>
          <w:sz w:val="16"/>
          <w:szCs w:val="16"/>
          <w:color w:val="auto"/>
        </w:rPr>
      </w:pPr>
    </w:p>
    <w:p>
      <w:pPr>
        <w:ind w:left="800" w:right="220" w:hanging="414"/>
        <w:spacing w:after="0" w:line="264"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historical periods, Other expense, net, is primarily comprised of an allocated related party management fee and the loss on sale that we incur when we sell our trade receivables through the RGHL Group securitization facility. For further information, refer to Note 9—Other Expense, Net in our annual combined financial statements and Note 11—Other Expense, Net in our interim condensed combined financial statements, each of which are included elsewhere in this prospectus. We will not be required to pay any portion of this management fee after closing of this offering, and in conjunction with this offering, we will cease to participate in such securitization facility.</w:t>
      </w:r>
    </w:p>
    <w:p>
      <w:pPr>
        <w:ind w:left="800" w:hanging="414"/>
        <w:spacing w:after="0" w:line="264"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January 1, 2019, we adopted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other related Accounting Standard Updates regarding Accounting Standards Codification Topic 842 (“ASC 842”), using the modified retrospective method without the recasting of comparative periods’ financial information, as permitted by the transition guidance. Results as of and for the nine months ended September 30, 2019 are presented under ASC 842, while prior period amounts are not adjusted and continue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the accounting standard in effect for those periods presented. For further details regarding the impact of the adoption of ASC 842, refer to Note 2—Summary of Significant Accounting Policies of our interim condensed combined financial statements included elsewhere in this prospectus.</w:t>
      </w:r>
    </w:p>
    <w:p>
      <w:pPr>
        <w:spacing w:after="0" w:line="1" w:lineRule="exact"/>
        <w:rPr>
          <w:rFonts w:ascii="Arial" w:cs="Arial" w:eastAsia="Arial" w:hAnsi="Arial"/>
          <w:sz w:val="16"/>
          <w:szCs w:val="16"/>
          <w:color w:val="auto"/>
        </w:rPr>
      </w:pPr>
    </w:p>
    <w:p>
      <w:pPr>
        <w:ind w:left="800" w:right="280" w:hanging="414"/>
        <w:spacing w:after="0" w:line="276"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historically operated as part of RGHL Group and not as a stand-alone public company. RGHL Group centrally managed substantially all of our financial resources for all of the periods presented. Accordingly, our historical operating, investing and financing cash flow data each includes significant related party transactions which may not have arisen had we been a stand-alone public company.</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93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2145" cy="579310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00"/>
        <w:spacing w:after="0" w:line="289" w:lineRule="auto"/>
        <w:rPr>
          <w:sz w:val="20"/>
          <w:szCs w:val="20"/>
          <w:color w:val="auto"/>
        </w:rPr>
      </w:pPr>
      <w:r>
        <w:rPr>
          <w:rFonts w:ascii="Arial" w:cs="Arial" w:eastAsia="Arial" w:hAnsi="Arial"/>
          <w:sz w:val="15"/>
          <w:szCs w:val="15"/>
          <w:color w:val="auto"/>
        </w:rPr>
        <w:t>Our net cash provided by operating activities includes the impact of changes in related party receivables and payables that are not representative of the timing of settlement of trade balances on terms consistent with third party arrangements entered into in the normal course of business. Our net cash provided by operating activities also includes historical related party interest paid, net, related to arrangements with RGHL Group that will cease on or prior to the closing of this offering. Furthermore, as detailed in Note 2—Summary of Significant Accounting Policies of our annual combined financial statements included elsewhere in this prospectus, our U.S. operations were included in a consolidated U.S. federal tax return and the settlement of our U.S. federal current tax is recognized directly as a movement in Net Parent deficit. As a result, our net cash provided by operating activities does not include any cash outflow associated with the payment of U.S. federal tax.</w:t>
      </w:r>
    </w:p>
    <w:p>
      <w:pPr>
        <w:spacing w:after="0" w:line="86" w:lineRule="exact"/>
        <w:rPr>
          <w:sz w:val="20"/>
          <w:szCs w:val="20"/>
          <w:color w:val="auto"/>
        </w:rPr>
      </w:pPr>
    </w:p>
    <w:p>
      <w:pPr>
        <w:ind w:left="800" w:right="140"/>
        <w:spacing w:after="0" w:line="293" w:lineRule="auto"/>
        <w:rPr>
          <w:sz w:val="20"/>
          <w:szCs w:val="20"/>
          <w:color w:val="auto"/>
        </w:rPr>
      </w:pPr>
      <w:r>
        <w:rPr>
          <w:rFonts w:ascii="Arial" w:cs="Arial" w:eastAsia="Arial" w:hAnsi="Arial"/>
          <w:sz w:val="16"/>
          <w:szCs w:val="16"/>
          <w:color w:val="auto"/>
        </w:rPr>
        <w:t>The following table illustrates the impact of the timing of settlement of related party receivables and payables, as well as the settlement of our U.S. federal current tax directly through Net Parent deficit, on our net cash provided by operating activities.</w:t>
      </w:r>
    </w:p>
    <w:p>
      <w:pPr>
        <w:spacing w:after="0" w:line="5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related party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tcPr>
          <w:p>
            <w:pPr>
              <w:spacing w:after="0" w:line="130" w:lineRule="exact"/>
              <w:rPr>
                <w:sz w:val="20"/>
                <w:szCs w:val="20"/>
                <w:color w:val="auto"/>
              </w:rPr>
            </w:pPr>
            <w:r>
              <w:rPr>
                <w:rFonts w:ascii="Arial" w:cs="Arial" w:eastAsia="Arial" w:hAnsi="Arial"/>
                <w:sz w:val="14"/>
                <w:szCs w:val="14"/>
                <w:color w:val="auto"/>
              </w:rPr>
              <w:t>Change in related party accounts receivable (excluding related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20" w:type="dxa"/>
            <w:vAlign w:val="bottom"/>
          </w:tcPr>
          <w:p>
            <w:pPr>
              <w:ind w:left="140"/>
              <w:spacing w:after="0"/>
              <w:rPr>
                <w:sz w:val="20"/>
                <w:szCs w:val="20"/>
                <w:color w:val="auto"/>
              </w:rPr>
            </w:pPr>
            <w:r>
              <w:rPr>
                <w:rFonts w:ascii="Arial" w:cs="Arial" w:eastAsia="Arial" w:hAnsi="Arial"/>
                <w:sz w:val="14"/>
                <w:szCs w:val="14"/>
                <w:color w:val="auto"/>
              </w:rPr>
              <w:t>party interest receivable)</w:t>
            </w: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income tax payable</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line="133" w:lineRule="exact"/>
              <w:rPr>
                <w:sz w:val="20"/>
                <w:szCs w:val="20"/>
                <w:color w:val="auto"/>
              </w:rPr>
            </w:pPr>
            <w:r>
              <w:rPr>
                <w:rFonts w:ascii="Arial" w:cs="Arial" w:eastAsia="Arial" w:hAnsi="Arial"/>
                <w:sz w:val="14"/>
                <w:szCs w:val="14"/>
                <w:b w:val="1"/>
                <w:bCs w:val="1"/>
                <w:color w:val="auto"/>
              </w:rPr>
              <w:t>Net (decrease) increase in net cash provided by operating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Pr>
          <w:p>
            <w:pPr>
              <w:ind w:left="140"/>
              <w:spacing w:after="0"/>
              <w:rPr>
                <w:sz w:val="20"/>
                <w:szCs w:val="20"/>
                <w:color w:val="auto"/>
              </w:rPr>
            </w:pPr>
            <w:r>
              <w:rPr>
                <w:rFonts w:ascii="Arial" w:cs="Arial" w:eastAsia="Arial" w:hAnsi="Arial"/>
                <w:sz w:val="14"/>
                <w:szCs w:val="14"/>
                <w:b w:val="1"/>
                <w:bCs w:val="1"/>
                <w:color w:val="auto"/>
              </w:rPr>
              <w:t>activities due to the above items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(50)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173</w:t>
            </w:r>
          </w:p>
        </w:tc>
        <w:tc>
          <w:tcPr>
            <w:tcW w:w="2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c>
          <w:tcPr>
            <w:tcW w:w="56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800" w:right="460"/>
        <w:spacing w:after="0" w:line="293" w:lineRule="auto"/>
        <w:rPr>
          <w:sz w:val="20"/>
          <w:szCs w:val="20"/>
          <w:color w:val="auto"/>
        </w:rPr>
      </w:pPr>
      <w:r>
        <w:rPr>
          <w:rFonts w:ascii="Arial" w:cs="Arial" w:eastAsia="Arial" w:hAnsi="Arial"/>
          <w:sz w:val="16"/>
          <w:szCs w:val="16"/>
          <w:color w:val="auto"/>
        </w:rPr>
        <w:t>The following table illustrates the impact of historical related party interest expense paid, net of related party interest income received on our net cash provided by operating activities.</w:t>
      </w:r>
    </w:p>
    <w:p>
      <w:pPr>
        <w:spacing w:after="0" w:line="5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2018</w:t>
            </w: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8"/>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left="408"/>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Related party interest received (paid), net</w:t>
            </w:r>
          </w:p>
        </w:tc>
        <w:tc>
          <w:tcPr>
            <w:tcW w:w="146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w:t>
            </w:r>
          </w:p>
        </w:tc>
        <w:tc>
          <w:tcPr>
            <w:tcW w:w="74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16</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800" w:right="260"/>
        <w:spacing w:after="0" w:line="278" w:lineRule="auto"/>
        <w:rPr>
          <w:sz w:val="20"/>
          <w:szCs w:val="20"/>
          <w:color w:val="auto"/>
        </w:rPr>
      </w:pPr>
      <w:r>
        <w:rPr>
          <w:rFonts w:ascii="Arial" w:cs="Arial" w:eastAsia="Arial" w:hAnsi="Arial"/>
          <w:sz w:val="16"/>
          <w:szCs w:val="16"/>
          <w:color w:val="auto"/>
        </w:rPr>
        <w:t>For further information regarding related party transactions reported within our cash flows from investing and financing activities, refer to our combined statements of cash flows in our annual combined financial statements and interim condensed combined financial statements, each of which are included elsewhere in this prospectus.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Non-GAAP Financial Measures</w:t>
      </w:r>
    </w:p>
    <w:p>
      <w:pPr>
        <w:spacing w:after="0" w:line="144" w:lineRule="exact"/>
        <w:rPr>
          <w:sz w:val="20"/>
          <w:szCs w:val="20"/>
          <w:color w:val="auto"/>
        </w:rPr>
      </w:pPr>
    </w:p>
    <w:p>
      <w:pPr>
        <w:ind w:left="800" w:right="80" w:hanging="414"/>
        <w:spacing w:after="0" w:line="324"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is management’s intent to provide non-GAAP financial measures to enhance the understanding of our GAAP financial information, and it should be considered in addition to, and not instead of, the financial statements prepared in accordance with GAAP included elsewhere in this prospectus. Our non-GAAP financial measure is presented along with the corresponding most directly comparable GAAP measure so as not to imply that more emphasis should be placed on the non-GAAP measure. The non-GAAP financial measure presented may be determined or calculated differently by other companies.</w:t>
      </w:r>
    </w:p>
    <w:p>
      <w:pPr>
        <w:spacing w:after="0" w:line="62" w:lineRule="exact"/>
        <w:rPr>
          <w:rFonts w:ascii="Arial" w:cs="Arial" w:eastAsia="Arial" w:hAnsi="Arial"/>
          <w:sz w:val="14"/>
          <w:szCs w:val="14"/>
          <w:color w:val="auto"/>
        </w:rPr>
      </w:pPr>
    </w:p>
    <w:p>
      <w:pPr>
        <w:ind w:left="800" w:right="80"/>
        <w:spacing w:after="0" w:line="273" w:lineRule="auto"/>
        <w:rPr>
          <w:rFonts w:ascii="Arial" w:cs="Arial" w:eastAsia="Arial" w:hAnsi="Arial"/>
          <w:sz w:val="14"/>
          <w:szCs w:val="14"/>
          <w:color w:val="auto"/>
        </w:rPr>
      </w:pPr>
      <w:r>
        <w:rPr>
          <w:rFonts w:ascii="Arial" w:cs="Arial" w:eastAsia="Arial" w:hAnsi="Arial"/>
          <w:sz w:val="16"/>
          <w:szCs w:val="16"/>
          <w:color w:val="auto"/>
        </w:rPr>
        <w:t>We define “Adjusted EBITDA” as our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the allocated related party management fee and transaction-related costs.</w:t>
      </w:r>
    </w:p>
    <w:p>
      <w:pPr>
        <w:spacing w:after="0" w:line="81" w:lineRule="exact"/>
        <w:rPr>
          <w:rFonts w:ascii="Arial" w:cs="Arial" w:eastAsia="Arial" w:hAnsi="Arial"/>
          <w:sz w:val="14"/>
          <w:szCs w:val="14"/>
          <w:color w:val="auto"/>
        </w:rPr>
      </w:pPr>
    </w:p>
    <w:p>
      <w:pPr>
        <w:jc w:val="both"/>
        <w:ind w:left="820" w:right="120"/>
        <w:spacing w:after="0" w:line="305" w:lineRule="auto"/>
        <w:rPr>
          <w:rFonts w:ascii="Arial" w:cs="Arial" w:eastAsia="Arial" w:hAnsi="Arial"/>
          <w:sz w:val="14"/>
          <w:szCs w:val="14"/>
          <w:color w:val="auto"/>
        </w:rPr>
      </w:pPr>
      <w:r>
        <w:rPr>
          <w:rFonts w:ascii="Arial" w:cs="Arial" w:eastAsia="Arial" w:hAnsi="Arial"/>
          <w:sz w:val="15"/>
          <w:szCs w:val="15"/>
          <w:color w:val="auto"/>
        </w:rPr>
        <w:t>We have included Adjusted EBITDA in this prospectus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95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2145" cy="52952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20" w:right="320"/>
        <w:spacing w:after="0" w:line="293" w:lineRule="auto"/>
        <w:rPr>
          <w:sz w:val="20"/>
          <w:szCs w:val="20"/>
          <w:color w:val="auto"/>
        </w:rPr>
      </w:pPr>
      <w:r>
        <w:rPr>
          <w:rFonts w:ascii="Arial" w:cs="Arial" w:eastAsia="Arial" w:hAnsi="Arial"/>
          <w:sz w:val="16"/>
          <w:szCs w:val="16"/>
          <w:color w:val="auto"/>
        </w:rPr>
        <w:t>The following table presents a reconciliation of net income, the most directly comparable GAAP financial measure, to Adjusted EBITDA for each of the periods indicated:</w:t>
      </w: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93"/>
              </w:rPr>
              <w:t>Historical</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0"/>
                <w:szCs w:val="10"/>
                <w:color w:val="auto"/>
              </w:rPr>
            </w:pPr>
          </w:p>
        </w:tc>
        <w:tc>
          <w:tcPr>
            <w:tcW w:w="1080" w:type="dxa"/>
            <w:vAlign w:val="bottom"/>
            <w:gridSpan w:val="6"/>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Year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center"/>
              <w:ind w:left="186"/>
              <w:spacing w:after="0" w:line="149"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center"/>
              <w:ind w:left="121"/>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income—GAAP</w:t>
            </w:r>
          </w:p>
        </w:tc>
        <w:tc>
          <w:tcPr>
            <w:tcW w:w="880" w:type="dxa"/>
            <w:vAlign w:val="bottom"/>
            <w:gridSpan w:val="2"/>
            <w:shd w:val="clear" w:color="auto" w:fill="CCEEFF"/>
          </w:tcPr>
          <w:p>
            <w:pPr>
              <w:jc w:val="right"/>
              <w:ind w:right="73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$ 135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$ 79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(84)</w:t>
            </w:r>
          </w:p>
        </w:tc>
        <w:tc>
          <w:tcPr>
            <w:tcW w:w="3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212</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Factoring discount(a)</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rPr>
                <w:sz w:val="20"/>
                <w:szCs w:val="20"/>
                <w:color w:val="auto"/>
              </w:rPr>
            </w:pPr>
            <w:r>
              <w:rPr>
                <w:rFonts w:ascii="Arial" w:cs="Arial" w:eastAsia="Arial" w:hAnsi="Arial"/>
                <w:sz w:val="16"/>
                <w:szCs w:val="16"/>
                <w:color w:val="auto"/>
              </w:rPr>
              <w:t>Allocated related party management fee(b)</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Transaction-related costs(c)</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rPr>
                <w:sz w:val="20"/>
                <w:szCs w:val="20"/>
                <w:color w:val="auto"/>
              </w:rPr>
            </w:pPr>
            <w:r>
              <w:rPr>
                <w:rFonts w:ascii="Arial" w:cs="Arial" w:eastAsia="Arial" w:hAnsi="Arial"/>
                <w:sz w:val="16"/>
                <w:szCs w:val="16"/>
                <w:color w:val="auto"/>
              </w:rPr>
              <w:t>Unrealized losses (gains) on derivatives(d)</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(4)</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rationalization costs(e)</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rPr>
                <w:sz w:val="20"/>
                <w:szCs w:val="20"/>
                <w:color w:val="auto"/>
              </w:rPr>
            </w:pPr>
            <w:r>
              <w:rPr>
                <w:rFonts w:ascii="Arial" w:cs="Arial" w:eastAsia="Arial" w:hAnsi="Arial"/>
                <w:sz w:val="16"/>
                <w:szCs w:val="16"/>
                <w:color w:val="auto"/>
              </w:rPr>
              <w:t>Defined benefit plan settlement loss(f)</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38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Other(g)</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Adjusted EBITDA (Non-GAAP)</w:t>
            </w:r>
          </w:p>
        </w:tc>
        <w:tc>
          <w:tcPr>
            <w:tcW w:w="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9"/>
              </w:rPr>
              <w:t>$ 441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423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647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656</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6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220" w:right="120" w:hanging="415"/>
        <w:spacing w:after="0" w:line="265"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the loss on sale that we incur when we sell our U.S. trade receivables through RGHL Group’s securitization facility. For further information, refer to Note 9—Other Expense, Net in our annual combined financial statements and Note 11—Other Expense, Net in our interim condensed combined financial statements, each of which are included elsewhere in this prospectus. In conjunction with this offering, we will cease to participate in this facility.</w:t>
      </w:r>
    </w:p>
    <w:p>
      <w:pPr>
        <w:spacing w:after="0" w:line="1" w:lineRule="exact"/>
        <w:rPr>
          <w:rFonts w:ascii="Arial" w:cs="Arial" w:eastAsia="Arial" w:hAnsi="Arial"/>
          <w:sz w:val="16"/>
          <w:szCs w:val="16"/>
          <w:color w:val="auto"/>
        </w:rPr>
      </w:pPr>
    </w:p>
    <w:p>
      <w:pPr>
        <w:ind w:left="1220" w:right="80" w:hanging="415"/>
        <w:spacing w:after="0" w:line="264"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our allocation, from RGHL Group, of a management fee that is charged by Rank to RGHL Group. We will not be required to pay any portion of this management fee after closing of this offering. For further information, refer to Note 9—Other Expense, Net in our annual combined financial statements and Note 11—Other Expense, Net in our interim condensed combined financial statements, each of which are included elsewhere in this prospectus.</w:t>
      </w:r>
    </w:p>
    <w:p>
      <w:pPr>
        <w:ind w:left="1220" w:right="140" w:hanging="415"/>
        <w:spacing w:after="0" w:line="264"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allocated costs during the nine months ended September 30, 2019 related to the IPO process that cannot be offset against the expected future IPO proceeds, as well as costs related to our preparations to operate as a stand-alone public company.</w:t>
      </w:r>
    </w:p>
    <w:p>
      <w:pPr>
        <w:ind w:left="1220" w:right="20" w:hanging="415"/>
        <w:spacing w:after="0" w:line="264"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the mark-to-market movements in our commodity derivatives. For further information, refer to Note 7—Financial Instruments in our annual combined financial statements and Note 8—Financial Instruments in our interim condensed combined financial statements, each of which are included elsewhere in this prospectus.</w:t>
      </w:r>
    </w:p>
    <w:p>
      <w:pPr>
        <w:ind w:left="1220" w:hanging="415"/>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primarily employee termination costs associated with rationalizing our operations in Canada.</w:t>
      </w:r>
    </w:p>
    <w:p>
      <w:pPr>
        <w:spacing w:after="0" w:line="18" w:lineRule="exact"/>
        <w:rPr>
          <w:rFonts w:ascii="Arial" w:cs="Arial" w:eastAsia="Arial" w:hAnsi="Arial"/>
          <w:sz w:val="16"/>
          <w:szCs w:val="16"/>
          <w:color w:val="auto"/>
        </w:rPr>
      </w:pPr>
    </w:p>
    <w:p>
      <w:pPr>
        <w:ind w:left="1220" w:right="220" w:hanging="415"/>
        <w:spacing w:after="0" w:line="264"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ind w:left="1220" w:right="100" w:hanging="415"/>
        <w:spacing w:after="0" w:line="276"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the amortization of actuarial gains related to our postretirement benefit plan. For further information, refer to Note 8—Benefit Plans in our annual combined financial statements and Note 9—Benefit Plans in our interim condensed combined financial statements, each of which are included elsewhere in this prospectus.</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of the other information set forth in this prospectus before deciding to invest in shares of our common stock. If any of the following risks actually occurs, our business, financial condition and results of operations could be materially adversely affected. In such case, the trading price of our common stock could decline, and you may lose all or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success depends on our ability to anticipate and respond to changes in consumer preferences.</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52" w:lineRule="exact"/>
        <w:rPr>
          <w:sz w:val="20"/>
          <w:szCs w:val="20"/>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offer to our customers products that consumers want at competitive prices;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introduce new and appealing products and innovate successfully on our existing products;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maintain consumer interest in our brands;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brand recognition and loyalty.</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We may not be able to implement this strategy successfully, which could materially and adversely affect our sales and business, financial condition and results of operations.</w:t>
      </w:r>
    </w:p>
    <w:p>
      <w:pPr>
        <w:spacing w:after="0" w:line="275"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5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many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rely on a relatively small number of customers for a significant portion of our revenue. Sales to our top ten customers accounted for 69% of our total revenue in fiscal year 2018. Our two largest customers, Walmart and Sam’s Club, individually accounted for 28% and 12%, respectively, of our total revenue in fiscal year 2018.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addition, over the last several years, there has been a trend toward consolidation among our customers in the retail industry, and we expect that this trend will continue. Consolidation among our customers could increase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their ability to apply pricing pressure, and thereby force us to reduce our selling prices or lose sales. In addition, following a consolidation, our customers may close stores, reduce inventory or switch suppliers of consumer products. Any of these factors could negatively impact our business, financial condition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operate in competitive markets.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operate in competitive markets, and our main competitors include The Clorox Company, S.C. Johnson &amp; Sons, Inc., Poly-America, Handi-Foil Corporation, Republic Plastics, Ltd., Trinidad Benham Corporation, Inteplast Group, Ltd. and Dart Container Corporation. Although capital costs and intellectual property and technology may create barriers to entry, we face the threat of competition from new entrants to our markets as well as from existing competitors, including overseas competitors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of any of our key manufacturing facilities or of those of our key suppliers could have an adverse effect on our business.</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Some of our products are manufactured at a single location. For example, our Malvern, Arkansas plant is our sole producer of foil reroll for our Louisville, Kentucky plant, which in turn is our sole producer of household foil. The loss of the use of all or a portion of any of our key manufacturing facilities, especially one that is a sole producer, or the loss of the use of key suppliers, due to an accident, labor issues, weather conditions, natural disaster or otherwise could have a material adverse effect on our business, financial condition and results of operations.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Any interruption in our supply of raw materials could harm our business, financial condition and results of operations.</w:t>
      </w:r>
    </w:p>
    <w:p>
      <w:pPr>
        <w:spacing w:after="0" w:line="121"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business is impacted by fluctuations in raw material, energy and freight costs, including the impact of tariffs and similar matters.</w:t>
      </w:r>
    </w:p>
    <w:p>
      <w:pPr>
        <w:spacing w:after="0" w:line="13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Raw material costs are also impacted by governmental actions, such as tariffs and trade sanctions. For example, the recent imposition by the U.S. government of tariffs on products imported from certain countries and trade sanctions against certain countries have introduced greater</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86" w:lineRule="auto"/>
        <w:rPr>
          <w:sz w:val="20"/>
          <w:szCs w:val="20"/>
          <w:color w:val="auto"/>
        </w:rPr>
      </w:pPr>
      <w:r>
        <w:rPr>
          <w:rFonts w:ascii="Arial" w:cs="Arial" w:eastAsia="Arial" w:hAnsi="Arial"/>
          <w:sz w:val="17"/>
          <w:szCs w:val="17"/>
          <w:color w:val="auto"/>
        </w:rPr>
        <w:t>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6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typically do not enter into long-term fixed price purchase contracts for our principal raw materials.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the recent reduced trucking capacity, due to a shortage of drivers, the recent enforcement deadline for a federal regulation requiring drivers to electronically log their driving hours and adverse weather conditions, among other reasons, has caused an increase in the cost of transportation for us and many other companies.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brands are critical to our success.</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in our balance sheet, which could materially and adversely affect our business, financial condition and results of operations.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could be impacted by changes in consumer lifestyle and environmental concerns.</w:t>
      </w:r>
    </w:p>
    <w:p>
      <w:pPr>
        <w:spacing w:after="0" w:line="12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polystyrene foam in certain jurisdictions), impact several of our products, especially our Hefty Tableware segment. Sustainability concerns, including the recycling of products, have received increased focus in recent years and may play an increasing role in brand management and consumer purchasing decisions. In addition, changes in consumer lifestyle may decrease the demand for certain of our products, which in turn could materially and adversely affect our business, financial condition and results of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business may be affected by economic downturns in the markets that we serve and in the regions that supply our raw materials.</w:t>
      </w:r>
    </w:p>
    <w:p>
      <w:pPr>
        <w:spacing w:after="0" w:line="133"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States in particular, could lead to declines in consumer spending and consumption and cause our customers to purchase less of our products.</w:t>
      </w:r>
    </w:p>
    <w:p>
      <w:pPr>
        <w:spacing w:after="0" w:line="341"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Our profitability and cash flows could suffer if we are unable to continue to generate cost savings in our manufacturing and distribution processes.</w:t>
      </w:r>
    </w:p>
    <w:p>
      <w:pPr>
        <w:spacing w:after="0" w:line="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anticipate that cost savings will result from reducing material costs and manufacturing inefficiencies and from realizing productivity gains, distribution efficiencies and overhead reductions. However,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hedging activities may result in significant losses and period-to-period earnings volatility.</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may enter into hedging transactions to limit our exposure to raw material price risks. Historically, our commodity hedges are primarily related to diesel, resin and aluminum. If we fail to effectively monitor and manage our hedging activities or if we execute a position and raw material prices subsequently decline, we could incur significant losses, which could in turn materially and adversely affect our business, financial condition and results of operations, and we could experience significant fluctuations in our earnings from period to period. Factors that could affect the impact and effectiveness of our hedging activities include the accuracy of our operational forecasts of raw material needs and volatility of the commodities and raw materials pricing markets.</w:t>
      </w:r>
    </w:p>
    <w:p>
      <w:pPr>
        <w:spacing w:after="0" w:line="297" w:lineRule="exact"/>
        <w:rPr>
          <w:sz w:val="20"/>
          <w:szCs w:val="20"/>
          <w:color w:val="auto"/>
        </w:rPr>
      </w:pPr>
    </w:p>
    <w:p>
      <w:pPr>
        <w:ind w:left="200" w:right="700"/>
        <w:spacing w:after="0" w:line="282" w:lineRule="auto"/>
        <w:rPr>
          <w:sz w:val="20"/>
          <w:szCs w:val="20"/>
          <w:color w:val="auto"/>
        </w:rPr>
      </w:pPr>
      <w:r>
        <w:rPr>
          <w:rFonts w:ascii="Arial" w:cs="Arial" w:eastAsia="Arial" w:hAnsi="Arial"/>
          <w:sz w:val="18"/>
          <w:szCs w:val="18"/>
          <w:b w:val="1"/>
          <w:bCs w:val="1"/>
          <w:color w:val="auto"/>
        </w:rPr>
        <w:t>Sales growth objectives may be difficult to achieve, and we may not be able to achieve our innovation goals, develop and introduce new products and line extensions or expand into adjacent categories and countries.</w:t>
      </w:r>
    </w:p>
    <w:p>
      <w:pPr>
        <w:spacing w:after="0" w:line="58"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operate in mature markets that are subject to high levels of competition. Our future performance and growth, including our ability to meet our internal objectives of generating 20% of our revenue each year from products that are less than three years old, depends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w:t>
      </w:r>
    </w:p>
    <w:p>
      <w:pPr>
        <w:spacing w:after="0" w:line="192"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could be subject to foreign market risks, including, among others, foreign currency fluctuations, economic or political instability and the imposition of tariffs and trade restrictions, which could adversely affect our financial results.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We are subject to governmental regulation and we may incur material liabilities under, or costs in order to comply with, existing or future laws and regulations.</w:t>
      </w:r>
    </w:p>
    <w:p>
      <w:pPr>
        <w:spacing w:after="0" w:line="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70"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We could incur significant liabilities related to, and significant costs in complying with, environmental, health and safety laws, regulations and permits.</w:t>
      </w:r>
    </w:p>
    <w:p>
      <w:pPr>
        <w:spacing w:after="0" w:line="5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w:t>
      </w:r>
    </w:p>
    <w:p>
      <w:pPr>
        <w:spacing w:after="0" w:line="16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results.</w:t>
      </w:r>
    </w:p>
    <w:p>
      <w:pPr>
        <w:spacing w:after="0" w:line="293"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We may incur liabilities, experience harm to our reputation and brands, or be forced to recall products as a result of real or perceived product quality or other product-related issues.</w:t>
      </w:r>
    </w:p>
    <w:p>
      <w:pPr>
        <w:spacing w:after="0" w:line="5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Although we have control measures and systems in place to ensure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For instance, in 2015, we voluntarily withdrew certain of our Hefty disposable cups when we identified that an incorrect grade of colorant was used on some of our disposable cups, causing small amounts of ink to transfer from the cup to other surfaces. The colorant presented no health or safety risks to consumers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which was determined through both internal assessment and an external toxicology audit and we effectively remediated this situation. However, if a similar event occurs in the future, it could cause long-term damage to our brands. In addition, if any of our competitors or customers supply faulty or contaminated products to the market, our industry could be negatively impacted, which in turn could have adverse effects on our business.</w:t>
      </w:r>
    </w:p>
    <w:p>
      <w:pPr>
        <w:spacing w:after="0" w:line="147"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affected by seasonality.</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82"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Loss of our key management and other personnel, or an inability to attract new management and other personnel, could negatively impact our business, financial condition and results of operations.</w:t>
      </w:r>
    </w:p>
    <w:p>
      <w:pPr>
        <w:spacing w:after="0" w:line="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We may have difficulty acquiring product lines or businesses, which could impact our business, financial condition and results of operations.</w:t>
      </w:r>
    </w:p>
    <w:p>
      <w:pPr>
        <w:spacing w:after="0" w:line="144" w:lineRule="exact"/>
        <w:rPr>
          <w:sz w:val="20"/>
          <w:szCs w:val="20"/>
          <w:color w:val="auto"/>
        </w:rPr>
      </w:pPr>
    </w:p>
    <w:p>
      <w:pPr>
        <w:jc w:val="both"/>
        <w:ind w:left="200" w:right="180" w:firstLine="441"/>
        <w:spacing w:after="0" w:line="257" w:lineRule="auto"/>
        <w:rPr>
          <w:sz w:val="20"/>
          <w:szCs w:val="20"/>
          <w:color w:val="auto"/>
        </w:rPr>
      </w:pPr>
      <w:r>
        <w:rPr>
          <w:rFonts w:ascii="Arial" w:cs="Arial" w:eastAsia="Arial" w:hAnsi="Arial"/>
          <w:sz w:val="18"/>
          <w:szCs w:val="18"/>
          <w:color w:val="auto"/>
        </w:rPr>
        <w:t>We may pursue acquisitions of product lines or businesses from third parties. Acquisitions involve numerous risks, including difficulties in the assimilation of the operations, technologies, services and products of the acquired product lines or businesses, estimation and assumption of liabilities and contingencies, personnel turnover and the diversion of management’s attention from other business operations. We may be unable to successfully integrate and manage certain product lines or businesses that we may acquire in the future, or be unable to achieve anticipated benefits or cost savings from acquisitions in the time frame we anticipate, or at all.</w:t>
      </w:r>
    </w:p>
    <w:p>
      <w:pPr>
        <w:spacing w:after="0" w:line="292"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5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88"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In the event of such a challenge, we could incur significant costs to defend our intellectual property rights, even if we are ultimately successful. Additionally, there is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67"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 While we protect our intellectual property rights, including through litigation, where necessary, we cannot economically prevent all infringement, misuse or other violations, and any litigation could be protracted and costly and could have a material adverse effect on our business and results of operations regardless of its outcome.</w:t>
      </w:r>
    </w:p>
    <w:p>
      <w:pPr>
        <w:spacing w:after="0" w:line="16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Even if we are not found to infringe, misuse or otherwise violate a third party’s intellectual property rights, we could incur material legal costs and related expenses to defend against such claims and we could incur significant costs associated with discontinuing to use, provide or manufacture certain products, services or brands. In any case, such claims could be protracted and costly and could have a material adverse effect on our business and results of operations regardless of their outcome.</w:t>
      </w:r>
    </w:p>
    <w:p>
      <w:pPr>
        <w:spacing w:after="0" w:line="299"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We depend on intellectual property rights licensed from third parties, and disputes regarding or termination of these licenses could result in loss of rights, which could harm our business.</w:t>
      </w:r>
    </w:p>
    <w:p>
      <w:pPr>
        <w:spacing w:after="0" w:line="5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dependent in part on intellectual property rights licensed from third parties. Our licenses to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in-licensed intellectual property rights, and therefore we may be reliant on our licensors to conduct such activities.</w:t>
      </w:r>
    </w:p>
    <w:p>
      <w:pPr>
        <w:spacing w:after="0" w:line="225"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7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Breaches of our information systems security measures could disrupt our internal operations.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depend on information technology for processing and distributing information in our business, including to and from our customers and suppliers. This information technology could be subject to theft, damage or interruption from a variety of sources, including malicious computer viruses, security breaches, defects in design, employee malfeasance or human or technical errors. Additionally, we could be at risk if a customer’s or supplier’s information technology system is attacked or compromised. Cybersecurity incidents have increased in number and severity, and it is expected that these trends will continue. Although we have taken measures to protect our data and to protect our computer systems from attacks, they may not be sufficient to prevent unauthorized access to our systems or theft of our data. If we or third parties with whom we do business were to fall victim to cyber-attacks or experience other cybersecurity incidents, such incidents could result in unauthorized access to, disclosure or loss of or damage to company, customer or other third party data; theft of confidential data, including personal information and intellectual property; loss of access to critical data or systems; and other business delays or disruptions. The loss or disclosure of personal information could also expose us to liability or penalties under laws, rules and regulations related to solicitation, collection, processing or use of consumer, customer, vendor or employee information or related data. In addition, we may incur large expenditures to investigate or remediate, to recover data, to repair or replace networks or information technology systems, or to protect against similar future events. If these events were to occur, we could incur substantial costs or suffer other consequences that negatively impact our business, financial condition and results of operations.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have significant debt, which could adversely affect our financial condition and ability to operate our business.</w:t>
      </w:r>
    </w:p>
    <w:p>
      <w:pPr>
        <w:spacing w:after="0" w:line="12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Upon closing of this offering, we expect to have approximately $ of outstanding indebtedness under the New Term Loan Facility, and we expect to have material additional borrowing capacity under the New Revolving Facility. For a description of this indebtedness, see “Management’s Discussion and Analysis of Financial Condition and Results of Operations—Sources of Liquidity.” Our debt level and related debt service obligations:</w:t>
      </w:r>
    </w:p>
    <w:p>
      <w:pPr>
        <w:spacing w:after="0" w:line="52" w:lineRule="exact"/>
        <w:rPr>
          <w:sz w:val="20"/>
          <w:szCs w:val="20"/>
          <w:color w:val="auto"/>
        </w:rPr>
      </w:pPr>
    </w:p>
    <w:p>
      <w:pPr>
        <w:ind w:left="960" w:right="100" w:hanging="3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require us to dedicate significant cash flow to the payment of principal of, and interest on, our debt, which will reduce the funds we have available for other purposes, including working capital, capital expenditures and general corporate purposes;</w:t>
      </w:r>
    </w:p>
    <w:p>
      <w:pPr>
        <w:spacing w:after="0" w:line="75" w:lineRule="exact"/>
        <w:rPr>
          <w:rFonts w:ascii="Arial" w:cs="Arial" w:eastAsia="Arial" w:hAnsi="Arial"/>
          <w:sz w:val="18"/>
          <w:szCs w:val="18"/>
          <w:color w:val="auto"/>
        </w:rPr>
      </w:pPr>
    </w:p>
    <w:p>
      <w:pPr>
        <w:ind w:left="5620" w:right="120" w:hanging="4984"/>
        <w:spacing w:after="0" w:line="449"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limit our flexibility in planning for or reacting to changes in our business and market conditions or in funding our strategic growth plan; 28</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impose on us financial and operational restrictions;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expose us to interest rate risk on our debt obligations bearing interest at variable rates.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 increase in market interest rates could increase our interest costs on future debt.</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Borrowings under our New Credit Facilities will be at variable rates of interest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w:t>
      </w:r>
    </w:p>
    <w:p>
      <w:pPr>
        <w:spacing w:after="0" w:line="258"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b w:val="1"/>
          <w:bCs w:val="1"/>
          <w:color w:val="auto"/>
        </w:rPr>
        <w:t>Goodwill and indefinite-lived intangible assets are a material component of our balance sheet and impairments of these assets could have a significant impact on our results.</w:t>
      </w:r>
    </w:p>
    <w:p>
      <w:pPr>
        <w:spacing w:after="0" w:line="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have concluded that our goodwill and indefinite-lived intangible assets are not impaired, future events could cause us to conclude that the goodwill associated with a given segment, or one of our indefinite- lived intangible assets, may have become impaired. Any resulting impairment charge, although non-cash, could have a material adverse effect on our results of operations and financial condition.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could be jointly and severally liable for certain pension obligations of our affiliates.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Two members of RGHL Group, Pactiv LLC (“Pactiv”) and Evergreen Packaging LLC (“Evergreen”), sponsor defined benefit pension plans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covering a portion of their U.S. employees and retirees. As of September 30, 2019, the combined benefit obligation of these plans was $4,768</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and the combined plan asset value was $3,868 million for a combined underfunding of $900 million, in each case on an accounting basis. If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 in the same “controlled group” as Pactiv and Evergreen following this offering, third parties may seek to hold us jointly and severally liable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their pension liabilities as long as we remain members of the same controlled group. These pension liabilities could include an obligation to make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ongoing contributions to fund the pension plans sponsored by Pactiv and Evergreen and for any unfunded liabilities that may exist at the time Pactiv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Evergreen terminates an underfunded pension plan. Under this theory, we could incur significant liabilities for events beyond our control that are not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related to or known by us. As of the date of this prospectus, Pactiv’s and Evergreen’s pension plans are in compliance with the minimum funding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standards of the Employee Retirement Income Security Act of 1974 (“ERISA”).</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Some of our workforce is covered by collective bargaining agreements, and our business could be harmed in the event of a prolonged work stoppage.</w:t>
      </w:r>
    </w:p>
    <w:p>
      <w:pPr>
        <w:spacing w:after="0" w:line="58"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Approximately 24%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legislation initiatives or challenges to our tax positions could adversely affect our operations and financial condition.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8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For example, the United States federal government recently enacted tax reform that, among other things, reduced U.S. federal corporate income tax rates, imposed limits on tax deductions for interest expense, changed the rules related to capital expenditure cost recovery and changed many of the rules related to the taxation of business income generated outside of the United States. There are a number of uncertainties and ambiguities as to the interpretation and application of many of the provisions of the newly enacted tax reform measure. Given the unpredictability of these possible changes and their potential interdependency, it remains difficult to assess the overall effect such tax changes will have on our earnings and cash flow, and the extent to which such changes could adversely impact our results of operations. As the impacts of the new law are determined, and as regulations and other guidance interpreting the new law are issued and finalized, our financial results could be impacted.</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insurance coverage may not adequately protect us against business and operating risks.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claims and proceedings could adversely impact our business.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a large company with a long history of serving consumers, we may be subject to a wide variety of legal claims and proceedings, including disputes relating to intellectual property, contracts, product liability,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marketing, advertising, foreign exchange controls, antitrust and trade regulation, as well as labor and employment, pension, data privacy and security, environmental and tax matters and consumer class actions.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8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There may not be an active, liquid trading market for our common stock.</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Prior to this offering, there has been no public market for shares of our common stock. We cannot predict the extent to which investor interest in our company will lead to the development of a trading market on Nasdaq or how liquid that market may become. If an active trading market does not develop, you may have difficulty selling any of our common stock that you purchase. The initial public offering price of our common stock will be determined by negotiation between us and the underwriters and may not be indicative of prices that will prevail following the closing of this offering. The market price of shares of our common stock may decline below the initial public offering price, and you may not be able to resell your shares of our common stock at or above the initial public offering price.</w:t>
      </w:r>
    </w:p>
    <w:p>
      <w:pPr>
        <w:spacing w:after="0" w:line="297" w:lineRule="exact"/>
        <w:rPr>
          <w:sz w:val="20"/>
          <w:szCs w:val="20"/>
          <w:color w:val="auto"/>
        </w:rPr>
      </w:pPr>
    </w:p>
    <w:p>
      <w:pPr>
        <w:ind w:left="200" w:right="80"/>
        <w:spacing w:after="0" w:line="282" w:lineRule="auto"/>
        <w:rPr>
          <w:sz w:val="20"/>
          <w:szCs w:val="20"/>
          <w:color w:val="auto"/>
        </w:rPr>
      </w:pPr>
      <w:r>
        <w:rPr>
          <w:rFonts w:ascii="Arial" w:cs="Arial" w:eastAsia="Arial" w:hAnsi="Arial"/>
          <w:sz w:val="18"/>
          <w:szCs w:val="18"/>
          <w:b w:val="1"/>
          <w:bCs w:val="1"/>
          <w:color w:val="auto"/>
        </w:rPr>
        <w:t>We expect that our common stock price will fluctuate significantly, and you may not be able to resell your common stock at or above the initial public offering price.</w:t>
      </w:r>
    </w:p>
    <w:p>
      <w:pPr>
        <w:spacing w:after="0" w:line="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trading price of our common stock is likely to be volatile and subject to wide price fluctuations in response to various factors, including those described above in “—Risks Relating to Our Business and Industry.” In addition, the trading volume in our common stock may fluctuate and cause significant price variations to occur. If the market price of our common stock declines significantly, you may be unable to resell your common stock at or above the initial public offering price, if at all. In addition to the factors described above in “—Risks Relating to Our Business and Industry,” some of the factors that could negatively affect our share price or result in fluctuations in the price or trading volume of our common stock include:</w:t>
      </w:r>
    </w:p>
    <w:p>
      <w:pPr>
        <w:spacing w:after="0" w:line="64" w:lineRule="exact"/>
        <w:rPr>
          <w:sz w:val="20"/>
          <w:szCs w:val="20"/>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new or changes in securities analysts’ reports or recommendations;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meet the financial estimates of analysts who follow our company;</w:t>
      </w:r>
    </w:p>
    <w:p>
      <w:pPr>
        <w:spacing w:after="0" w:line="130" w:lineRule="exact"/>
        <w:rPr>
          <w:rFonts w:ascii="Arial" w:cs="Arial" w:eastAsia="Arial" w:hAnsi="Arial"/>
          <w:sz w:val="18"/>
          <w:szCs w:val="18"/>
          <w:color w:val="auto"/>
        </w:rPr>
      </w:pPr>
    </w:p>
    <w:p>
      <w:pPr>
        <w:ind w:left="960" w:right="540" w:hanging="3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restructurings, significant contracts, joint marketing relationships, joint ventures or capital commitments;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common stock relative to other investment alternatives;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 reactions to our press releases, other public announcements and filings with the SEC;</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and political conditions or events.</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The stock market in general has from time to time experienced extreme price and volume fluctuations, including in recent months.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297"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they publish inaccurate or unfavorable reports about our business, the price of our common stock and trading volume could decline.</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of common stock or change their opinion of our common stock, our common stock price would likely decline. If one or more of these analysts cease coverage of our company or fail to regularly publish reports on us, we could lose visibility in the financial markets, which could cause our common stock price or trading volume to decline.</w:t>
      </w:r>
    </w:p>
    <w:p>
      <w:pPr>
        <w:spacing w:after="0" w:line="292" w:lineRule="exact"/>
        <w:rPr>
          <w:sz w:val="20"/>
          <w:szCs w:val="20"/>
          <w:color w:val="auto"/>
        </w:rPr>
      </w:pPr>
    </w:p>
    <w:p>
      <w:pPr>
        <w:ind w:left="200" w:right="440"/>
        <w:spacing w:after="0" w:line="282" w:lineRule="auto"/>
        <w:rPr>
          <w:sz w:val="20"/>
          <w:szCs w:val="20"/>
          <w:color w:val="auto"/>
        </w:rPr>
      </w:pPr>
      <w:r>
        <w:rPr>
          <w:rFonts w:ascii="Arial" w:cs="Arial" w:eastAsia="Arial" w:hAnsi="Arial"/>
          <w:sz w:val="18"/>
          <w:szCs w:val="18"/>
          <w:b w:val="1"/>
          <w:bCs w:val="1"/>
          <w:color w:val="auto"/>
        </w:rPr>
        <w:t>Substantial future sales by PFL or others of our common stock, or the perception that such sales may occur, could depress the price of our common stock.</w:t>
      </w:r>
    </w:p>
    <w:p>
      <w:pPr>
        <w:spacing w:after="0" w:line="5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Following the closing of this offering, PFL will control a majority of the voting power of our outstanding common stock. Subject to the restrictions described in the paragraph below, future sales of PFL’s shares in the public market will be subject to the volume and other restrictions of Rule 144 under the Securities Act of 1933 (“Securities Act”) for so long as PFL is deemed to be our affiliate, unless the shares to be sold are registered with the SEC. We do not know whether or when PFL will sell shares of our common stock following this offering. The sale by PFL or others of a substantial number of shares of our common stock after this offering, or a perception that such sales could occur, could significantly reduce the market price of our common stock. Subject to the lock-up agreements discussed below and our agreements with RGHL Group described in “Certain Relationships and Related Party Transactions,” we are not restricted from issuing additional common stock, including any securities that are convertible into or exchangeable for, or that represent the right to receive, common stock or any substantially similar securities. The perception of a potential sell-down by PFL could depress the market price of our common stock and make it more difficult for us to sell equity securities in the future at a time and at a price that we deem appropriate.</w:t>
      </w:r>
    </w:p>
    <w:p>
      <w:pPr>
        <w:spacing w:after="0" w:line="178"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Upon the closing of this offering, except as otherwise described herein, all shares of common stock that are being offered hereby will be freely tradable without restriction, assuming they are not held by our “affiliates,” as that term is defined in Rule 144 under the Securities Act. In addition, we intend to grant registration rights to PFL, pursuant to which PFL will have the right to demand that we register common stock held by PFL under the Securities Act as well as the right to demand that we include any such common stock in any registration statement that we file with the SEC, subject to certain exceptions. See “Shares Eligible for Future Sale—Registration Rights.” Any common stock registered pursuant to the registration rights agreement described in “Certain Relationships and Related Party Transactions” will be freely tradable in the public market, subject to</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applicable lock-up periods, if any. In addition, in connection with this offering, we, our directors and our executive officers and PFL have each agreed, subject to certain exceptions, to be subject to a 180-day lock-up restriction. See “Shares Eligible for Future Sale—Lock-up Agreements.” Credit Suisse Securities (USA) LLC, Goldman Sachs &amp; Co. LLC and J.P. Morgan Securities LLC may waive these restrictions at their discretion. The market price of our common stock may decline significantly when this lock-up restriction lapses.</w:t>
      </w:r>
    </w:p>
    <w:p>
      <w:pPr>
        <w:spacing w:after="0" w:line="291"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Investors purchasing common stock in this offering will experience immediate and substantial dilution as a result of this offering and any future equity issuances.</w:t>
      </w:r>
    </w:p>
    <w:p>
      <w:pPr>
        <w:spacing w:after="0" w:line="58" w:lineRule="exact"/>
        <w:rPr>
          <w:sz w:val="20"/>
          <w:szCs w:val="20"/>
          <w:color w:val="auto"/>
        </w:rPr>
      </w:pPr>
    </w:p>
    <w:p>
      <w:pPr>
        <w:jc w:val="both"/>
        <w:ind w:left="200" w:right="100" w:firstLine="441"/>
        <w:spacing w:after="0" w:line="288" w:lineRule="auto"/>
        <w:rPr>
          <w:sz w:val="20"/>
          <w:szCs w:val="20"/>
          <w:color w:val="auto"/>
        </w:rPr>
      </w:pPr>
      <w:r>
        <w:rPr>
          <w:rFonts w:ascii="Arial" w:cs="Arial" w:eastAsia="Arial" w:hAnsi="Arial"/>
          <w:sz w:val="16"/>
          <w:szCs w:val="16"/>
          <w:color w:val="auto"/>
        </w:rPr>
        <w:t>The initial public offering price of our common stock is substantially higher than the pro forma net tangible book value per share of our common stock. Dilution is the difference between the initial public offering price per share of common stock and the pro forma net tangible book value per share of common stock after this offering. If you purchase shares of common stock in this offering, you will incur immediate and substantial dilution in the</w:t>
      </w:r>
    </w:p>
    <w:p>
      <w:pPr>
        <w:ind w:left="200" w:right="600"/>
        <w:spacing w:after="0" w:line="255" w:lineRule="auto"/>
        <w:rPr>
          <w:sz w:val="20"/>
          <w:szCs w:val="20"/>
          <w:color w:val="auto"/>
        </w:rPr>
      </w:pPr>
      <w:r>
        <w:rPr>
          <w:rFonts w:ascii="Arial" w:cs="Arial" w:eastAsia="Arial" w:hAnsi="Arial"/>
          <w:sz w:val="18"/>
          <w:szCs w:val="18"/>
          <w:color w:val="auto"/>
        </w:rPr>
        <w:t>amount of $ per share of common stock. In addition, if we issue additional equity securities in the future, including to our employees and directors under our equity incentive plan, investors purchasing shares of common stock in this offering will experience additional dilution. See “Dilution.”</w:t>
      </w:r>
    </w:p>
    <w:p>
      <w:pPr>
        <w:spacing w:after="0" w:line="294" w:lineRule="exact"/>
        <w:rPr>
          <w:sz w:val="20"/>
          <w:szCs w:val="20"/>
          <w:color w:val="auto"/>
        </w:rPr>
      </w:pPr>
    </w:p>
    <w:p>
      <w:pPr>
        <w:ind w:left="200" w:right="34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2"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Provisions in our amended and restated certificate of incorporation and bylaws, as will be amended and restated prior to the closing of this offering, may have the effect of delaying or preventing a change of control or changes in our management. Our amended and restated certificate of incorporation and amended and restated bylaws will include provisions that:</w:t>
      </w:r>
    </w:p>
    <w:p>
      <w:pPr>
        <w:spacing w:after="0" w:line="87" w:lineRule="exact"/>
        <w:rPr>
          <w:sz w:val="20"/>
          <w:szCs w:val="20"/>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a staggered board;</w:t>
      </w:r>
    </w:p>
    <w:p>
      <w:pPr>
        <w:spacing w:after="0" w:line="130" w:lineRule="exact"/>
        <w:rPr>
          <w:rFonts w:ascii="Arial" w:cs="Arial" w:eastAsia="Arial" w:hAnsi="Arial"/>
          <w:sz w:val="18"/>
          <w:szCs w:val="18"/>
          <w:color w:val="auto"/>
        </w:rPr>
      </w:pPr>
    </w:p>
    <w:p>
      <w:pPr>
        <w:ind w:left="960" w:right="40" w:hanging="324"/>
        <w:spacing w:after="0" w:line="272"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at least 66</w:t>
      </w:r>
      <w:r>
        <w:rPr>
          <w:rFonts w:ascii="Arial" w:cs="Arial" w:eastAsia="Arial" w:hAnsi="Arial"/>
          <w:sz w:val="14"/>
          <w:szCs w:val="14"/>
          <w:color w:val="auto"/>
        </w:rPr>
        <w:t>2/3</w:t>
      </w:r>
      <w:r>
        <w:rPr>
          <w:rFonts w:ascii="Arial" w:cs="Arial" w:eastAsia="Arial" w:hAnsi="Arial"/>
          <w:sz w:val="17"/>
          <w:szCs w:val="17"/>
          <w:color w:val="auto"/>
        </w:rPr>
        <w:t>%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w:t>
      </w:r>
      <w:r>
        <w:rPr>
          <w:rFonts w:ascii="Arial" w:cs="Arial" w:eastAsia="Arial" w:hAnsi="Arial"/>
          <w:sz w:val="17"/>
          <w:szCs w:val="17"/>
          <w:b w:val="1"/>
          <w:bCs w:val="1"/>
          <w:color w:val="auto"/>
        </w:rPr>
        <w:t>Hart Entities</w:t>
      </w:r>
      <w:r>
        <w:rPr>
          <w:rFonts w:ascii="Arial" w:cs="Arial" w:eastAsia="Arial" w:hAnsi="Arial"/>
          <w:sz w:val="17"/>
          <w:szCs w:val="17"/>
          <w:color w:val="auto"/>
        </w:rPr>
        <w:t>”) and any other transferee of all of the outstanding shares of common stock held at any time by the Hart Entities which are transferred other than pursuant to a widely distributed public sale (“</w:t>
      </w:r>
      <w:r>
        <w:rPr>
          <w:rFonts w:ascii="Arial" w:cs="Arial" w:eastAsia="Arial" w:hAnsi="Arial"/>
          <w:sz w:val="17"/>
          <w:szCs w:val="17"/>
          <w:b w:val="1"/>
          <w:bCs w:val="1"/>
          <w:color w:val="auto"/>
        </w:rPr>
        <w:t>Permitted Assigns</w:t>
      </w:r>
      <w:r>
        <w:rPr>
          <w:rFonts w:ascii="Arial" w:cs="Arial" w:eastAsia="Arial" w:hAnsi="Arial"/>
          <w:sz w:val="17"/>
          <w:szCs w:val="17"/>
          <w:color w:val="auto"/>
        </w:rPr>
        <w:t>”) beneficially own less than 50% of the outstanding shares of our common stock;</w:t>
      </w:r>
    </w:p>
    <w:p>
      <w:pPr>
        <w:spacing w:after="0" w:line="83" w:lineRule="exact"/>
        <w:rPr>
          <w:rFonts w:ascii="Arial" w:cs="Arial" w:eastAsia="Arial" w:hAnsi="Arial"/>
          <w:sz w:val="17"/>
          <w:szCs w:val="17"/>
          <w:color w:val="auto"/>
        </w:rPr>
      </w:pPr>
    </w:p>
    <w:p>
      <w:pPr>
        <w:ind w:left="960" w:right="40" w:hanging="32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75" w:lineRule="exact"/>
        <w:rPr>
          <w:rFonts w:ascii="Arial" w:cs="Arial" w:eastAsia="Arial" w:hAnsi="Arial"/>
          <w:sz w:val="18"/>
          <w:szCs w:val="18"/>
          <w:color w:val="auto"/>
        </w:rPr>
      </w:pPr>
    </w:p>
    <w:p>
      <w:pPr>
        <w:ind w:left="960" w:right="220" w:hanging="324"/>
        <w:spacing w:after="0" w:line="26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86" w:lineRule="exact"/>
        <w:rPr>
          <w:rFonts w:ascii="Arial" w:cs="Arial" w:eastAsia="Arial" w:hAnsi="Arial"/>
          <w:sz w:val="18"/>
          <w:szCs w:val="18"/>
          <w:color w:val="auto"/>
        </w:rPr>
      </w:pPr>
    </w:p>
    <w:p>
      <w:pPr>
        <w:ind w:left="960" w:right="100" w:hanging="32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3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be limited in their ability to obtain a premium for their shares of common stock. See “Description of Capital Stock.”</w:t>
      </w:r>
    </w:p>
    <w:p>
      <w:pPr>
        <w:spacing w:after="0" w:line="225"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Furthermore, in connection with this offering, we will enter into a stockholders agreement with PFL. The stockholders agreement will provide PFL with the right to nominate a certain number of directors to our board of directors so long as the Hart Entities beneficially own at least 10% of the outstanding shares of our common stock. See “Certain Relationships and Related Party Transactions—Stockholders Agreement.”</w:t>
      </w:r>
    </w:p>
    <w:p>
      <w:pPr>
        <w:spacing w:after="0" w:line="25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Securities and Exchange Act of 1934 (“Exchange Act”), the Securities Act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73" w:lineRule="exact"/>
        <w:rPr>
          <w:sz w:val="20"/>
          <w:szCs w:val="20"/>
          <w:color w:val="auto"/>
        </w:rPr>
      </w:pPr>
    </w:p>
    <w:p>
      <w:pPr>
        <w:ind w:left="200" w:right="44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closing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 In addition, we will be subject to other reporting and corporate governance requirements, including certain requirements of Nasdaq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 These rules and regulations could also make it more difficult for us to attract and retain qualified independent members of our board of directors. Additionally, we expect these rules and regulations to make it more difficult and more expensive for us to obtain director and officer liability insurance. We may be required to accept reduced coverage or incur substantially higher costs to obtain coverage. Furthermore, because we have not operated as a company with equity listed on a national securities exchange in the past, we might not be successful in implementing these requirements. The increased costs of compliance with public company reporting requirements and our potential</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failure to satisfy these requirements could have a material adverse effect on our operations, business, financial condition and results of operations.</w:t>
      </w:r>
    </w:p>
    <w:p>
      <w:pPr>
        <w:spacing w:after="0" w:line="341"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Failure to establish and maintain effective internal controls over financial reporting in accordance with Section 404 of the Sarbanes-Oxley Act could have a material adverse effect on our business and reputation.</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When evaluating our internal controls over financial reporting, we may identify material weaknesses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intend to pay regular dividends on our common stock, but our ability to do so may be limited.</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Following the closing of this offering, we intend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See “Dividend Policy.”</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ability to pay dividends may also be restricted by the terms of any future credit agreement, including the New Credit Facilities, or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60"/>
        <w:spacing w:after="0" w:line="282" w:lineRule="auto"/>
        <w:rPr>
          <w:sz w:val="20"/>
          <w:szCs w:val="20"/>
          <w:color w:val="auto"/>
        </w:rPr>
      </w:pPr>
      <w:r>
        <w:rPr>
          <w:rFonts w:ascii="Arial" w:cs="Arial" w:eastAsia="Arial" w:hAnsi="Arial"/>
          <w:sz w:val="18"/>
          <w:szCs w:val="18"/>
          <w:b w:val="1"/>
          <w:bCs w:val="1"/>
          <w:color w:val="auto"/>
        </w:rPr>
        <w:t>We could incur significant liabilities if we take certain actions that result in assessment of U.S. federal income tax on certain internal transactions undertaken by RGHL Group in preparation for this offering</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historically operated as part of RGHL Group. In preparation for this offering, RGHL Group will effect certain distributions pursuant to the Corporate Reorganization to transfer its interests in us to PFL in a manner that is intended to qualify as tax-free to PFL, RGHL and RGHI under Sections 368(a)(1)(D) and 355 of the Internal Revenue Code of 1986, as amended (“Code”). RGHL will receive a tax opinion as to the tax treatment of these distributions, which will rely on certain facts, assumptions, representations and undertakings from Mr. Graeme Hart, RGHL Group and us regarding the past and future conduct of the companies’ respective businesses and other matters. If any of these facts, assumptions, representations or undertakings are incorrect or not otherwise satisfied, RGHL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including as a result of certain significant changes in the stock ownership of RGHL, RGHI or us after the distributions. If the distributions are determined to be taxable for U.S. federal income tax purposes, PFL, RGHL and RGHI could incur significant U.S. federal income tax liabilities, and we could also incur significant liabilities. Under the tax matters agreement between RGHL and us (“Tax Matters Agreement”), we will generally be required to indemnify RGHL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 For a discussion of the Tax Matters Agreement, please refer to the section entitled “Certain Relationships and Related Party Transactions—Tax Matters Agreement.”</w:t>
      </w:r>
    </w:p>
    <w:p>
      <w:pPr>
        <w:spacing w:after="0" w:line="285" w:lineRule="exact"/>
        <w:rPr>
          <w:sz w:val="20"/>
          <w:szCs w:val="20"/>
          <w:color w:val="auto"/>
        </w:rPr>
      </w:pPr>
    </w:p>
    <w:p>
      <w:pPr>
        <w:ind w:left="200" w:right="180"/>
        <w:spacing w:after="0" w:line="282" w:lineRule="auto"/>
        <w:rPr>
          <w:sz w:val="20"/>
          <w:szCs w:val="20"/>
          <w:color w:val="auto"/>
        </w:rPr>
      </w:pPr>
      <w:r>
        <w:rPr>
          <w:rFonts w:ascii="Arial" w:cs="Arial" w:eastAsia="Arial" w:hAnsi="Arial"/>
          <w:sz w:val="18"/>
          <w:szCs w:val="18"/>
          <w:b w:val="1"/>
          <w:bCs w:val="1"/>
          <w:color w:val="auto"/>
        </w:rPr>
        <w:t>We may be affected by significant restrictions, including on our ability to engage in certain corporate transactions for a two-year period after the Corporate Reorganization, in order to avoid triggering significant tax-related liabilities.</w:t>
      </w:r>
    </w:p>
    <w:p>
      <w:pPr>
        <w:spacing w:after="0" w:line="58"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To preserve the tax-free treatment for U.S. federal income tax purposes to RGHL Group of the distributions to be effected pursuant to the Corporate Reorganization, under the Tax Matters Agreement that we will enter into with RGHL, we will be restricted from taking any action that prevents these distributions from being tax-free for U.S. federal income tax purposes. Under the Tax Matters Agreement, for the two-year period following these distributions, we will be subject to specific restrictions on our ability to enter into acquisition, merger, liquidation, sale and stock redemption transactions with respect to our stock. These restrictions may limit our ability to pursue certain strategic transactions or other transactions that we may believe to be in the best interests of our stockholders or that might increase the value of our business. These restrictions will not limit the acquisition of other businesses by us for cash consideration. Furthermore, we will be subject to specific restrictions on discontinuing the active conduct of our trade or business and the issuance or sale of stock or other securities (including securities convertible into our stock but excluding certain compensatory arrangements), which may limit our ability to effect certain anti-takeover provisions related to the issuance of preferred stock. Such restrictions may reduce our strategic and operating flexibility, including our options for raising equity capital. For a discussion of the Tax Matters Agreement, please refer to the section entitled “Certain Relationships and Related Party Transactions—Tax Matters Agreement.”</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Relating to Our Relationship with RGHL Group, PFL and Rank</w:t>
      </w:r>
    </w:p>
    <w:p>
      <w:pPr>
        <w:spacing w:after="0" w:line="225"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PFL controls the direction of our business and PFL’s concentrated ownership of our common stock will prevent you and other stockholders from influencing significant decisions.</w:t>
      </w:r>
    </w:p>
    <w:p>
      <w:pPr>
        <w:spacing w:after="0" w:line="5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Upon closing of this offering, PFL will own, and control the voting power of, approximately % of our outstanding shares of common stock (or approximately % if the underwriters’ option to purchase additional shares of common stock is exercised in full). As long as PFL continues to control a majority of the voting power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of our outstanding common stock, it will generally be able to determine the outcome of all corporate actions requiring stockholder approval, including the election and removal of directors.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Investors in this offering will not be able to affect the outcome of any stockholder vote while PFL controls the majority of the voting power of our outstanding common stock. As a result, PFL will be able to control, directly or indirectly and subject to applicable law, the composition of our board of directors, which in turn will be able to control all matters affecting us, including, among others:</w:t>
      </w:r>
    </w:p>
    <w:p>
      <w:pPr>
        <w:spacing w:after="0" w:line="94" w:lineRule="exact"/>
        <w:rPr>
          <w:sz w:val="20"/>
          <w:szCs w:val="20"/>
          <w:color w:val="auto"/>
        </w:rPr>
      </w:pPr>
    </w:p>
    <w:p>
      <w:pPr>
        <w:ind w:left="960" w:hanging="324"/>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determination with respect to our business direction and policies, including the appointment and removal of officers and directors;</w:t>
      </w:r>
    </w:p>
    <w:p>
      <w:pPr>
        <w:spacing w:after="0" w:line="142" w:lineRule="exact"/>
        <w:rPr>
          <w:rFonts w:ascii="Arial" w:cs="Arial" w:eastAsia="Arial" w:hAnsi="Arial"/>
          <w:sz w:val="17"/>
          <w:szCs w:val="17"/>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amendments to our amended and restated certificate of incorporation;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addition, the concentration of PFL’s ownership could also discourage others from making tender offers, which could prevent holders from receiving a premium for their common stock.</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75"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If we are no longer affiliated with RGHL Group, we may be unable to continue to benefit from that relationship, which may adversely affect our operations and have a material adverse effect on us.</w:t>
      </w:r>
    </w:p>
    <w:p>
      <w:pPr>
        <w:spacing w:after="0" w:line="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affiliation with RGHL Group provides us with increased scale and reach. We leverage our combined scale to coordinate purchases across our operations to reduce costs. If we no longer benefit from this relationship, whether because we are no longer affiliated with RGHL Group or otherwise, it may result in increased costs for us and higher prices to our customers because we may be unable to obtain goods, services, and technology from unaffiliated third parties on terms as favorable as those previously obtained. As a result of any the above factors, we may be precluded from pursuing certain opportunities that we would otherwise pursue, including growth opportunities, which in turn may adversely affect our business, financial condition and results of operations.</w:t>
      </w:r>
    </w:p>
    <w:p>
      <w:pPr>
        <w:spacing w:after="0" w:line="297"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b w:val="1"/>
          <w:b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72"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have entered into various transactions with Rank and other related parties that are members of RGHL Group, including, among others, agreements relating to:</w:t>
      </w:r>
    </w:p>
    <w:p>
      <w:pPr>
        <w:spacing w:after="0" w:line="76" w:lineRule="exact"/>
        <w:rPr>
          <w:sz w:val="20"/>
          <w:szCs w:val="20"/>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for our corporate headquarters in Lake Forest, Illinois;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for a facility used for certain research and development activities in Canandaigua, New York;</w:t>
      </w:r>
    </w:p>
    <w:p>
      <w:pPr>
        <w:spacing w:after="0" w:line="130" w:lineRule="exact"/>
        <w:rPr>
          <w:rFonts w:ascii="Arial" w:cs="Arial" w:eastAsia="Arial" w:hAnsi="Arial"/>
          <w:sz w:val="18"/>
          <w:szCs w:val="18"/>
          <w:color w:val="auto"/>
        </w:rPr>
      </w:pPr>
    </w:p>
    <w:p>
      <w:pPr>
        <w:ind w:left="960" w:right="260" w:hanging="324"/>
        <w:spacing w:after="0" w:line="259"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RGHI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and we will provide certain services to RGHL Group, including human resources; compliance; and procurement, in each case for up to 24 months;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20" w:hanging="324"/>
        <w:spacing w:after="0" w:line="26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Rank TSA whereby, upon our request, Rank will provide certain administrative services to us, including financial reporting, consulting and compliance services, insurance procurement and human resources support, legal and corporate secretarial support, and related services for up to 24 months;</w:t>
      </w:r>
    </w:p>
    <w:p>
      <w:pPr>
        <w:spacing w:after="0" w:line="86"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transition and support agreement for our Red Bluff, California and Huntersville, North Carolina facilities;</w:t>
      </w:r>
    </w:p>
    <w:p>
      <w:pPr>
        <w:spacing w:after="0" w:line="130" w:lineRule="exact"/>
        <w:rPr>
          <w:rFonts w:ascii="Arial" w:cs="Arial" w:eastAsia="Arial" w:hAnsi="Arial"/>
          <w:sz w:val="18"/>
          <w:szCs w:val="18"/>
          <w:color w:val="auto"/>
        </w:rPr>
      </w:pPr>
    </w:p>
    <w:p>
      <w:pPr>
        <w:ind w:left="960" w:right="680" w:hanging="32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supply agreements where we sell certain products (primarily aluminum foil containers and roll foil) to, and purchase certain products (primarily tableware), from Pactiv;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warehousing and freight services agreement whereby Pactiv provides certain logistics services to us.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At the conclusion of the RGHI TSA, the Rank TSA and the logistics agreement, we will have to perform such services with internal resources or contract with third party providers. There could be disruptions upon transition, and there can be no assurance that we will be able to perform or obtain the necessary services at the same or lower cost. Such related party transactions may also potentially involve conflicts of interest. In the event of a dispute under any of these related party agreements, RGHL Group could decide the matter in a way adverse to us, and our ability to enforce our contractual rights may be limited.</w:t>
      </w:r>
    </w:p>
    <w:p>
      <w:pPr>
        <w:spacing w:after="0" w:line="17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It is also likely that we may enter into related party transactions in the future. Although material related party transactions that we may enter into will be subject to approval or ratification of a designated committee of our board of directors (which will initially be the audit committee) or other committee designated by our board of directors made up solely of independent directors,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see “Certain Relationships and Related Party Transactions.”</w:t>
      </w:r>
    </w:p>
    <w:p>
      <w:pPr>
        <w:spacing w:after="0" w:line="329" w:lineRule="exact"/>
        <w:rPr>
          <w:sz w:val="20"/>
          <w:szCs w:val="20"/>
          <w:color w:val="auto"/>
        </w:rPr>
      </w:pPr>
    </w:p>
    <w:p>
      <w:pPr>
        <w:ind w:left="200" w:right="100"/>
        <w:spacing w:after="0" w:line="347" w:lineRule="auto"/>
        <w:rPr>
          <w:sz w:val="20"/>
          <w:szCs w:val="20"/>
          <w:color w:val="auto"/>
        </w:rPr>
      </w:pPr>
      <w:r>
        <w:rPr>
          <w:rFonts w:ascii="Arial" w:cs="Arial" w:eastAsia="Arial" w:hAnsi="Arial"/>
          <w:sz w:val="16"/>
          <w:szCs w:val="16"/>
          <w:b w:val="1"/>
          <w:bCs w:val="1"/>
          <w:color w:val="auto"/>
        </w:rPr>
        <w:t>We have no operating history as a stand-alone public company, and our historical and pro forma combined financial data is not necessarily representative of the results we would have achieved as a stand-alone public company and may not be a reliable indicator of our future results.</w:t>
      </w:r>
    </w:p>
    <w:p>
      <w:pPr>
        <w:spacing w:after="0" w:line="1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historically operated as part of RGHL Group and not as a stand-alone entity. We have no operating history as a separate publicly traded company. The combined historical information in this prospectus refers to our business as part of RGHL Group. We derived the historical and pro forma combined financial data included in this prospectus from the consolidated financial statements and accounting records of RGHL Group. This information does not necessarily reflect the financial position, results of operations, and cash flows we would have achieved as a public company during the periods presented, or those that we will achieve in the future.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is primarily because of the following factors:</w:t>
      </w:r>
    </w:p>
    <w:p>
      <w:pPr>
        <w:spacing w:after="0" w:line="131" w:lineRule="exact"/>
        <w:rPr>
          <w:sz w:val="20"/>
          <w:szCs w:val="20"/>
          <w:color w:val="auto"/>
        </w:rPr>
      </w:pPr>
    </w:p>
    <w:p>
      <w:pPr>
        <w:ind w:left="960" w:hanging="324"/>
        <w:spacing w:after="0" w:line="279"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RGHL Group historically performed or supported various corporate services for us, including executive management, supply chain, information technology, legal, finance and accounting, human resources, risk management, tax, treasury, and other services. Our historical and pro forma combined financial data reflects allocations of corporate expenses from RGHL Group for these and similar functions. These allocations may not reflect the costs we will incur for similar services in the future as a public company.</w:t>
      </w:r>
    </w:p>
    <w:p>
      <w:pPr>
        <w:spacing w:after="0" w:line="76" w:lineRule="exact"/>
        <w:rPr>
          <w:rFonts w:ascii="Arial" w:cs="Arial" w:eastAsia="Arial" w:hAnsi="Arial"/>
          <w:sz w:val="17"/>
          <w:szCs w:val="17"/>
          <w:color w:val="auto"/>
        </w:rPr>
      </w:pPr>
    </w:p>
    <w:p>
      <w:pPr>
        <w:ind w:left="960" w:right="20" w:hanging="324"/>
        <w:spacing w:after="0" w:line="279"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will have entered into certain agreements with RGHL Group (including Pactiv, which will remain one of our largest customers) and Rank, including supply agreements to sell products (mostly aluminum foil containers and aluminum foil) and purchase products (mostly tableware). Upon the expiration of these agreements, we will be required to negotiate new arrangements with RGHL Group, Rank and/or unaffiliated third parties, and these new arrangements may not reflect terms as favorable as those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previously obtained from RGHL Group and Rank. For additional information, see “Certain Relationships and Related Party Transactions.”</w:t>
      </w:r>
    </w:p>
    <w:p>
      <w:pPr>
        <w:spacing w:after="0" w:line="154" w:lineRule="exact"/>
        <w:rPr>
          <w:sz w:val="20"/>
          <w:szCs w:val="20"/>
          <w:color w:val="auto"/>
        </w:rPr>
      </w:pPr>
    </w:p>
    <w:p>
      <w:pPr>
        <w:ind w:left="960" w:right="60" w:hanging="324"/>
        <w:spacing w:after="0" w:line="25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relied upon RGHL Group for working capital requirements and other cash requirements. Subsequent to this offering, RGHL Group will not be providing us with funds to finance our working capital or other cash requirements. After this offering, our access to and cost of debt financing may be different from the historical access to and cost of debt financing under RGHL Group. Differences in access to and cost of debt financing may result in differences in the interest rate charged to us on financings, as well as the amounts of indebtedness, types of financing structures and debt markets that may be available to us, which could have an adverse effect on our business, financial condition and results of operations and cash flows.</w:t>
      </w:r>
    </w:p>
    <w:p>
      <w:pPr>
        <w:spacing w:after="0" w:line="98" w:lineRule="exact"/>
        <w:rPr>
          <w:rFonts w:ascii="Arial" w:cs="Arial" w:eastAsia="Arial" w:hAnsi="Arial"/>
          <w:sz w:val="18"/>
          <w:szCs w:val="18"/>
          <w:color w:val="auto"/>
        </w:rPr>
      </w:pPr>
    </w:p>
    <w:p>
      <w:pPr>
        <w:ind w:left="960" w:right="60" w:hanging="324"/>
        <w:spacing w:after="0" w:line="259"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Historically, we have sold substantially all of our U.S. trade receivables through RGHL Group’s securitization facility. This non-recourse factoring arrangement satisfied all of the conditions that result in the derecognition of our trade receivables. Prior to the closing of this offering, we will repurchase all U.S. trade receivables outstanding as of the time of the repurchase of such trade receivables. After the closing of this offering, we will collect our trade receivables in the ordinary course of business.</w:t>
      </w:r>
    </w:p>
    <w:p>
      <w:pPr>
        <w:spacing w:after="0" w:line="92" w:lineRule="exact"/>
        <w:rPr>
          <w:rFonts w:ascii="Arial" w:cs="Arial" w:eastAsia="Arial" w:hAnsi="Arial"/>
          <w:sz w:val="18"/>
          <w:szCs w:val="18"/>
          <w:color w:val="auto"/>
        </w:rPr>
      </w:pPr>
    </w:p>
    <w:p>
      <w:pPr>
        <w:ind w:left="960" w:right="40" w:hanging="324"/>
        <w:spacing w:after="0" w:line="288"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historical and pro forma combined financial data has not been adjusted and does not reflect changes that we expect to experience as a result of our transition to becoming a public company. These changes include (1) changes in our cost structure, personnel needs, tax structure, and business operations, (2) changes in our management, (3) potential increased costs associated with reduced economies of scale, and</w:t>
      </w:r>
    </w:p>
    <w:p>
      <w:pPr>
        <w:ind w:left="960"/>
        <w:spacing w:after="0"/>
        <w:rPr>
          <w:rFonts w:ascii="Arial" w:cs="Arial" w:eastAsia="Arial" w:hAnsi="Arial"/>
          <w:sz w:val="16"/>
          <w:szCs w:val="16"/>
          <w:color w:val="auto"/>
        </w:rPr>
      </w:pPr>
      <w:r>
        <w:rPr>
          <w:rFonts w:ascii="Arial" w:cs="Arial" w:eastAsia="Arial" w:hAnsi="Arial"/>
          <w:sz w:val="17"/>
          <w:szCs w:val="17"/>
          <w:color w:val="auto"/>
        </w:rPr>
        <w:t>(4) increased costs associated with corporate governance, investor and public relations, and public company reporting and compliance.</w:t>
      </w:r>
    </w:p>
    <w:p>
      <w:pPr>
        <w:spacing w:after="0" w:line="22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Therefore, our historical and pro forma combined financial data may not necessarily be indicative of our future financial position, results of operations, or cash flows, and the occurrence of any of the risks discussed in this “Risk Factors” section, or any other event, could cause our future financial position, results of operations, or cash flows to materially differ from our historical and pro forma combined financial data. While we have been profitable as part of RGHL Group, we cannot assure you that our profits will continue at a similar level when we are a stand-alone public company.</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additional information about the past financial performance of our business and the basis of presentation of the historical combined financial statements and the unaudited pro forma combined financial statements of our business, see the sections entitled “Selected Historical Combined Financial Data,” “Unaudited Pro Forma Combined Financial Data,” “Management’s Discussion and Analysis of Financial Condition and Results of Operations” and the historical combined financial statements and accompanying notes included elsewhere in this prospectus.</w:t>
      </w:r>
    </w:p>
    <w:p>
      <w:pPr>
        <w:spacing w:after="0" w:line="276" w:lineRule="exact"/>
        <w:rPr>
          <w:sz w:val="20"/>
          <w:szCs w:val="20"/>
          <w:color w:val="auto"/>
        </w:rPr>
      </w:pPr>
    </w:p>
    <w:p>
      <w:pPr>
        <w:jc w:val="both"/>
        <w:ind w:left="200" w:right="100"/>
        <w:spacing w:after="0" w:line="266" w:lineRule="auto"/>
        <w:rPr>
          <w:sz w:val="20"/>
          <w:szCs w:val="20"/>
          <w:color w:val="auto"/>
        </w:rPr>
      </w:pPr>
      <w:r>
        <w:rPr>
          <w:rFonts w:ascii="Arial" w:cs="Arial" w:eastAsia="Arial" w:hAnsi="Arial"/>
          <w:sz w:val="18"/>
          <w:szCs w:val="18"/>
          <w:b w:val="1"/>
          <w:bCs w:val="1"/>
          <w:color w:val="auto"/>
        </w:rPr>
        <w:t>Our ability to operate our business effectively may suffer if we do not, quickly and cost effectively, establish our own financial, administrative, and other support functions, and we cannot assure you that the transitional services RGHL Group and Rank have agreed to provide us will be sufficient for our needs.</w:t>
      </w:r>
    </w:p>
    <w:p>
      <w:pPr>
        <w:spacing w:after="0" w:line="72"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Historically, we have relied on financial, administrative, and other resources of RGHL Group to operate our business. In conjunction with our anticipated separation from RGHL Group, we intend to create our own financial, administrative and other support systems or contract with third parties to replace RGHL Group’s systems. Prior to the closing of this offering, we will enter into agreements with RGHL Group and Rank under which RGHL Group and Rank will provide certain transitional services to us, such as supply chain, information technology, legal, finance and accounting, human resources, tax, treasury and other services, as well as access to certain information technology systems shared with RGHL Group and subject to data access controls. See “Certain Relationships and Related Party Transactions—Transactions to be Entered into in Connection with this Offering” for a description of these services. These services and data access controls may not be sufficient to meet our needs. After our agreements with RGHL Group and Rank expire, we may not be able to obtain these services at prices or on terms that are as favorable. Any failure or significant downtime in our own financial,</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administrative or other support systems or in RGHL Group’s or Rank’s financial, administrative or other support systems during the transitional period could negatively impact our results of operations.</w:t>
      </w:r>
    </w:p>
    <w:p>
      <w:pPr>
        <w:spacing w:after="0" w:line="275" w:lineRule="exact"/>
        <w:rPr>
          <w:sz w:val="20"/>
          <w:szCs w:val="20"/>
          <w:color w:val="auto"/>
        </w:rPr>
      </w:pPr>
    </w:p>
    <w:p>
      <w:pPr>
        <w:ind w:left="200" w:right="80"/>
        <w:spacing w:after="0" w:line="313" w:lineRule="auto"/>
        <w:rPr>
          <w:sz w:val="20"/>
          <w:szCs w:val="20"/>
          <w:color w:val="auto"/>
        </w:rPr>
      </w:pPr>
      <w:r>
        <w:rPr>
          <w:rFonts w:ascii="Arial" w:cs="Arial" w:eastAsia="Arial" w:hAnsi="Arial"/>
          <w:sz w:val="17"/>
          <w:szCs w:val="17"/>
          <w:b w:val="1"/>
          <w:bCs w:val="1"/>
          <w:color w:val="auto"/>
        </w:rPr>
        <w:t>If PFL sells a controlling interest in our company to a third party in a private transaction, you may not realize any change-of-control premium on shares of our common stock and we may become subject to the control of a presently unknown third party.</w:t>
      </w:r>
    </w:p>
    <w:p>
      <w:pPr>
        <w:spacing w:after="0" w:line="34" w:lineRule="exact"/>
        <w:rPr>
          <w:sz w:val="20"/>
          <w:szCs w:val="20"/>
          <w:color w:val="auto"/>
        </w:rPr>
      </w:pPr>
    </w:p>
    <w:p>
      <w:pPr>
        <w:ind w:left="200" w:right="180" w:firstLine="441"/>
        <w:spacing w:after="0" w:line="274" w:lineRule="auto"/>
        <w:rPr>
          <w:sz w:val="20"/>
          <w:szCs w:val="20"/>
          <w:color w:val="auto"/>
        </w:rPr>
      </w:pPr>
      <w:r>
        <w:rPr>
          <w:rFonts w:ascii="Arial" w:cs="Arial" w:eastAsia="Arial" w:hAnsi="Arial"/>
          <w:sz w:val="17"/>
          <w:szCs w:val="17"/>
          <w:color w:val="auto"/>
        </w:rPr>
        <w:t>Upon closing of this offering, PFL will own, and control the voting power of, approximately % of our outstanding shares of common stock (or approximately % if the underwriters’ option to purchase additional shares of common stock is exercised in full). PFL will have the ability,</w:t>
      </w:r>
    </w:p>
    <w:p>
      <w:pPr>
        <w:ind w:left="200" w:right="280"/>
        <w:spacing w:after="0" w:line="261" w:lineRule="auto"/>
        <w:rPr>
          <w:sz w:val="20"/>
          <w:szCs w:val="20"/>
          <w:color w:val="auto"/>
        </w:rPr>
      </w:pPr>
      <w:r>
        <w:rPr>
          <w:rFonts w:ascii="Arial" w:cs="Arial" w:eastAsia="Arial" w:hAnsi="Arial"/>
          <w:sz w:val="18"/>
          <w:szCs w:val="18"/>
          <w:color w:val="auto"/>
        </w:rPr>
        <w:t>should it choose to do so, to sell some or all of its shares of our common stock in a privately negotiated transaction, which, if sufficient in size, could result in a change of control of our company.</w:t>
      </w:r>
    </w:p>
    <w:p>
      <w:pPr>
        <w:spacing w:after="0" w:line="184"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The ability of PFL to privately sell its shares of our common stock, with no requirement for a concurrent offer to be made to acquire all of the shares of our common stock that will be publicly traded hereafter, could prevent you from realizing any change-of-control premium on your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96"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We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7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Upon closing of this offering, PFL will continue to control a majority of the voting power of our outstanding common stock. As a result, we will be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92" w:lineRule="exact"/>
        <w:rPr>
          <w:sz w:val="20"/>
          <w:szCs w:val="20"/>
          <w:color w:val="auto"/>
        </w:rPr>
      </w:pPr>
    </w:p>
    <w:p>
      <w:pPr>
        <w:ind w:left="960" w:hanging="3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requirement that our compensation, nominating and corporate governance committee be composed entirely of independent directors; and</w:t>
      </w:r>
    </w:p>
    <w:p>
      <w:pPr>
        <w:spacing w:after="0" w:line="153" w:lineRule="exact"/>
        <w:rPr>
          <w:rFonts w:ascii="Arial" w:cs="Arial" w:eastAsia="Arial" w:hAnsi="Arial"/>
          <w:sz w:val="16"/>
          <w:szCs w:val="16"/>
          <w:color w:val="auto"/>
        </w:rPr>
      </w:pPr>
    </w:p>
    <w:p>
      <w:pPr>
        <w:ind w:left="960" w:hanging="3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ind w:left="200" w:right="120" w:firstLine="441"/>
        <w:spacing w:after="0" w:line="257" w:lineRule="auto"/>
        <w:rPr>
          <w:sz w:val="20"/>
          <w:szCs w:val="20"/>
          <w:color w:val="auto"/>
        </w:rPr>
      </w:pPr>
      <w:r>
        <w:rPr>
          <w:rFonts w:ascii="Arial" w:cs="Arial" w:eastAsia="Arial" w:hAnsi="Arial"/>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Upon the closing of this offering, we expect that four of our six directors will not qualify as “independent directors” under the applicable rules of Nasdaq. Accordingly, you will not have the same protections afforded to stockholders of companies that are subject to all of the corporate governance requirements of Nasdaq.</w:t>
      </w:r>
    </w:p>
    <w:p>
      <w:pPr>
        <w:spacing w:after="0" w:line="292" w:lineRule="exact"/>
        <w:rPr>
          <w:sz w:val="20"/>
          <w:szCs w:val="20"/>
          <w:color w:val="auto"/>
        </w:rPr>
      </w:pPr>
    </w:p>
    <w:p>
      <w:pPr>
        <w:ind w:left="200" w:right="900"/>
        <w:spacing w:after="0" w:line="282" w:lineRule="auto"/>
        <w:rPr>
          <w:sz w:val="20"/>
          <w:szCs w:val="20"/>
          <w:color w:val="auto"/>
        </w:rPr>
      </w:pPr>
      <w:r>
        <w:rPr>
          <w:rFonts w:ascii="Arial" w:cs="Arial" w:eastAsia="Arial" w:hAnsi="Arial"/>
          <w:sz w:val="18"/>
          <w:szCs w:val="18"/>
          <w:b w:val="1"/>
          <w:bCs w:val="1"/>
          <w:color w:val="auto"/>
        </w:rPr>
        <w:t>RGHL Group may compete with us, and its competitive position in certain markets may constrain our ability to build and maintain partnerships.</w:t>
      </w:r>
    </w:p>
    <w:p>
      <w:pPr>
        <w:spacing w:after="0" w:line="5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may face competition from a variety of sources, including Pactiv and other members of the RGHL Group, both today and in the future. For example, while we do have supply agreements in place with Pactiv,</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Pactiv may still compete with us in certain products and/or in certain channels. In addition, while none of the other members of the RGHL Group currently manufacture or sell products that compete with our products, they may do so in the future, including as a result of acquiring a company that operates as a manufacturer of consumer products. Due to the significant resources of RGHL Group, including financial resources and know-how resulting from the previous management of our business, RGHL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82"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In addition, we may partner with companies that compete with RGHL Group in certain markets. Our affiliation with RGHL Group may affect our ability to effectively partner with these companies. These companies may favor our competitors because of our relationship with RGHL Group.</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Conflicts of interest may arise because certain of our directors will hold a management or board position with RGHL Group entities.</w:t>
      </w:r>
    </w:p>
    <w:p>
      <w:pPr>
        <w:spacing w:after="0" w:line="133"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Three of our directors are also directors of RGHL and other RGHL Group entities. The interests of these directors in RGHL, other RGHL Group entities and us could create, or appear to create, conflicts of interest with respect to decisions involving both us and RGHL or RGHL Group entities that could have different implications for RGHL or RGHL Group entities and us. These decisions could, for example, relate to:</w:t>
      </w:r>
    </w:p>
    <w:p>
      <w:pPr>
        <w:spacing w:after="0" w:line="71" w:lineRule="exact"/>
        <w:rPr>
          <w:sz w:val="20"/>
          <w:szCs w:val="20"/>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corporate opportunities;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between us and RGHL Group;</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retention or recruiting;</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dividend policy;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services and arrangements from which we benefit as a result of our relationship with RGHL Group.</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Conflicts of interest could also arise if we enter into any new commercial arrangements with RGHL Group in the future, or if RGHL Group decides to compete with us in any of our product categories. The presence of directors or officers of entities affiliated with RGHL on our board of directors could create, or appear to create, conflicts of interest and conflicts in allocating their time with respect to matters involving both us and any one of them, or involving us and RGHL, that could have different implications for any of these entities than they do for us. Provisions of our amended and restated certificate of incorporation and amended and restated bylaws that will be in effect prior to the closing of this offering address corporate opportunities that are presented to our directors who are also directors or officers of RGHL and certain of its subsidiaries. See “Description of Capital Stock.”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individuals who are directors of both us and entities affiliated with RGHL. As a result, we may be precluded from pursuing certain advantageous transactions or growth initiatives.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Our inability to resolve in a manner favorable to us any potential conflicts or disputes that arise between us and RGHL Group, PFL or Rank with respect to our past and ongoing relationships may adversely affect our business and prospects.</w:t>
      </w:r>
    </w:p>
    <w:p>
      <w:pPr>
        <w:spacing w:after="0" w:line="58"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Potential conflicts or disputes may arise between RGHL Group, PFL or Rank and us in a number of areas relating to our past or ongoing relationships, including:</w:t>
      </w:r>
    </w:p>
    <w:p>
      <w:pPr>
        <w:spacing w:after="0" w:line="76" w:lineRule="exact"/>
        <w:rPr>
          <w:sz w:val="20"/>
          <w:szCs w:val="20"/>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RGHL Group, PFL or Rank;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quality and pricing of services RGHL Group and Rank have agreed to provide us;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RGHL Group;</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joint sales and marketing activities with RGHL Group.</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us, RGHL Group, PFL or Rank or their subsidiaries over these or other matters may be less favorable to us than the resolution we might achieve if we were dealing with an unaffiliated third party.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agreements we have entered into with RGHL Group and Rank, which are described in this prospectus, are of varying durations and may be amended upon agreement of the parties.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 For more information, see “Certain Relationships and Related Party Transactions.”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made statements under the captions “Prospectus Summary,” “Risk Factors,” “Unaudited Pro Forma Combined Financial Data,” “Management’s Discussion and Analysis of Financial Condition and Results of Operations,” “Business,” and in other sections of this prospectus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You should specifically consider the numerous risks outlined under “Risk Factors.” These risks and uncertainties include factors related to:</w:t>
      </w:r>
    </w:p>
    <w:p>
      <w:pPr>
        <w:spacing w:after="0" w:line="83" w:lineRule="exact"/>
        <w:rPr>
          <w:sz w:val="20"/>
          <w:szCs w:val="20"/>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30" w:lineRule="exact"/>
        <w:rPr>
          <w:rFonts w:ascii="Arial" w:cs="Arial" w:eastAsia="Arial" w:hAnsi="Arial"/>
          <w:sz w:val="18"/>
          <w:szCs w:val="18"/>
          <w:color w:val="auto"/>
        </w:rPr>
      </w:pPr>
    </w:p>
    <w:p>
      <w:pPr>
        <w:ind w:left="960" w:right="400" w:hanging="3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38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23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6740" w:type="dxa"/>
            <w:vAlign w:val="bottom"/>
            <w:gridSpan w:val="2"/>
          </w:tcPr>
          <w:p>
            <w:pPr>
              <w:ind w:left="640"/>
              <w:spacing w:after="0"/>
              <w:rPr>
                <w:sz w:val="20"/>
                <w:szCs w:val="20"/>
                <w:color w:val="auto"/>
              </w:rPr>
            </w:pPr>
            <w:r>
              <w:rPr>
                <w:rFonts w:ascii="Arial" w:cs="Arial" w:eastAsia="Arial" w:hAnsi="Arial"/>
                <w:sz w:val="18"/>
                <w:szCs w:val="18"/>
                <w:color w:val="auto"/>
                <w:w w:val="94"/>
              </w:rPr>
              <w:t>We estimate that the net proceeds to us from this offering will be approximately $</w:t>
            </w:r>
          </w:p>
        </w:tc>
        <w:tc>
          <w:tcPr>
            <w:tcW w:w="2380" w:type="dxa"/>
            <w:vAlign w:val="bottom"/>
          </w:tcPr>
          <w:p>
            <w:pPr>
              <w:ind w:left="200"/>
              <w:spacing w:after="0"/>
              <w:rPr>
                <w:sz w:val="20"/>
                <w:szCs w:val="20"/>
                <w:color w:val="auto"/>
              </w:rPr>
            </w:pPr>
            <w:r>
              <w:rPr>
                <w:rFonts w:ascii="Arial" w:cs="Arial" w:eastAsia="Arial" w:hAnsi="Arial"/>
                <w:sz w:val="18"/>
                <w:szCs w:val="18"/>
                <w:color w:val="auto"/>
              </w:rPr>
              <w:t>million, or approximately $</w:t>
            </w:r>
          </w:p>
        </w:tc>
        <w:tc>
          <w:tcPr>
            <w:tcW w:w="2080" w:type="dxa"/>
            <w:vAlign w:val="bottom"/>
          </w:tcPr>
          <w:p>
            <w:pPr>
              <w:ind w:left="200"/>
              <w:spacing w:after="0"/>
              <w:rPr>
                <w:sz w:val="20"/>
                <w:szCs w:val="20"/>
                <w:color w:val="auto"/>
              </w:rPr>
            </w:pPr>
            <w:r>
              <w:rPr>
                <w:rFonts w:ascii="Arial" w:cs="Arial" w:eastAsia="Arial" w:hAnsi="Arial"/>
                <w:sz w:val="18"/>
                <w:szCs w:val="18"/>
                <w:color w:val="auto"/>
                <w:w w:val="93"/>
              </w:rPr>
              <w:t>million if the underwriters</w:t>
            </w:r>
          </w:p>
        </w:tc>
      </w:tr>
    </w:tbl>
    <w:p>
      <w:pPr>
        <w:ind w:left="200" w:right="34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their option to purchase additional shares in full, assuming an initial public offering price at the midpoint of the range set forth on the cover page of this prospectus, after deducting estimated underwriting discounts and commissions and estimated offering expenses.</w:t>
      </w:r>
    </w:p>
    <w:p>
      <w:pPr>
        <w:spacing w:after="0" w:line="162"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We intend to use the net proceeds from this offering to repay amounts owed under the IPO Settlement Facility incurred as part of the Corporate Reorganization. The IPO Settlement Facility is scheduled to mature on the first business day after the closing date of this offering and will accrue</w:t>
      </w:r>
    </w:p>
    <w:p>
      <w:pPr>
        <w:ind w:left="200" w:right="320"/>
        <w:spacing w:after="0" w:line="281" w:lineRule="auto"/>
        <w:rPr>
          <w:sz w:val="20"/>
          <w:szCs w:val="20"/>
          <w:color w:val="auto"/>
        </w:rPr>
      </w:pPr>
      <w:r>
        <w:rPr>
          <w:rFonts w:ascii="Arial" w:cs="Arial" w:eastAsia="Arial" w:hAnsi="Arial"/>
          <w:sz w:val="16"/>
          <w:szCs w:val="16"/>
          <w:color w:val="auto"/>
        </w:rPr>
        <w:t>interest at a rate equal to . We intend to use the net proceeds of the New Term Loan Facility to settle certain related party borrowings, including amounts arising as part of the Corporate Reorganization prior to the closing of this offering. The New Term Loan Facility is scheduled to mature on</w:t>
      </w:r>
    </w:p>
    <w:p>
      <w:pPr>
        <w:spacing w:after="0" w:line="1" w:lineRule="exact"/>
        <w:rPr>
          <w:sz w:val="20"/>
          <w:szCs w:val="20"/>
          <w:color w:val="auto"/>
        </w:rPr>
      </w:pPr>
    </w:p>
    <w:p>
      <w:pPr>
        <w:ind w:left="200" w:right="60" w:firstLine="405"/>
        <w:spacing w:after="0" w:line="281" w:lineRule="auto"/>
        <w:rPr>
          <w:sz w:val="20"/>
          <w:szCs w:val="20"/>
          <w:color w:val="auto"/>
        </w:rPr>
      </w:pPr>
      <w:r>
        <w:rPr>
          <w:rFonts w:ascii="Arial" w:cs="Arial" w:eastAsia="Arial" w:hAnsi="Arial"/>
          <w:sz w:val="16"/>
          <w:szCs w:val="16"/>
          <w:color w:val="auto"/>
        </w:rPr>
        <w:t>and will accrue interest at a rate equal to . Related party borrowings owed to RGHL Group will be settled as part of the Corporate Reorganization prior to this offering. Each $1 increase (decrease) in the public offering price per share would increase (decrease) our net proceeds, after</w:t>
      </w:r>
    </w:p>
    <w:p>
      <w:pPr>
        <w:spacing w:after="0" w:line="1" w:lineRule="exact"/>
        <w:rPr>
          <w:sz w:val="20"/>
          <w:szCs w:val="20"/>
          <w:color w:val="auto"/>
        </w:rPr>
      </w:pPr>
    </w:p>
    <w:p>
      <w:pPr>
        <w:jc w:val="both"/>
        <w:ind w:left="200" w:right="700"/>
        <w:spacing w:after="0" w:line="255" w:lineRule="auto"/>
        <w:rPr>
          <w:sz w:val="20"/>
          <w:szCs w:val="20"/>
          <w:color w:val="auto"/>
        </w:rPr>
      </w:pPr>
      <w:r>
        <w:rPr>
          <w:rFonts w:ascii="Arial" w:cs="Arial" w:eastAsia="Arial" w:hAnsi="Arial"/>
          <w:sz w:val="18"/>
          <w:szCs w:val="18"/>
          <w:color w:val="auto"/>
        </w:rPr>
        <w:t>deducting estimated underwriting discounts and commissions, by $ million (assuming no exercise of the underwriters’ option to purchase additional shares of common stock) and would reduce (increase) the amount of related party borrowings that would otherwise be capitalized as additional paid-in capital.</w:t>
      </w:r>
    </w:p>
    <w:p>
      <w:pPr>
        <w:spacing w:after="0" w:line="19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intend to use the net proceeds from the underwriters’ exercise of their option to purchase additional shares of common stock, if any, to repay a portion of the New Term Loan Facility or for general corporate purposes. See “Management’s Discussion and Analysis of Financial Condition and Results of Operations—Sources of Liquidity—New Credit Facilities.”</w:t>
      </w:r>
    </w:p>
    <w:p>
      <w:pPr>
        <w:spacing w:after="0" w:line="18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 affiliate of Goldman Sachs &amp; Co. LLC, which is an underwriter in this offering, is the lender under the IPO Settlement Facility. The net proceeds from this offering will be used to repay the IPO Settlement Facility.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Credit Suisse Securities (USA) LLC has agreed to act as qualified independent underwriter for the offering and to undertake the legal responsibilities and liabilities of an underwriter under the Securities Act, specifically including those inherent in Section 11 of the Securities Act. We will agree to indemnify Credit Suisse Securities (USA) LLC against liabilities incurred in connection with acting as qualified independent underwriter, including liabilities under the Securities Act. Moreover, Goldman Sachs &amp; Co. LLC is not permitted to sell common stock in this offering to an account over which it exercises discretionary authority without the prior specific written approval of the account holder. See “Underwriting (Conflicts of Interest).”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4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Following the closing of this offering and subject to legally available funds, we intend to pay quarterly cash dividends on our common stock</w:t>
      </w:r>
    </w:p>
    <w:p>
      <w:pPr>
        <w:spacing w:after="0" w:line="35" w:lineRule="exact"/>
        <w:rPr>
          <w:sz w:val="20"/>
          <w:szCs w:val="20"/>
          <w:color w:val="auto"/>
        </w:rPr>
      </w:pPr>
    </w:p>
    <w:p>
      <w:pPr>
        <w:ind w:left="200"/>
        <w:spacing w:after="0"/>
        <w:tabs>
          <w:tab w:leader="none" w:pos="1900" w:val="left"/>
          <w:tab w:leader="none" w:pos="5020" w:val="left"/>
          <w:tab w:leader="none" w:pos="7100" w:val="left"/>
        </w:tabs>
        <w:rPr>
          <w:sz w:val="20"/>
          <w:szCs w:val="20"/>
          <w:color w:val="auto"/>
        </w:rPr>
      </w:pPr>
      <w:r>
        <w:rPr>
          <w:rFonts w:ascii="Arial" w:cs="Arial" w:eastAsia="Arial" w:hAnsi="Arial"/>
          <w:sz w:val="18"/>
          <w:szCs w:val="18"/>
          <w:color w:val="auto"/>
        </w:rPr>
        <w:t>initially equal to $</w:t>
      </w:r>
      <w:r>
        <w:rPr>
          <w:sz w:val="20"/>
          <w:szCs w:val="20"/>
          <w:color w:val="auto"/>
        </w:rPr>
        <w:tab/>
      </w:r>
      <w:r>
        <w:rPr>
          <w:rFonts w:ascii="Arial" w:cs="Arial" w:eastAsia="Arial" w:hAnsi="Arial"/>
          <w:sz w:val="18"/>
          <w:szCs w:val="18"/>
          <w:color w:val="auto"/>
        </w:rPr>
        <w:t>per share, commencing with the</w:t>
      </w:r>
      <w:r>
        <w:rPr>
          <w:sz w:val="20"/>
          <w:szCs w:val="20"/>
          <w:color w:val="auto"/>
        </w:rPr>
        <w:tab/>
      </w:r>
      <w:r>
        <w:rPr>
          <w:rFonts w:ascii="Arial" w:cs="Arial" w:eastAsia="Arial" w:hAnsi="Arial"/>
          <w:sz w:val="18"/>
          <w:szCs w:val="18"/>
          <w:color w:val="auto"/>
        </w:rPr>
        <w:t>quarter of fiscal year 20</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Any declaration and payment of future dividends to holders of our common stock will be at the discretion of our board of directors and will depend on many factors, including general and economic conditions, our financial condition and operating results, our available cash and current and anticipated cash needs, capital requirements, contractual, legal, tax and regulatory restrictions, including restrictive covenants contained in our financing agreements and such other factors as our board of directors may deem relevant. See “Risk Factors—Risks Relating to Our Common Stock and this Offering—We intend to pay regular dividends on our common stock, but our ability to do so may be limited.”</w:t>
      </w:r>
    </w:p>
    <w:p>
      <w:pPr>
        <w:spacing w:after="0" w:line="173"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capitalization as of September 30, 2019:</w:t>
      </w:r>
    </w:p>
    <w:p>
      <w:pPr>
        <w:spacing w:after="0" w:line="131" w:lineRule="exact"/>
        <w:rPr>
          <w:sz w:val="20"/>
          <w:szCs w:val="20"/>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execution of the RGHI TSA and the Rank TSA;</w:t>
      </w:r>
    </w:p>
    <w:p>
      <w:pPr>
        <w:spacing w:after="0" w:line="130" w:lineRule="exact"/>
        <w:rPr>
          <w:rFonts w:ascii="Arial" w:cs="Arial" w:eastAsia="Arial" w:hAnsi="Arial"/>
          <w:sz w:val="18"/>
          <w:szCs w:val="18"/>
          <w:color w:val="auto"/>
        </w:rPr>
      </w:pPr>
    </w:p>
    <w:p>
      <w:pPr>
        <w:ind w:left="1180" w:right="100" w:hanging="206"/>
        <w:spacing w:after="0" w:line="277" w:lineRule="auto"/>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execution of plant and asset transfer agreements (and related support agreements), manufacturing and supply agreements and certain other arrangements with RGHL Group;</w:t>
      </w:r>
    </w:p>
    <w:p>
      <w:pPr>
        <w:spacing w:after="0" w:line="75" w:lineRule="exact"/>
        <w:rPr>
          <w:rFonts w:ascii="Arial" w:cs="Arial" w:eastAsia="Arial" w:hAnsi="Arial"/>
          <w:sz w:val="18"/>
          <w:szCs w:val="18"/>
          <w:color w:val="auto"/>
        </w:rPr>
      </w:pPr>
    </w:p>
    <w:p>
      <w:pPr>
        <w:ind w:left="1180" w:hanging="206"/>
        <w:spacing w:after="0" w:line="264" w:lineRule="auto"/>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the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180" w:right="440" w:hanging="206"/>
        <w:spacing w:after="0" w:line="277" w:lineRule="auto"/>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180" w:right="220" w:hanging="206"/>
        <w:spacing w:after="0" w:line="277" w:lineRule="auto"/>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180" w:hanging="206"/>
        <w:spacing w:after="0"/>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consummation of the Stock Split;</w:t>
      </w:r>
    </w:p>
    <w:p>
      <w:pPr>
        <w:spacing w:after="0" w:line="130" w:lineRule="exact"/>
        <w:rPr>
          <w:rFonts w:ascii="Arial" w:cs="Arial" w:eastAsia="Arial" w:hAnsi="Arial"/>
          <w:sz w:val="18"/>
          <w:szCs w:val="18"/>
          <w:color w:val="auto"/>
        </w:rPr>
      </w:pPr>
    </w:p>
    <w:p>
      <w:pPr>
        <w:ind w:left="1180" w:hanging="206"/>
        <w:spacing w:after="0"/>
        <w:tabs>
          <w:tab w:leader="none" w:pos="11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entry into the New Credit Facilities and the incurrence of debt under the New Term Loan Facility and the IPO Settlement Facility;</w:t>
      </w:r>
    </w:p>
    <w:p>
      <w:pPr>
        <w:spacing w:after="0" w:line="153" w:lineRule="exact"/>
        <w:rPr>
          <w:rFonts w:ascii="Arial" w:cs="Arial" w:eastAsia="Arial" w:hAnsi="Arial"/>
          <w:sz w:val="16"/>
          <w:szCs w:val="16"/>
          <w:color w:val="auto"/>
        </w:rPr>
      </w:pPr>
    </w:p>
    <w:p>
      <w:pPr>
        <w:ind w:left="1180" w:right="100" w:hanging="206"/>
        <w:spacing w:after="0" w:line="308" w:lineRule="auto"/>
        <w:tabs>
          <w:tab w:leader="none" w:pos="11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repayment of certain related party borrowings owing to RGHL Group and the capitalization, as additional paid-in capital without the issuance of any additional shares, of the remaining balance of the related party borrowings owing to RGHL Group;</w:t>
      </w:r>
    </w:p>
    <w:p>
      <w:pPr>
        <w:spacing w:after="0" w:line="52" w:lineRule="exact"/>
        <w:rPr>
          <w:sz w:val="20"/>
          <w:szCs w:val="20"/>
          <w:color w:val="auto"/>
        </w:rPr>
      </w:pPr>
    </w:p>
    <w:p>
      <w:pPr>
        <w:jc w:val="both"/>
        <w:ind w:left="1180" w:right="520" w:hanging="199"/>
        <w:spacing w:after="0" w:line="291" w:lineRule="auto"/>
        <w:tabs>
          <w:tab w:leader="none" w:pos="1160" w:val="left"/>
        </w:tabs>
        <w:rPr>
          <w:sz w:val="20"/>
          <w:szCs w:val="20"/>
          <w:color w:val="auto"/>
        </w:rPr>
      </w:pPr>
      <w:r>
        <w:rPr>
          <w:rFonts w:ascii="Arial" w:cs="Arial" w:eastAsia="Arial" w:hAnsi="Arial"/>
          <w:sz w:val="16"/>
          <w:szCs w:val="16"/>
          <w:color w:val="auto"/>
        </w:rPr>
        <w:t>•</w:t>
        <w:tab/>
        <w:t>the sale by us of       shares of common stock in this offering, at an assumed initial public offering price of $    per share, the midpoint of the range set forth on the cover page of this prospectus, representing the receipt of $     million in net proceeds after</w:t>
      </w:r>
    </w:p>
    <w:p>
      <w:pPr>
        <w:ind w:left="1180" w:right="40"/>
        <w:spacing w:after="0" w:line="261" w:lineRule="auto"/>
        <w:rPr>
          <w:sz w:val="20"/>
          <w:szCs w:val="20"/>
          <w:color w:val="auto"/>
        </w:rPr>
      </w:pPr>
      <w:r>
        <w:rPr>
          <w:rFonts w:ascii="Arial" w:cs="Arial" w:eastAsia="Arial" w:hAnsi="Arial"/>
          <w:sz w:val="18"/>
          <w:szCs w:val="18"/>
          <w:color w:val="auto"/>
        </w:rPr>
        <w:t>deducting the underwriting discount and the estimated offering expenses payable by us, as well as the application of such net proceeds as described in “Use of Proceeds”; and</w:t>
      </w:r>
    </w:p>
    <w:p>
      <w:pPr>
        <w:spacing w:after="0" w:line="89" w:lineRule="exact"/>
        <w:rPr>
          <w:sz w:val="20"/>
          <w:szCs w:val="20"/>
          <w:color w:val="auto"/>
        </w:rPr>
      </w:pPr>
    </w:p>
    <w:p>
      <w:pPr>
        <w:ind w:left="980"/>
        <w:spacing w:after="0"/>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issuance of the IPO Grants.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240" w:top="459" w:right="5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pro forma information set forth in the table below is illustrative only and will be adjusted based on the actual initial public offering price and other terms of this offering determined at pricing. This table should be read in conjunction with “Use of Proceeds,” “Selected Historical Combined Financial Data,” “Unaudited Pro Forma Combined Financial Data,” “Management’s Discussion and Analysis of Financial Condition and Results of Operations,” and our annual and interim combined financial statements and notes thereto included elsewhere in this prospectus.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(In millions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share and 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data)</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58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3"/>
            <w:vMerge w:val="continue"/>
          </w:tcPr>
          <w:p>
            <w:pPr>
              <w:spacing w:after="0"/>
              <w:rPr>
                <w:sz w:val="18"/>
                <w:szCs w:val="18"/>
                <w:color w:val="auto"/>
              </w:rPr>
            </w:pPr>
          </w:p>
        </w:tc>
        <w:tc>
          <w:tcPr>
            <w:tcW w:w="19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RGHL Group Credit Agreement—U.S. term loan(1)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Related party borrowings(2)</w:t>
            </w:r>
          </w:p>
        </w:tc>
        <w:tc>
          <w:tcPr>
            <w:tcW w:w="19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Credit Facilities(3)</w:t>
            </w:r>
          </w:p>
        </w:tc>
        <w:tc>
          <w:tcPr>
            <w:tcW w:w="19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9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9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Common stock, $0.001 par value per share,</w:t>
            </w:r>
          </w:p>
        </w:tc>
        <w:tc>
          <w:tcPr>
            <w:tcW w:w="1920" w:type="dxa"/>
            <w:vAlign w:val="bottom"/>
          </w:tcPr>
          <w:p>
            <w:pPr>
              <w:ind w:left="200"/>
              <w:spacing w:after="0"/>
              <w:rPr>
                <w:sz w:val="20"/>
                <w:szCs w:val="20"/>
                <w:color w:val="auto"/>
              </w:rPr>
            </w:pPr>
            <w:r>
              <w:rPr>
                <w:rFonts w:ascii="Arial" w:cs="Arial" w:eastAsia="Arial" w:hAnsi="Arial"/>
                <w:sz w:val="18"/>
                <w:szCs w:val="18"/>
                <w:color w:val="auto"/>
              </w:rPr>
              <w:t>shares authorized,</w:t>
            </w:r>
          </w:p>
        </w:tc>
        <w:tc>
          <w:tcPr>
            <w:tcW w:w="3880" w:type="dxa"/>
            <w:vAlign w:val="bottom"/>
            <w:gridSpan w:val="2"/>
          </w:tcPr>
          <w:p>
            <w:pPr>
              <w:jc w:val="right"/>
              <w:ind w:right="566"/>
              <w:spacing w:after="0"/>
              <w:rPr>
                <w:sz w:val="20"/>
                <w:szCs w:val="20"/>
                <w:color w:val="auto"/>
              </w:rPr>
            </w:pPr>
            <w:r>
              <w:rPr>
                <w:rFonts w:ascii="Arial" w:cs="Arial" w:eastAsia="Arial" w:hAnsi="Arial"/>
                <w:sz w:val="18"/>
                <w:szCs w:val="18"/>
                <w:color w:val="auto"/>
              </w:rPr>
              <w:t>shares outstanding on a pro forma basis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9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Net Parent deficit</w:t>
            </w:r>
          </w:p>
        </w:tc>
        <w:tc>
          <w:tcPr>
            <w:tcW w:w="19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Accumulated other comprehensive income (loss)</w:t>
            </w:r>
          </w:p>
        </w:tc>
        <w:tc>
          <w:tcPr>
            <w:tcW w:w="19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equity(4)</w:t>
            </w:r>
          </w:p>
        </w:tc>
        <w:tc>
          <w:tcPr>
            <w:tcW w:w="19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70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capitalization</w:t>
            </w:r>
          </w:p>
        </w:tc>
        <w:tc>
          <w:tcPr>
            <w:tcW w:w="19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60" w:hanging="436"/>
        <w:spacing w:after="0" w:line="25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portion of the RGHL Group Credit Agreement consists of a U.S. term loan of $2,021 million of principal amount, net of deferred financing transaction costs and original issue discounts of $5 million.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Related party borrowings consist of $2,148 million of principal amount.</w:t>
      </w:r>
    </w:p>
    <w:p>
      <w:pPr>
        <w:spacing w:after="0" w:line="9" w:lineRule="exact"/>
        <w:rPr>
          <w:sz w:val="20"/>
          <w:szCs w:val="20"/>
          <w:color w:val="auto"/>
        </w:rPr>
      </w:pPr>
    </w:p>
    <w:p>
      <w:pPr>
        <w:ind w:left="200"/>
        <w:spacing w:after="0"/>
        <w:tabs>
          <w:tab w:leader="none" w:pos="620" w:val="left"/>
          <w:tab w:leader="none" w:pos="3560" w:val="left"/>
          <w:tab w:leader="none" w:pos="6860" w:val="left"/>
        </w:tabs>
        <w:rPr>
          <w:sz w:val="20"/>
          <w:szCs w:val="20"/>
          <w:color w:val="auto"/>
        </w:rPr>
      </w:pPr>
      <w:r>
        <w:rPr>
          <w:rFonts w:ascii="Arial" w:cs="Arial" w:eastAsia="Arial" w:hAnsi="Arial"/>
          <w:sz w:val="18"/>
          <w:szCs w:val="18"/>
          <w:color w:val="auto"/>
        </w:rPr>
        <w:t>(3)</w:t>
        <w:tab/>
        <w:t>New Credit Facilities consist of a $</w:t>
      </w:r>
      <w:r>
        <w:rPr>
          <w:sz w:val="20"/>
          <w:szCs w:val="20"/>
          <w:color w:val="auto"/>
        </w:rPr>
        <w:tab/>
      </w:r>
      <w:r>
        <w:rPr>
          <w:rFonts w:ascii="Arial" w:cs="Arial" w:eastAsia="Arial" w:hAnsi="Arial"/>
          <w:sz w:val="18"/>
          <w:szCs w:val="18"/>
          <w:color w:val="auto"/>
        </w:rPr>
        <w:t>million New Term Loan Facility and a $</w:t>
      </w:r>
      <w:r>
        <w:rPr>
          <w:sz w:val="20"/>
          <w:szCs w:val="20"/>
          <w:color w:val="auto"/>
        </w:rPr>
        <w:tab/>
      </w:r>
      <w:r>
        <w:rPr>
          <w:rFonts w:ascii="Arial" w:cs="Arial" w:eastAsia="Arial" w:hAnsi="Arial"/>
          <w:sz w:val="17"/>
          <w:szCs w:val="17"/>
          <w:color w:val="auto"/>
        </w:rPr>
        <w:t>million New Revolving Facility (which New Revolving</w:t>
      </w:r>
    </w:p>
    <w:p>
      <w:pPr>
        <w:spacing w:after="0" w:line="9" w:lineRule="exact"/>
        <w:rPr>
          <w:sz w:val="20"/>
          <w:szCs w:val="20"/>
          <w:color w:val="auto"/>
        </w:rPr>
      </w:pPr>
    </w:p>
    <w:p>
      <w:pPr>
        <w:ind w:left="640"/>
        <w:spacing w:after="0"/>
        <w:tabs>
          <w:tab w:leader="none" w:pos="9360" w:val="left"/>
        </w:tabs>
        <w:rPr>
          <w:sz w:val="20"/>
          <w:szCs w:val="20"/>
          <w:color w:val="auto"/>
        </w:rPr>
      </w:pPr>
      <w:r>
        <w:rPr>
          <w:rFonts w:ascii="Arial" w:cs="Arial" w:eastAsia="Arial" w:hAnsi="Arial"/>
          <w:sz w:val="18"/>
          <w:szCs w:val="18"/>
          <w:color w:val="auto"/>
        </w:rPr>
        <w:t>Facility is expected to be undrawn upon the closing of this offering), net of deferred financing transaction costs of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ind w:left="640" w:right="60" w:hanging="436"/>
        <w:spacing w:after="0" w:line="25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described in “Use of Proceeds,” we intend to use the net proceeds from this offering to repay amounts owed under the IPO Settlement Facility incurred as part of the Corporate Reorganization. We intend to use the net proceeds of the New Term Loan Facility to settle certain related party borrowings, including amounts arising as part of the Corporate Reorganization prior to the closing of this offering. Related party borrowings owed to RGHL Group will be settled as part of the Corporate Reorganization prior to this offering. Excluding the impact of underwriting discounts and commissions payable by us, (i) any increase or decrease in the assumed initial public offering price, and (ii) any increase or decrease in the number of shares of our common stock offered by us, is not expected to materially impact our pro forma cash and cash equivalents, additional paid-in capital, total stockholders’ equity and total capitalization. The impact of any change described in clause (i) or (ii) above will be offset as a result of the capitalization, as additional paid-in capital without the issuance of any additional shares, of any related party borrowings we have with RGHL Group.</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If you invest in shares of our common stock, your investment will be immediately diluted to the extent of the difference between the initial public offering price per share of common stock and the pro forma net tangible book value per share of common stock after this offering. Dilution results from the fact that the per share offering price of the shares of common stock is substantially in excess of the pro forma net tangible book value per share after this offering.</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net tangible book value as of September 30, 2019 was $ million or $ per share of common stock after giving pro forma effect to the Corporate Reorganization. Net tangible book value represents total tangible assets less total liabilities. Tangible assets represent total assets excluding goodwill and other intangible assets. Net tangible book value per share represents net tangible book value divided by the aggregate number of shares of common stock outstanding immediately prior to this offering (after giving effect to the Corporate Reorganization).</w:t>
      </w:r>
    </w:p>
    <w:p>
      <w:pPr>
        <w:spacing w:after="0" w:line="17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After giving further effect to the sale by us of the shares of our common stock in this offering, at an assumed initial public offering price of $ per share, the midpoint of the range set forth on the cover page of this prospectus, and the receipt and application of the net proceeds, our pro forma net</w:t>
      </w:r>
    </w:p>
    <w:p>
      <w:pPr>
        <w:ind w:left="200" w:right="80"/>
        <w:spacing w:after="0" w:line="265" w:lineRule="auto"/>
        <w:rPr>
          <w:sz w:val="20"/>
          <w:szCs w:val="20"/>
          <w:color w:val="auto"/>
        </w:rPr>
      </w:pPr>
      <w:r>
        <w:rPr>
          <w:rFonts w:ascii="Arial" w:cs="Arial" w:eastAsia="Arial" w:hAnsi="Arial"/>
          <w:sz w:val="17"/>
          <w:szCs w:val="17"/>
          <w:color w:val="auto"/>
        </w:rPr>
        <w:t>tangible book value as of September 30, 2019 would have been $ million or $ per share. This represents an immediate increase in pro forma net tangible book value to the existing stockholder of $ per share and an immediate dilution to new investors of $ per share. Dilution per share</w:t>
      </w:r>
    </w:p>
    <w:p>
      <w:pPr>
        <w:ind w:left="200" w:right="340"/>
        <w:spacing w:after="0" w:line="290" w:lineRule="auto"/>
        <w:rPr>
          <w:sz w:val="20"/>
          <w:szCs w:val="20"/>
          <w:color w:val="auto"/>
        </w:rPr>
      </w:pPr>
      <w:r>
        <w:rPr>
          <w:rFonts w:ascii="Arial" w:cs="Arial" w:eastAsia="Arial" w:hAnsi="Arial"/>
          <w:sz w:val="17"/>
          <w:szCs w:val="17"/>
          <w:color w:val="auto"/>
        </w:rPr>
        <w:t>represents the difference between the price per share to be paid by new investors for the shares of our common stock sold in this offering and the pro forma net tangible book value per share immediately after this offering. The following table illustrates this per share dilution:</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5"/>
              </w:rPr>
              <w:t>Pro forma net tangible book value per share as of September 30, 2019 (after giving effect to the Corporate Reorganization)</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after offering</w:t>
            </w:r>
          </w:p>
        </w:tc>
        <w:tc>
          <w:tcPr>
            <w:tcW w:w="5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following table sets forth, on a pro forma basis, as of September 30, 2019, the number of shares of our common stock purchased from us, the total consideration paid, or to be paid, and the average price per share paid, or to be paid, by the existing stockholder and by the new investors, at an</w:t>
      </w:r>
    </w:p>
    <w:p>
      <w:pPr>
        <w:ind w:left="200" w:right="560"/>
        <w:spacing w:after="0" w:line="261" w:lineRule="auto"/>
        <w:rPr>
          <w:sz w:val="20"/>
          <w:szCs w:val="20"/>
          <w:color w:val="auto"/>
        </w:rPr>
      </w:pPr>
      <w:r>
        <w:rPr>
          <w:rFonts w:ascii="Arial" w:cs="Arial" w:eastAsia="Arial" w:hAnsi="Arial"/>
          <w:sz w:val="18"/>
          <w:szCs w:val="18"/>
          <w:color w:val="auto"/>
        </w:rPr>
        <w:t>assumed initial public offering price of $ per share, the midpoint of the range set forth on the cover page of this prospectus, before deducting estimated underwriting discounts and commissions and offering expenses payable by us: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4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Total Consideration</w:t>
            </w:r>
          </w:p>
        </w:tc>
        <w:tc>
          <w:tcPr>
            <w:tcW w:w="118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10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w:t>
            </w: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tables assume no exercise of the underwriters’ option to purchase additional shares of common stock.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following table presents our selected historical combined financial data. As detailed in our annual and interim combined financial statements included elsewhere in this prospectus, prior to this offering, our operations are not structured under a single consolidating parent entity.</w:t>
      </w:r>
    </w:p>
    <w:p>
      <w:pPr>
        <w:spacing w:after="0" w:line="12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combined statement of income data and summary cash flow data for each of the years ended December 31, 2018, 2017, and 2016, and the combined balance sheet data as of December 31, 2018 and 2017, are derived from our annual combined financial statements included elsewhere in this prospectus. The unaudited combined statement of income data and summary cash flow data for the years ended December 31, 2015 and 2014, and the unaudited combined balance sheet data as of December 31, 2016, 2015, and 2014, are derived from our financial records, which were derived from the financial records of RGHL Group, and are not included in this prospectus. The unaudited combined financial data as of December 31, 2016, 2015 and 2014 and for the years ended December 31, 2015 and 2014 were prepared on the same basis as our annual combined financial statements.</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combined statement of income data and summary cash flow data for the nine months ended September 30, 2019 and 2018, and the combined balance sheet data as of September 30, 2019, have been derived from our interim condensed combined financial statements included elsewhere in this prospectus. The selected combined balance sheet data as of September 30, 2018 has been derived from our financial records, which were derived from the financial records of RGHL Group, and are not included in this prospectus.</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interim condensed combined financial statements as of September 30, 2019 and for the nine months ended September 30, 2019 and 2018 were prepared on the same basis as our annual combined financial statements. In our opinion, such financial statements include all normal and recurring adjustments considered necessary for a fair statement of the financial information set forth in those statements.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historical combined financial statements have been prepared on a stand-alone basis in accordance with GAAP and are derived from RGHL Group’s consolidated financial statements and accounting records using the historical results of operations and assets and liabilities attributed to our operations, and include allocations of expenses from RGHL Group. We believe these allocations were made on a reasonable basis. Our historical results are not necessarily indicative of our results in any future period. You should read the following selected historical combined financial data together with our combined annual and interim financial statements and the related notes included elsewhere in this prospectus and the “Capitalization,” “Unaudited Pro Forma Combined Financial Data,” and “Management’s Discussion and Analysis of Financial Condition and Results of Operations” sections of this 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Nine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(In millions)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revenues(1),(3)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2,981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2,809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2,792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net revenues(2),(3)</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net revenues(3)</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2,957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(2,241)</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expenses(2),(4)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expense, net(4)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net(5),(6)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receivables—non-current(6)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assets(8)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5,911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Long-term debt, including current portion(5)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borrowings, including current portion(6)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equity (deficit)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(1,765)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Data:(9)</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Investing activities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net revenues are derived primarily from sales of our cooking, waste &amp; storage and tableware products to third-party customers, primarily in the United States. Revenues are reported net of estimated sales incentives.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9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Related party net revenues represent the sale of our finished products to RGHL Group. Those transactions have historically taken place at an agreed upon price, which may not be equivalent to the terms that would prevail in an arm’s length transaction. In connection with this offering, we have entered, or will enter, into agreements that document and/or amend certain ongoing commercial arrangements we have with certain RGHL Group subsidiaries. These manufacturing and supply agreements will become effective no later than the closing of this offering. Following the closing of this offering, these agreements will impact our related party net revenues, our cost of sales and our selling, general and administrative expenses. For further information, see “Certain Relationships and Related Party Transactions,” “Unaudited Pro Forma Combined Financial Data” and Note 14—Related Party Transactions of our annual combined financial statements included elsewhere in this prospectus.</w:t>
      </w:r>
    </w:p>
    <w:p>
      <w:pPr>
        <w:spacing w:after="0" w:line="59" w:lineRule="exact"/>
        <w:rPr>
          <w:rFonts w:ascii="Arial" w:cs="Arial" w:eastAsia="Arial" w:hAnsi="Arial"/>
          <w:sz w:val="16"/>
          <w:szCs w:val="16"/>
          <w:color w:val="auto"/>
        </w:rPr>
      </w:pPr>
    </w:p>
    <w:p>
      <w:pPr>
        <w:ind w:left="640" w:right="40"/>
        <w:spacing w:after="0" w:line="277" w:lineRule="auto"/>
        <w:rPr>
          <w:rFonts w:ascii="Arial" w:cs="Arial" w:eastAsia="Arial" w:hAnsi="Arial"/>
          <w:sz w:val="16"/>
          <w:szCs w:val="16"/>
          <w:color w:val="auto"/>
        </w:rPr>
      </w:pPr>
      <w:r>
        <w:rPr>
          <w:rFonts w:ascii="Arial" w:cs="Arial" w:eastAsia="Arial" w:hAnsi="Arial"/>
          <w:sz w:val="18"/>
          <w:szCs w:val="18"/>
          <w:color w:val="auto"/>
        </w:rPr>
        <w:t>Following the closing of this offering, the RGHI TSA and the Rank TSA will take effect to cover certain corporate services currently provided by RGHL Group.</w:t>
      </w:r>
    </w:p>
    <w:p>
      <w:pPr>
        <w:spacing w:after="0" w:line="62" w:lineRule="exact"/>
        <w:rPr>
          <w:rFonts w:ascii="Arial" w:cs="Arial" w:eastAsia="Arial" w:hAnsi="Arial"/>
          <w:sz w:val="16"/>
          <w:szCs w:val="16"/>
          <w:color w:val="auto"/>
        </w:rPr>
      </w:pPr>
    </w:p>
    <w:p>
      <w:pPr>
        <w:ind w:left="640" w:right="220"/>
        <w:spacing w:after="0" w:line="259" w:lineRule="auto"/>
        <w:rPr>
          <w:rFonts w:ascii="Arial" w:cs="Arial" w:eastAsia="Arial" w:hAnsi="Arial"/>
          <w:sz w:val="16"/>
          <w:szCs w:val="16"/>
          <w:color w:val="auto"/>
        </w:rPr>
      </w:pPr>
      <w:r>
        <w:rPr>
          <w:rFonts w:ascii="Arial" w:cs="Arial" w:eastAsia="Arial" w:hAnsi="Arial"/>
          <w:sz w:val="18"/>
          <w:szCs w:val="18"/>
          <w:color w:val="auto"/>
        </w:rPr>
        <w:t>Due to these and other changes we anticipate in connection with this offering, the historical combined financial data included in this prospectus may not necessarily reflect our financial position, results of operations and cash flows in the future or what our financial position, results of operations and cash flows would have been had we been a stand-alone public company during the periods presented. See the notes to our unaudited pro forma combined financial data.</w:t>
      </w:r>
    </w:p>
    <w:p>
      <w:pPr>
        <w:spacing w:after="0" w:line="92" w:lineRule="exact"/>
        <w:rPr>
          <w:rFonts w:ascii="Arial" w:cs="Arial" w:eastAsia="Arial" w:hAnsi="Arial"/>
          <w:sz w:val="16"/>
          <w:szCs w:val="16"/>
          <w:color w:val="auto"/>
        </w:rPr>
      </w:pPr>
    </w:p>
    <w:p>
      <w:pPr>
        <w:ind w:left="640" w:hanging="436"/>
        <w:spacing w:after="0" w:line="26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On January 1, 2018, we adopted ASC 606, using the modified retrospective method for all contracts not completed as of the date of adoption, resulting in a $5 million adjustment to Net Parent deficit. There was no other material financial impact from adopting the new revenue recognition standard. See Note 2—Summary of Significant Accounting Policies of our annual combined financial statements included elsewhere in this prospectus for an explanation of the impact of the adoption of ASC 606. Results as of and for the year ended December 31, 2018 and periods thereafter are presented under ASC 606, while prior period amounts are not adjusted and continue to be reported under ASC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accounting standard in effect for those periods presented.</w:t>
      </w:r>
    </w:p>
    <w:p>
      <w:pPr>
        <w:spacing w:after="0" w:line="1" w:lineRule="exact"/>
        <w:rPr>
          <w:rFonts w:ascii="Arial" w:cs="Arial" w:eastAsia="Arial" w:hAnsi="Arial"/>
          <w:sz w:val="17"/>
          <w:szCs w:val="17"/>
          <w:color w:val="auto"/>
        </w:rPr>
      </w:pPr>
    </w:p>
    <w:p>
      <w:pPr>
        <w:ind w:left="640" w:right="160" w:hanging="436"/>
        <w:spacing w:after="0" w:line="28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RGHL Group currently provides certain corporate services to us, and costs associated with these functions have been allocated to us. Our historical combined financial statements included elsewhere in this prospectus reflect these costs primarily in selling, general and administrative expenses and other expense, net. These allocations include costs related to corporate services such as executive management, finance, legal, tax, information technology and a portion of a related party management fee incurred by RGHL Group. The total amount of these allocations from RGHL Group was $40 million, $37 million, $39 million, $42 million and $39 million in the years ended December 31, 2018, 2017, 2016, 2015 and 2014, respectively, and $29 million for each of the nine months ended September 30, 2019 and 2018. See Note 1—Description of Business and Basis of Presentation in our annual combined financial statements included elsewhere in this prospectus for additional information.</w:t>
      </w:r>
    </w:p>
    <w:p>
      <w:pPr>
        <w:spacing w:after="0" w:line="4" w:lineRule="exact"/>
        <w:rPr>
          <w:rFonts w:ascii="Arial" w:cs="Arial" w:eastAsia="Arial" w:hAnsi="Arial"/>
          <w:sz w:val="16"/>
          <w:szCs w:val="16"/>
          <w:color w:val="auto"/>
        </w:rPr>
      </w:pPr>
    </w:p>
    <w:p>
      <w:pPr>
        <w:ind w:left="640" w:right="160" w:hanging="436"/>
        <w:spacing w:after="0" w:line="28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periods presented above, we had between $734 million and $2,084 million of borrowings under the RGHL Group Credit Agreement. Interest expense has been recognized based on the historical interest rates of the RGHL Group Credit Agreement and totaled $97 million,</w:t>
      </w:r>
    </w:p>
    <w:p>
      <w:pPr>
        <w:spacing w:after="0" w:line="1" w:lineRule="exact"/>
        <w:rPr>
          <w:rFonts w:ascii="Arial" w:cs="Arial" w:eastAsia="Arial" w:hAnsi="Arial"/>
          <w:sz w:val="16"/>
          <w:szCs w:val="16"/>
          <w:color w:val="auto"/>
        </w:rPr>
      </w:pPr>
    </w:p>
    <w:p>
      <w:pPr>
        <w:ind w:left="640" w:right="20"/>
        <w:spacing w:after="0" w:line="250" w:lineRule="auto"/>
        <w:rPr>
          <w:rFonts w:ascii="Arial" w:cs="Arial" w:eastAsia="Arial" w:hAnsi="Arial"/>
          <w:sz w:val="16"/>
          <w:szCs w:val="16"/>
          <w:color w:val="auto"/>
        </w:rPr>
      </w:pPr>
      <w:r>
        <w:rPr>
          <w:rFonts w:ascii="Arial" w:cs="Arial" w:eastAsia="Arial" w:hAnsi="Arial"/>
          <w:sz w:val="18"/>
          <w:szCs w:val="18"/>
          <w:color w:val="auto"/>
        </w:rPr>
        <w:t>$85 million, $51 million, $40 million and $37 million in the years ended December 31, 2018, 2017, 2016, 2015 and 2014, respectively, and $78 million and $71 million in the nine months ended September 30, 2019 and 2018, respectively. Deferred financing transaction costs and original issue discounts have been recognized in the same proportion as debt and are recorded as a reduction to the outstanding borrowings included in our combined balance sheets. As part of the Corporate Reorganization prior to the closing of this offering, our borrowings under the RGHL Group Credit Agreement will be reallocated to RGHL Group and we will be legally released from the RGHL Group Credit Agreement and from the guarantees of all the senior notes issued by entities of RGHL Group. See “Unaudited Pro Forma Combined Financial Data” for additional information.</w:t>
      </w:r>
    </w:p>
    <w:p>
      <w:pPr>
        <w:spacing w:after="0" w:line="3" w:lineRule="exact"/>
        <w:rPr>
          <w:rFonts w:ascii="Arial" w:cs="Arial" w:eastAsia="Arial" w:hAnsi="Arial"/>
          <w:sz w:val="16"/>
          <w:szCs w:val="16"/>
          <w:color w:val="auto"/>
        </w:rPr>
      </w:pPr>
    </w:p>
    <w:p>
      <w:pPr>
        <w:ind w:left="640" w:right="60" w:hanging="436"/>
        <w:spacing w:after="0" w:line="302"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Historically, we have reported significant interest bearing related party receivables and interest bearing long-term related party borrowings. These balances arose as part of wider RGHL Group cash management activities. In June 2019, the outstanding related party receivables were used to reduce the balances outstanding under various related party borrowings and accrued interest payable. As part of the Corporate</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Reorganization prior to the closing of this offering, any remaining balances will be settled. See “Unaudited Pro Forma Combined Financial Data” for additional information.</w:t>
      </w:r>
    </w:p>
    <w:p>
      <w:pPr>
        <w:spacing w:after="0" w:line="76" w:lineRule="exact"/>
        <w:rPr>
          <w:sz w:val="20"/>
          <w:szCs w:val="20"/>
          <w:color w:val="auto"/>
        </w:rPr>
      </w:pPr>
    </w:p>
    <w:p>
      <w:pPr>
        <w:ind w:left="640" w:right="80" w:hanging="436"/>
        <w:spacing w:after="0" w:line="30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define “Adjusted EBITDA” as our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the allocated related party management fee and transaction-related costs.</w:t>
      </w:r>
    </w:p>
    <w:p>
      <w:pPr>
        <w:spacing w:after="0" w:line="46" w:lineRule="exact"/>
        <w:rPr>
          <w:rFonts w:ascii="Arial" w:cs="Arial" w:eastAsia="Arial" w:hAnsi="Arial"/>
          <w:sz w:val="16"/>
          <w:szCs w:val="16"/>
          <w:color w:val="auto"/>
        </w:rPr>
      </w:pPr>
    </w:p>
    <w:p>
      <w:pPr>
        <w:ind w:left="640" w:right="160"/>
        <w:spacing w:after="0" w:line="259" w:lineRule="auto"/>
        <w:rPr>
          <w:rFonts w:ascii="Arial" w:cs="Arial" w:eastAsia="Arial" w:hAnsi="Arial"/>
          <w:sz w:val="16"/>
          <w:szCs w:val="16"/>
          <w:color w:val="auto"/>
        </w:rPr>
      </w:pPr>
      <w:r>
        <w:rPr>
          <w:rFonts w:ascii="Arial" w:cs="Arial" w:eastAsia="Arial" w:hAnsi="Arial"/>
          <w:sz w:val="18"/>
          <w:szCs w:val="18"/>
          <w:color w:val="auto"/>
        </w:rPr>
        <w:t>We have included Adjusted EBITDA in this prospectus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78" w:lineRule="exact"/>
        <w:rPr>
          <w:rFonts w:ascii="Arial" w:cs="Arial" w:eastAsia="Arial" w:hAnsi="Arial"/>
          <w:sz w:val="16"/>
          <w:szCs w:val="16"/>
          <w:color w:val="auto"/>
        </w:rPr>
      </w:pPr>
    </w:p>
    <w:p>
      <w:pPr>
        <w:ind w:left="640" w:right="6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presents a reconciliation of net income, the most directly comparable GAAP financial measure, to Adjusted EBITDA for each of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10"/>
            <w:vMerge w:val="restart"/>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10"/>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left="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left="19"/>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left="39"/>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left="39"/>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Transaction-related costs(c)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Unrealized (gains) losses on derivatives(d)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rationalization costs(e)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Defined benefit plan settlement loss(f)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Adjusted EBITDA (Non-GAAP)</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647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80" w:right="260" w:hanging="544"/>
        <w:spacing w:after="0" w:line="25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loss on sale that we incur when we sell our U.S. trade receivables through RGHL Group’s securitization facility. For further information, refer to Note 9—Other Expense, Net in our annual combined financial statements and Note 11—Other Expense, Net in our interim condensed combined financial statements, each of which are included elsewhere in this prospectus. In conjunction with this offering, we will cease to participate in this facility.</w:t>
      </w:r>
    </w:p>
    <w:p>
      <w:pPr>
        <w:spacing w:after="0" w:line="2" w:lineRule="exact"/>
        <w:rPr>
          <w:rFonts w:ascii="Arial" w:cs="Arial" w:eastAsia="Arial" w:hAnsi="Arial"/>
          <w:sz w:val="18"/>
          <w:szCs w:val="18"/>
          <w:color w:val="auto"/>
        </w:rPr>
      </w:pPr>
    </w:p>
    <w:p>
      <w:pPr>
        <w:ind w:left="1180" w:right="120" w:hanging="544"/>
        <w:spacing w:after="0" w:line="250"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to RGHL Group. We will not be required to pay any portion of this management fee after closing of this offering. For further information, refer to Note 9—Other Expense, Net in our annual combined financial statements and Note 11—Other Expense, Net in our interim condensed combined financial statements, each of which are included elsewhere in this prospectus.</w:t>
      </w:r>
    </w:p>
    <w:p>
      <w:pPr>
        <w:spacing w:after="0" w:line="1" w:lineRule="exact"/>
        <w:rPr>
          <w:rFonts w:ascii="Arial" w:cs="Arial" w:eastAsia="Arial" w:hAnsi="Arial"/>
          <w:sz w:val="18"/>
          <w:szCs w:val="18"/>
          <w:color w:val="auto"/>
        </w:rPr>
      </w:pPr>
    </w:p>
    <w:p>
      <w:pPr>
        <w:ind w:left="1180" w:right="460" w:hanging="544"/>
        <w:spacing w:after="0" w:line="281"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allocated costs during the nine months ended September 30, 2019 related to the IPO process that cannot be offset against the expected future IPO proceeds, as well as costs related to our preparations to operate as a stand-alone public company.</w:t>
      </w:r>
    </w:p>
    <w:p>
      <w:pPr>
        <w:spacing w:after="0" w:line="1" w:lineRule="exact"/>
        <w:rPr>
          <w:rFonts w:ascii="Arial" w:cs="Arial" w:eastAsia="Arial" w:hAnsi="Arial"/>
          <w:sz w:val="16"/>
          <w:szCs w:val="16"/>
          <w:color w:val="auto"/>
        </w:rPr>
      </w:pPr>
    </w:p>
    <w:p>
      <w:pPr>
        <w:ind w:left="1180" w:right="140" w:hanging="544"/>
        <w:spacing w:after="0" w:line="250"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7—Financial Instruments in our annual combined financial statements and Note 8—Financial Instruments in our interim condensed combined financial statements, each of which are included elsewhere in this prospectus.</w:t>
      </w:r>
    </w:p>
    <w:p>
      <w:pPr>
        <w:spacing w:after="0" w:line="1" w:lineRule="exact"/>
        <w:rPr>
          <w:rFonts w:ascii="Arial" w:cs="Arial" w:eastAsia="Arial" w:hAnsi="Arial"/>
          <w:sz w:val="18"/>
          <w:szCs w:val="18"/>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900" w:hanging="544"/>
        <w:spacing w:after="0" w:line="291" w:lineRule="auto"/>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jc w:val="both"/>
        <w:ind w:left="1180" w:right="320" w:hanging="544"/>
        <w:spacing w:after="0" w:line="255" w:lineRule="auto"/>
        <w:tabs>
          <w:tab w:leader="none" w:pos="11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 For further information, refer to Note 8—Benefit Plans in our annual combined financial statements and Note 9—Benefit Plans in our interim condensed combined financial statements, each of which are included elsewhere in this prospectus.</w:t>
      </w:r>
    </w:p>
    <w:p>
      <w:pPr>
        <w:spacing w:after="0" w:line="95" w:lineRule="exact"/>
        <w:rPr>
          <w:rFonts w:ascii="Arial" w:cs="Arial" w:eastAsia="Arial" w:hAnsi="Arial"/>
          <w:sz w:val="18"/>
          <w:szCs w:val="18"/>
          <w:color w:val="auto"/>
        </w:rPr>
      </w:pPr>
    </w:p>
    <w:p>
      <w:pPr>
        <w:ind w:left="640" w:right="220" w:hanging="436"/>
        <w:spacing w:after="0" w:line="259"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On January 1, 2019, we adopted ASC 842, using the modified retrospective method without the recasting of comparative periods’ financial information, as permitted by the transition guidance. Results as of and for the nine months ended September 30, 2019 are presented under ASC 842, while prior period amounts are not adjusted and continue to be reported under ASC 840, </w:t>
      </w:r>
      <w:r>
        <w:rPr>
          <w:rFonts w:ascii="Arial" w:cs="Arial" w:eastAsia="Arial" w:hAnsi="Arial"/>
          <w:sz w:val="18"/>
          <w:szCs w:val="18"/>
          <w:i w:val="1"/>
          <w:iCs w:val="1"/>
          <w:color w:val="auto"/>
        </w:rPr>
        <w:t>Leases</w:t>
      </w:r>
      <w:r>
        <w:rPr>
          <w:rFonts w:ascii="Arial" w:cs="Arial" w:eastAsia="Arial" w:hAnsi="Arial"/>
          <w:sz w:val="18"/>
          <w:szCs w:val="18"/>
          <w:color w:val="auto"/>
        </w:rPr>
        <w:t>, the accounting standard in effect for those periods presented.</w:t>
      </w:r>
    </w:p>
    <w:p>
      <w:pPr>
        <w:spacing w:after="0" w:line="92" w:lineRule="exact"/>
        <w:rPr>
          <w:rFonts w:ascii="Arial" w:cs="Arial" w:eastAsia="Arial" w:hAnsi="Arial"/>
          <w:sz w:val="18"/>
          <w:szCs w:val="18"/>
          <w:color w:val="auto"/>
        </w:rPr>
      </w:pPr>
    </w:p>
    <w:p>
      <w:pPr>
        <w:ind w:left="640" w:right="100" w:hanging="436"/>
        <w:spacing w:after="0" w:line="286"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historically operated as part of RGHL Group and not as a stand-alone public company. RGHL Group centrally managed substantially all of our financial resources for all of the periods presented. Accordingly, our historical operating, investing and financing cash flow data each includes significant related party transactions which may not have arisen had we been a stand-alone public company.</w:t>
      </w:r>
    </w:p>
    <w:p>
      <w:pPr>
        <w:spacing w:after="0" w:line="57" w:lineRule="exact"/>
        <w:rPr>
          <w:rFonts w:ascii="Arial" w:cs="Arial" w:eastAsia="Arial" w:hAnsi="Arial"/>
          <w:sz w:val="17"/>
          <w:szCs w:val="17"/>
          <w:color w:val="auto"/>
        </w:rPr>
      </w:pPr>
    </w:p>
    <w:p>
      <w:pPr>
        <w:ind w:left="640"/>
        <w:spacing w:after="0" w:line="291" w:lineRule="auto"/>
        <w:rPr>
          <w:rFonts w:ascii="Arial" w:cs="Arial" w:eastAsia="Arial" w:hAnsi="Arial"/>
          <w:sz w:val="17"/>
          <w:szCs w:val="17"/>
          <w:color w:val="auto"/>
        </w:rPr>
      </w:pPr>
      <w:r>
        <w:rPr>
          <w:rFonts w:ascii="Arial" w:cs="Arial" w:eastAsia="Arial" w:hAnsi="Arial"/>
          <w:sz w:val="16"/>
          <w:szCs w:val="16"/>
          <w:color w:val="auto"/>
        </w:rPr>
        <w:t>Our net cash provided by operating activities includes the impact of changes in related party receivables and payables that are not representative of the timing of settlement of trade balances on terms consistent with third party arrangements entered into in the normal course of business. Our net cash provided by operating activities also includes historical related party interest paid, net, related to arrangements with RGHL Group that will cease on or prior to the closing of this offering. Furthermore, as detailed in Note 2—Summary of Significant Accounting Policies of our annual combined financial statements included elsewhere in this prospectus, our U.S. operations were included in a consolidated U.S. federal tax return and the settlement of our U.S. federal current tax is recognized directly as a movement in Net Parent deficit. As a result, our net cash provided by operating activities does not include any cash outflow associated with the payment of U.S. federal tax.</w:t>
      </w:r>
    </w:p>
    <w:p>
      <w:pPr>
        <w:spacing w:after="0" w:line="59" w:lineRule="exact"/>
        <w:rPr>
          <w:rFonts w:ascii="Arial" w:cs="Arial" w:eastAsia="Arial" w:hAnsi="Arial"/>
          <w:sz w:val="17"/>
          <w:szCs w:val="17"/>
          <w:color w:val="auto"/>
        </w:rPr>
      </w:pPr>
    </w:p>
    <w:p>
      <w:pPr>
        <w:ind w:left="640" w:right="360"/>
        <w:spacing w:after="0" w:line="277" w:lineRule="auto"/>
        <w:rPr>
          <w:rFonts w:ascii="Arial" w:cs="Arial" w:eastAsia="Arial" w:hAnsi="Arial"/>
          <w:sz w:val="17"/>
          <w:szCs w:val="17"/>
          <w:color w:val="auto"/>
        </w:rPr>
      </w:pPr>
      <w:r>
        <w:rPr>
          <w:rFonts w:ascii="Arial" w:cs="Arial" w:eastAsia="Arial" w:hAnsi="Arial"/>
          <w:sz w:val="18"/>
          <w:szCs w:val="18"/>
          <w:color w:val="auto"/>
        </w:rPr>
        <w:t>The following table illustrates the impact of the timing of settlement of related party receivables and payables, as well as the settlement of our U.S. federal current tax directly through Net Parent deficit, on our net cash provided by operating activities.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related party accounts payable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Change in related party accounts receivable (excluding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related party interest receivable)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income tax payable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8"/>
              </w:rPr>
              <w:t>Net (decrease) increase in net cash provided by operating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activities due to the above items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173</w:t>
            </w:r>
          </w:p>
        </w:tc>
        <w:tc>
          <w:tcPr>
            <w:tcW w:w="2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The following table illustrates the impact of historical related party interest expense paid, net of related party interest income received on our net cash provided by operating activities.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w w:val="89"/>
              </w:rPr>
              <w:t>2019</w:t>
            </w: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2018</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2018</w:t>
            </w: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4"/>
          </w:tcPr>
          <w:p>
            <w:pPr>
              <w:jc w:val="center"/>
              <w:ind w:right="3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interest received (paid), net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(207)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40" w:right="300"/>
        <w:spacing w:after="0" w:line="264" w:lineRule="auto"/>
        <w:rPr>
          <w:sz w:val="20"/>
          <w:szCs w:val="20"/>
          <w:color w:val="auto"/>
        </w:rPr>
      </w:pPr>
      <w:r>
        <w:rPr>
          <w:rFonts w:ascii="Arial" w:cs="Arial" w:eastAsia="Arial" w:hAnsi="Arial"/>
          <w:sz w:val="18"/>
          <w:szCs w:val="18"/>
          <w:color w:val="auto"/>
        </w:rPr>
        <w:t>For further information regarding related party transactions reported within our cash flows from investing and financing activities, refer to our combined statements of cash flows in our annual combined financial statements and interim condensed combined financial statements, each of which is included elsewhere in this prospectus.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PRO FORMA COMBINED FINANCIAL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following unaudited pro forma combined financial data of RCP consist of unaudited pro forma combined statements of income for the nine months ended September 30, 2019 and for the year ended December 31, 2018, and an unaudited pro forma combined balance sheet as of September 30, 2019. The unaudited pro forma combined financial statements and the related notes should be read in conjunction with “Use of Proceeds,” “Capitalization,” “Selected Historical Combined Financial Data,” “Management’s Discussion and Analysis of Financial Condition and Results of Operations,” “Certain Relationships and Related Party Transactions,” and our audited and unaudited combined financial statements and the related notes included elsewhere in this prospectus.</w:t>
      </w:r>
    </w:p>
    <w:p>
      <w:pPr>
        <w:spacing w:after="0" w:line="193" w:lineRule="exact"/>
        <w:rPr>
          <w:sz w:val="20"/>
          <w:szCs w:val="20"/>
          <w:color w:val="auto"/>
        </w:rPr>
      </w:pPr>
    </w:p>
    <w:p>
      <w:pPr>
        <w:ind w:left="200" w:right="480" w:firstLine="441"/>
        <w:spacing w:after="0" w:line="286" w:lineRule="auto"/>
        <w:rPr>
          <w:sz w:val="20"/>
          <w:szCs w:val="20"/>
          <w:color w:val="auto"/>
        </w:rPr>
      </w:pPr>
      <w:r>
        <w:rPr>
          <w:rFonts w:ascii="Arial" w:cs="Arial" w:eastAsia="Arial" w:hAnsi="Arial"/>
          <w:sz w:val="17"/>
          <w:szCs w:val="17"/>
          <w:color w:val="auto"/>
        </w:rPr>
        <w:t>The unaudited pro forma combined statements of income give effect to the Pro Forma Transactions (as defined below) as if the Pro Forma Transactions had occurred or had become effective as of January 1, 2018. The unaudited pro forma combined balance sheet gives effect to the Pro Forma Transactions as if the Pro Forma Transactions had occurred or had become effective as of September 30, 2019.</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adjustments are based upon available information and certain assumptions that we believe are reasonable. The unaudited pro forma combined financial statements are for illustrative and informational purposes only and do not purport to represent what our financial position or results of operations would have been if we had operated as a stand-alone public company during the periods presented or if the transactions described below had actually occurred as of the dates indicated, nor does it project our financial position at any future date or our results of operations or cash flows for any future period.</w:t>
      </w:r>
    </w:p>
    <w:p>
      <w:pPr>
        <w:spacing w:after="0" w:line="18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unaudited pro forma statements of income and balance sheet have been derived from the historical annual combined and interim condensed combined financial statements included elsewhere in this prospectus. Our unaudited pro forma combined financial statements have been prepared to reflect adjustments to our historical combined financial statements that are: (1) directly attributable to the Pro Forma Transactions, (2) factually supportable and (3) with respect to the unaudited pro forma combined statements of income, expected to have a continuing impact on our results. The</w:t>
      </w:r>
    </w:p>
    <w:p>
      <w:pPr>
        <w:spacing w:after="0" w:line="2" w:lineRule="exact"/>
        <w:rPr>
          <w:sz w:val="20"/>
          <w:szCs w:val="20"/>
          <w:color w:val="auto"/>
        </w:rPr>
      </w:pPr>
    </w:p>
    <w:p>
      <w:pPr>
        <w:ind w:left="200"/>
        <w:spacing w:after="0"/>
        <w:tabs>
          <w:tab w:leader="none" w:pos="9480" w:val="left"/>
        </w:tabs>
        <w:rPr>
          <w:sz w:val="20"/>
          <w:szCs w:val="20"/>
          <w:color w:val="auto"/>
        </w:rPr>
      </w:pPr>
      <w:r>
        <w:rPr>
          <w:rFonts w:ascii="Arial" w:cs="Arial" w:eastAsia="Arial" w:hAnsi="Arial"/>
          <w:sz w:val="18"/>
          <w:szCs w:val="18"/>
          <w:color w:val="auto"/>
        </w:rPr>
        <w:t>unaudited pro forma combined financial statements do not include non-recurring items, including, but not limited to</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combined financial statements give effect to the following pro forma transactions (“Pro Forma Transactions”):</w:t>
      </w:r>
    </w:p>
    <w:p>
      <w:pPr>
        <w:spacing w:after="0" w:line="142" w:lineRule="exact"/>
        <w:rPr>
          <w:sz w:val="20"/>
          <w:szCs w:val="20"/>
          <w:color w:val="auto"/>
        </w:rPr>
      </w:pPr>
    </w:p>
    <w:p>
      <w:pPr>
        <w:ind w:left="960" w:hanging="3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execution of the RGHI TSA and the Rank TSA;</w:t>
      </w:r>
    </w:p>
    <w:p>
      <w:pPr>
        <w:spacing w:after="0" w:line="130" w:lineRule="exact"/>
        <w:rPr>
          <w:rFonts w:ascii="Arial" w:cs="Arial" w:eastAsia="Arial" w:hAnsi="Arial"/>
          <w:sz w:val="18"/>
          <w:szCs w:val="18"/>
          <w:color w:val="auto"/>
        </w:rPr>
      </w:pPr>
    </w:p>
    <w:p>
      <w:pPr>
        <w:ind w:left="960" w:right="20" w:hanging="324"/>
        <w:spacing w:after="0" w:line="264"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w:t>
      </w:r>
    </w:p>
    <w:p>
      <w:pPr>
        <w:spacing w:after="0" w:line="86" w:lineRule="exact"/>
        <w:rPr>
          <w:rFonts w:ascii="Arial" w:cs="Arial" w:eastAsia="Arial" w:hAnsi="Arial"/>
          <w:sz w:val="18"/>
          <w:szCs w:val="18"/>
          <w:color w:val="auto"/>
        </w:rPr>
      </w:pPr>
    </w:p>
    <w:p>
      <w:pPr>
        <w:ind w:left="960" w:right="40" w:hanging="324"/>
        <w:spacing w:after="0" w:line="264"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the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960" w:right="760" w:hanging="324"/>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960" w:right="540" w:hanging="324"/>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consummation of the Stock Split;</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entry into the New Credit Facilities and the incurrence of debt under the New Term Loan Facility and the IPO Settlement Facility;</w:t>
      </w:r>
    </w:p>
    <w:p>
      <w:pPr>
        <w:spacing w:after="0" w:line="16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420" w:hanging="324"/>
        <w:spacing w:after="0" w:line="308"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repayment of certain related party borrowings owing to RGHL Group and the capitalization, as additional paid-in capital without the issuance of any additional shares, of the remaining balance of the related party borrowings owing to RGHL Group;</w:t>
      </w:r>
    </w:p>
    <w:p>
      <w:pPr>
        <w:spacing w:after="0" w:line="51" w:lineRule="exact"/>
        <w:rPr>
          <w:rFonts w:ascii="Arial" w:cs="Arial" w:eastAsia="Arial" w:hAnsi="Arial"/>
          <w:sz w:val="17"/>
          <w:szCs w:val="17"/>
          <w:color w:val="auto"/>
        </w:rPr>
      </w:pPr>
    </w:p>
    <w:p>
      <w:pPr>
        <w:ind w:left="960" w:right="620" w:hanging="324"/>
        <w:spacing w:after="0" w:line="308"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reorganization of our equity holdings such that RGHL Group will transfer its interests in us to PFL and, as such, ownership of our common stock will be held outside the group of entities that will represent RGHL Group after this offering;</w:t>
      </w:r>
    </w:p>
    <w:p>
      <w:pPr>
        <w:sectPr>
          <w:pgSz w:w="11900" w:h="16838" w:orient="portrait"/>
          <w:cols w:equalWidth="0" w:num="1">
            <w:col w:w="11200"/>
          </w:cols>
          <w:pgMar w:left="240" w:top="459" w:right="459" w:bottom="1440" w:gutter="0" w:footer="0" w:header="0"/>
        </w:sectPr>
      </w:pPr>
    </w:p>
    <w:p>
      <w:pPr>
        <w:spacing w:after="0" w:line="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sale by us of shares of common stock in this offering, at an assumed initial public offering price of $ per share, the midpoint of the range set forth on the cover page of this prospectus, representing the receipt of $ in net proceeds after deducting the underwriting</w:t>
      </w:r>
    </w:p>
    <w:p>
      <w:pPr>
        <w:spacing w:after="0" w:line="1" w:lineRule="exact"/>
        <w:rPr>
          <w:sz w:val="20"/>
          <w:szCs w:val="20"/>
          <w:color w:val="auto"/>
        </w:rPr>
      </w:pPr>
    </w:p>
    <w:p>
      <w:pPr>
        <w:sectPr>
          <w:pgSz w:w="11900" w:h="16838" w:orient="portrait"/>
          <w:cols w:equalWidth="0" w:num="2">
            <w:col w:w="700" w:space="260"/>
            <w:col w:w="10240"/>
          </w:cols>
          <w:pgMar w:left="240" w:top="459" w:right="459" w:bottom="1440" w:gutter="0" w:footer="0" w:header="0"/>
          <w:type w:val="continuous"/>
        </w:sectPr>
      </w:pPr>
    </w:p>
    <w:p>
      <w:pPr>
        <w:ind w:left="960" w:right="20"/>
        <w:spacing w:after="0" w:line="261" w:lineRule="auto"/>
        <w:rPr>
          <w:sz w:val="20"/>
          <w:szCs w:val="20"/>
          <w:color w:val="auto"/>
        </w:rPr>
      </w:pPr>
      <w:r>
        <w:rPr>
          <w:rFonts w:ascii="Arial" w:cs="Arial" w:eastAsia="Arial" w:hAnsi="Arial"/>
          <w:sz w:val="18"/>
          <w:szCs w:val="18"/>
          <w:color w:val="auto"/>
        </w:rPr>
        <w:t>discount and the estimated offering expenses payable by us, as well as the application of such net proceeds as described in “Use of Proceeds”; and</w:t>
      </w:r>
    </w:p>
    <w:p>
      <w:pPr>
        <w:spacing w:after="0" w:line="89" w:lineRule="exact"/>
        <w:rPr>
          <w:sz w:val="20"/>
          <w:szCs w:val="20"/>
          <w:color w:val="auto"/>
        </w:rPr>
      </w:pPr>
    </w:p>
    <w:p>
      <w:pPr>
        <w:ind w:left="960" w:hanging="3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the IPO Grants.</w:t>
      </w:r>
    </w:p>
    <w:p>
      <w:pPr>
        <w:spacing w:after="0" w:line="225"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RGHL Group currently provides certain corporate services to us, and costs associated with these functions have been allocated to us. These allocations include costs related to corporate services, such as executive management, information technology, legal, finance and accounting, human resources, risk management, tax, treasury and other services. Following the closing of this offering, we expect RGHL Group and Rank to continue to provide many of these services on a fee basis under the RGHI TSA and the Rank TSA described in “Certain Relationships and Related Party Transactions—Transactions to be Entered into in Connection with this Offering.”</w:t>
      </w:r>
    </w:p>
    <w:p>
      <w:pPr>
        <w:spacing w:after="0" w:line="18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Upon the closing of this offering, we will assume responsibility for all of our stand-alone public company costs, including the costs of certain corporate services currently provided by RGHL Group. We estimate that our annual selling, general and administrative expenses for these costs will be</w:t>
      </w:r>
    </w:p>
    <w:p>
      <w:pPr>
        <w:ind w:left="200" w:right="40"/>
        <w:spacing w:after="0" w:line="265" w:lineRule="auto"/>
        <w:rPr>
          <w:sz w:val="20"/>
          <w:szCs w:val="20"/>
          <w:color w:val="auto"/>
        </w:rPr>
      </w:pPr>
      <w:r>
        <w:rPr>
          <w:rFonts w:ascii="Arial" w:cs="Arial" w:eastAsia="Arial" w:hAnsi="Arial"/>
          <w:sz w:val="17"/>
          <w:szCs w:val="17"/>
          <w:color w:val="auto"/>
        </w:rPr>
        <w:t>approximately $ million (representing approximately $ million of annual costs incremental to the 2018 allocated costs referred to above). In addition, as we transition away from the corporate services currently provided by RGHL Group, we believe that we may incur $ million to</w:t>
      </w:r>
    </w:p>
    <w:p>
      <w:pPr>
        <w:ind w:left="880" w:hanging="676"/>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million of non-recurring transitional costs in both 2019 and 2020 to establish our own stand-alone corporate functions.</w:t>
      </w:r>
    </w:p>
    <w:p>
      <w:pPr>
        <w:spacing w:after="0" w:line="21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addition, in connection with this offering, we will establish the 2020 incentive award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equity incentive awards granted pursuant</w:t>
      </w:r>
    </w:p>
    <w:p>
      <w:pPr>
        <w:ind w:left="200" w:right="220"/>
        <w:spacing w:after="0" w:line="277" w:lineRule="auto"/>
        <w:rPr>
          <w:sz w:val="20"/>
          <w:szCs w:val="20"/>
          <w:color w:val="auto"/>
        </w:rPr>
      </w:pPr>
      <w:r>
        <w:rPr>
          <w:rFonts w:ascii="Arial" w:cs="Arial" w:eastAsia="Arial" w:hAnsi="Arial"/>
          <w:sz w:val="17"/>
          <w:szCs w:val="17"/>
          <w:color w:val="auto"/>
        </w:rPr>
        <w:t>to the plan is expected to equal shares. Upon the granting of stock-based compensation awards, and the vesting of such awards, we will recognize stock-based compensation expense. Historically, we have not granted any stock-based compensation awards. No adjustment has been made for these future equity incentive plan awards because the timing and amount of the awards to be granted is uncertain.</w:t>
      </w:r>
    </w:p>
    <w:p>
      <w:pPr>
        <w:spacing w:after="0" w:line="17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unaudited pro forma combined statements of income also exclude certain non-recurring items that we expect to incur in connection with the Corporate Reorganization and this offering, including costs related to legal, accounting and other professional fees. We have incurred costs totaling $12</w:t>
      </w:r>
    </w:p>
    <w:p>
      <w:pPr>
        <w:ind w:left="200" w:right="140"/>
        <w:spacing w:after="0" w:line="261" w:lineRule="auto"/>
        <w:rPr>
          <w:sz w:val="20"/>
          <w:szCs w:val="20"/>
          <w:color w:val="auto"/>
        </w:rPr>
      </w:pPr>
      <w:r>
        <w:rPr>
          <w:rFonts w:ascii="Arial" w:cs="Arial" w:eastAsia="Arial" w:hAnsi="Arial"/>
          <w:sz w:val="18"/>
          <w:szCs w:val="18"/>
          <w:color w:val="auto"/>
        </w:rPr>
        <w:t>million for transaction-related services during the nine months ended September 30, 2019 and we estimate an additional $ million to $ million will be incurred in 2019. We expect all of these costs to be expensed, as incurred.</w:t>
      </w:r>
    </w:p>
    <w:p>
      <w:pPr>
        <w:spacing w:after="0" w:line="18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Due to the scope and complexity of these activities, the amount of these estimated costs could increase or decrease materially and the timing of when they are incurred could change.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above incremental stand-alone public company costs and non-recurring transition costs are not reflected in our unaudited pro forma combined financial statements as such amounts are estimates and not factually supportable.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Balance Sheet 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Combined</w:t>
            </w:r>
          </w:p>
        </w:tc>
        <w:tc>
          <w:tcPr>
            <w:tcW w:w="1560" w:type="dxa"/>
            <w:vAlign w:val="bottom"/>
            <w:gridSpan w:val="3"/>
          </w:tcPr>
          <w:p>
            <w:pPr>
              <w:ind w:left="26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87"/>
              </w:rPr>
              <w:t>Cash and cash equivalents</w:t>
            </w:r>
          </w:p>
        </w:tc>
        <w:tc>
          <w:tcPr>
            <w:tcW w:w="510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6"/>
              </w:rPr>
              <w:t>Accounts receivable, net</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271</w:t>
            </w:r>
            <w:r>
              <w:rPr>
                <w:rFonts w:ascii="Arial" w:cs="Arial" w:eastAsia="Arial" w:hAnsi="Arial"/>
                <w:sz w:val="15"/>
                <w:szCs w:val="15"/>
                <w:color w:val="auto"/>
              </w:rPr>
              <w:t>(e)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Other receivables</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3"/>
              </w:rPr>
              <w:t>Related party receivables</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Inventories</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Other assets</w:t>
            </w:r>
          </w:p>
        </w:tc>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Related party payables</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(51)</w:t>
            </w:r>
            <w:r>
              <w:rPr>
                <w:rFonts w:ascii="Arial" w:cs="Arial" w:eastAsia="Arial" w:hAnsi="Arial"/>
                <w:sz w:val="15"/>
                <w:szCs w:val="15"/>
                <w:color w:val="auto"/>
              </w:rPr>
              <w: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accrued interest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related party borrowings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Income taxes payable</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9"/>
              </w:rPr>
              <w:t>Total current liabilities</w:t>
            </w:r>
          </w:p>
        </w:tc>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Long-term related party borrowings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3"/>
              <w:spacing w:after="0"/>
              <w:rPr>
                <w:sz w:val="20"/>
                <w:szCs w:val="20"/>
                <w:color w:val="auto"/>
              </w:rPr>
            </w:pPr>
            <w:r>
              <w:rPr>
                <w:rFonts w:ascii="Arial" w:cs="Arial" w:eastAsia="Arial" w:hAnsi="Arial"/>
                <w:sz w:val="18"/>
                <w:szCs w:val="18"/>
                <w:color w:val="auto"/>
              </w:rPr>
              <w:t>(2,147)</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postretirement benefit obligation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Other liabilities</w:t>
            </w:r>
          </w:p>
        </w:tc>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Net Parent (deficit)</w:t>
            </w:r>
          </w:p>
        </w:tc>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6"/>
              </w:rPr>
              <w:t>807</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w w:val="87"/>
              </w:rPr>
              <w:t>(g)</w:t>
            </w: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Stockholders’ Equity:</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5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shares authorized, $0.001 par value; shares issued and outstanding</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 pro forma basis</w:t>
            </w:r>
          </w:p>
        </w:tc>
        <w:tc>
          <w:tcPr>
            <w:tcW w:w="5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7"/>
              </w:rPr>
              <w:t>Additional paid-in capital</w:t>
            </w:r>
          </w:p>
        </w:tc>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0"/>
              </w:rPr>
              <w:t>Retained earnings (deficit)</w:t>
            </w:r>
          </w:p>
        </w:tc>
        <w:tc>
          <w:tcPr>
            <w:tcW w:w="5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Total equity (deficit)</w:t>
            </w:r>
          </w:p>
        </w:tc>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Combined Financial Data.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Income For the Nine Months Ended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860" w:type="dxa"/>
            <w:vAlign w:val="bottom"/>
            <w:gridSpan w:val="4"/>
          </w:tcPr>
          <w:p>
            <w:pPr>
              <w:ind w:left="3900"/>
              <w:spacing w:after="0"/>
              <w:rPr>
                <w:sz w:val="20"/>
                <w:szCs w:val="20"/>
                <w:color w:val="auto"/>
              </w:rPr>
            </w:pPr>
            <w:r>
              <w:rPr>
                <w:rFonts w:ascii="Arial" w:cs="Arial" w:eastAsia="Arial" w:hAnsi="Arial"/>
                <w:sz w:val="14"/>
                <w:szCs w:val="14"/>
                <w:b w:val="1"/>
                <w:bCs w:val="1"/>
                <w:color w:val="auto"/>
              </w:rPr>
              <w:t>Combined</w:t>
            </w:r>
          </w:p>
        </w:tc>
        <w:tc>
          <w:tcPr>
            <w:tcW w:w="1560" w:type="dxa"/>
            <w:vAlign w:val="bottom"/>
            <w:gridSpan w:val="3"/>
          </w:tcPr>
          <w:p>
            <w:pPr>
              <w:ind w:left="28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3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sales</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(1,580)</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22</w:t>
            </w:r>
            <w:r>
              <w:rPr>
                <w:rFonts w:ascii="Arial" w:cs="Arial" w:eastAsia="Arial" w:hAnsi="Arial"/>
                <w:sz w:val="15"/>
                <w:szCs w:val="15"/>
                <w:color w:val="auto"/>
              </w:rPr>
              <w:t>(e)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Diluted</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Basic</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w w:val="97"/>
              </w:rPr>
              <w:t>Unaudited Pro Forma Combined Statement of</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w w:val="95"/>
              </w:rPr>
              <w:t>Income For the Year Ended December 31, 2018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02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w w:val="97"/>
              </w:rPr>
              <w:t>(In Millions, Except Share and Per Share Data)</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860" w:type="dxa"/>
            <w:vAlign w:val="bottom"/>
            <w:gridSpan w:val="4"/>
          </w:tcPr>
          <w:p>
            <w:pPr>
              <w:ind w:left="3900"/>
              <w:spacing w:after="0"/>
              <w:rPr>
                <w:sz w:val="20"/>
                <w:szCs w:val="20"/>
                <w:color w:val="auto"/>
              </w:rPr>
            </w:pPr>
            <w:r>
              <w:rPr>
                <w:rFonts w:ascii="Arial" w:cs="Arial" w:eastAsia="Arial" w:hAnsi="Arial"/>
                <w:sz w:val="14"/>
                <w:szCs w:val="14"/>
                <w:b w:val="1"/>
                <w:bCs w:val="1"/>
                <w:color w:val="auto"/>
              </w:rPr>
              <w:t>Combined</w:t>
            </w:r>
          </w:p>
        </w:tc>
        <w:tc>
          <w:tcPr>
            <w:tcW w:w="1560" w:type="dxa"/>
            <w:vAlign w:val="bottom"/>
            <w:gridSpan w:val="3"/>
          </w:tcPr>
          <w:p>
            <w:pPr>
              <w:ind w:left="28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3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3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sales</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(2,310)</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Diluted</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Basic</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Combined Financial Data.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Pro Forma Combined Financial Data</w:t>
      </w:r>
    </w:p>
    <w:p>
      <w:pPr>
        <w:spacing w:after="0" w:line="225"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Existing External Indebtedness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adjustment to the unaudited pro forma combined balance sheet as of September 30, 2019 has been made to reflect (i) the reallocation of $2,016 million of long-term debt that is outstanding under the RGHL Group Credit Agreement, and our subsequent release as a borrower and guarantor of this facility, in exchange for an increase in our related party borrowings, and (ii) the subsequent settlement of the related party borrowings. Refer to (c) for further details.</w:t>
      </w:r>
    </w:p>
    <w:p>
      <w:pPr>
        <w:spacing w:after="0" w:line="18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the year ended December 31, 2018 has been made to eliminate the interest expense related to our existing external indebtedness, as if it had been reallocated on January 1, 2018. Refer to (c) for further details.</w:t>
      </w:r>
    </w:p>
    <w:p>
      <w:pPr>
        <w:spacing w:after="0" w:line="285"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Existing Related Party Borrowings and Related Party Accrued Interest Payable</w:t>
      </w:r>
    </w:p>
    <w:p>
      <w:pPr>
        <w:spacing w:after="0" w:line="121"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An adjustment to the unaudited pro forma combined balance sheet as of September 30, 2019 has been made to reflect the settlement of $2,148 million of related party borrowings and $42 million of related party accrued interest payable to RGHL Group as part of the Corporate Reorganization.</w:t>
      </w:r>
    </w:p>
    <w:p>
      <w:pPr>
        <w:spacing w:after="0" w:line="124"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the year ended December 31, 2018 has been made to eliminate the interest expense, net related to our related party borrowings and receivables, as if they had been settled on January 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related party borrowings: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360" w:type="dxa"/>
            <w:vAlign w:val="bottom"/>
            <w:gridSpan w:val="4"/>
          </w:tcPr>
          <w:p>
            <w:pPr>
              <w:ind w:left="25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6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rPr>
              <w:t>Increase in related party borrowings as a result of the reallocation of indebtedness outstanding under the RGHL Group Credit</w:t>
            </w: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Agreement, as described in (a)</w:t>
            </w: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40" w:type="dxa"/>
            <w:vAlign w:val="bottom"/>
            <w:gridSpan w:val="6"/>
          </w:tcPr>
          <w:p>
            <w:pPr>
              <w:spacing w:after="0" w:line="201" w:lineRule="exact"/>
              <w:rPr>
                <w:sz w:val="20"/>
                <w:szCs w:val="20"/>
                <w:color w:val="auto"/>
              </w:rPr>
            </w:pPr>
            <w:r>
              <w:rPr>
                <w:rFonts w:ascii="Arial" w:cs="Arial" w:eastAsia="Arial" w:hAnsi="Arial"/>
                <w:sz w:val="18"/>
                <w:szCs w:val="18"/>
                <w:color w:val="auto"/>
              </w:rPr>
              <w:t>Increase in related party borrowings to fund the purchase of U.S. trade receivables previously sold through RGHL Group’s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securitization facility, as described in (e)</w:t>
            </w: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Increase in related party borrowings in conjunction with plant and asset transfers, as described in (e)</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w w:val="91"/>
              </w:rPr>
              <w:t>Increase in related party borrowings in conjunction with the legal entity reorganization, as described in (g)</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Increase in related party borrowings from the offset with related party trade receivables and payables, as described in (e)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9"/>
              </w:rPr>
              <w:t>Decrease in related party borrowings from the use of cash, as described in (d)</w:t>
            </w:r>
          </w:p>
        </w:tc>
        <w:tc>
          <w:tcPr>
            <w:tcW w:w="1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Decrease in related party borrowings from the capitalization of the remaining balance, as additional paid-in capital without the</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issuance of any additional shares, as described in (g)</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80" w:type="dxa"/>
            <w:vAlign w:val="bottom"/>
            <w:gridSpan w:val="5"/>
          </w:tcPr>
          <w:p>
            <w:pPr>
              <w:spacing w:after="0"/>
              <w:rPr>
                <w:sz w:val="20"/>
                <w:szCs w:val="20"/>
                <w:color w:val="auto"/>
              </w:rPr>
            </w:pPr>
            <w:r>
              <w:rPr>
                <w:rFonts w:ascii="Arial" w:cs="Arial" w:eastAsia="Arial" w:hAnsi="Arial"/>
                <w:sz w:val="18"/>
                <w:szCs w:val="18"/>
                <w:color w:val="auto"/>
                <w:w w:val="92"/>
              </w:rPr>
              <w:t>Net adjustment to related party borrowings, comprising $1 million current and $2,147 million non-current</w:t>
            </w:r>
          </w:p>
        </w:tc>
        <w:tc>
          <w:tcPr>
            <w:tcW w:w="2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  New Credit Facilities</w:t>
            </w: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58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660" w:type="dxa"/>
            <w:vAlign w:val="bottom"/>
            <w:gridSpan w:val="4"/>
          </w:tcPr>
          <w:p>
            <w:pPr>
              <w:ind w:left="420"/>
              <w:spacing w:after="0"/>
              <w:rPr>
                <w:sz w:val="20"/>
                <w:szCs w:val="20"/>
                <w:color w:val="auto"/>
              </w:rPr>
            </w:pPr>
            <w:r>
              <w:rPr>
                <w:rFonts w:ascii="Arial" w:cs="Arial" w:eastAsia="Arial" w:hAnsi="Arial"/>
                <w:sz w:val="18"/>
                <w:szCs w:val="18"/>
                <w:color w:val="auto"/>
              </w:rPr>
              <w:t>Prior to the closing of this offering, we will enter into the New Credit Facilities and incur $</w:t>
            </w:r>
          </w:p>
        </w:tc>
        <w:tc>
          <w:tcPr>
            <w:tcW w:w="3360" w:type="dxa"/>
            <w:vAlign w:val="bottom"/>
            <w:gridSpan w:val="4"/>
          </w:tcPr>
          <w:p>
            <w:pPr>
              <w:jc w:val="right"/>
              <w:ind w:right="280"/>
              <w:spacing w:after="0"/>
              <w:rPr>
                <w:sz w:val="20"/>
                <w:szCs w:val="20"/>
                <w:color w:val="auto"/>
              </w:rPr>
            </w:pPr>
            <w:r>
              <w:rPr>
                <w:rFonts w:ascii="Arial" w:cs="Arial" w:eastAsia="Arial" w:hAnsi="Arial"/>
                <w:sz w:val="18"/>
                <w:szCs w:val="18"/>
                <w:color w:val="auto"/>
                <w:w w:val="95"/>
              </w:rPr>
              <w:t>million of deferred financing transaction</w:t>
            </w:r>
          </w:p>
        </w:tc>
        <w:tc>
          <w:tcPr>
            <w:tcW w:w="0" w:type="dxa"/>
            <w:vAlign w:val="bottom"/>
          </w:tcPr>
          <w:p>
            <w:pPr>
              <w:spacing w:after="0"/>
              <w:rPr>
                <w:sz w:val="1"/>
                <w:szCs w:val="1"/>
                <w:color w:val="auto"/>
              </w:rPr>
            </w:pP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w w:val="95"/>
              </w:rPr>
              <w:t>costs. In connection with our entrance into the New Credit Facilities we will incur $</w:t>
            </w:r>
          </w:p>
        </w:tc>
        <w:tc>
          <w:tcPr>
            <w:tcW w:w="4800" w:type="dxa"/>
            <w:vAlign w:val="bottom"/>
            <w:gridSpan w:val="5"/>
          </w:tcPr>
          <w:p>
            <w:pPr>
              <w:jc w:val="right"/>
              <w:ind w:right="280"/>
              <w:spacing w:after="0"/>
              <w:rPr>
                <w:sz w:val="20"/>
                <w:szCs w:val="20"/>
                <w:color w:val="auto"/>
              </w:rPr>
            </w:pPr>
            <w:r>
              <w:rPr>
                <w:rFonts w:ascii="Arial" w:cs="Arial" w:eastAsia="Arial" w:hAnsi="Arial"/>
                <w:sz w:val="18"/>
                <w:szCs w:val="18"/>
                <w:color w:val="auto"/>
                <w:w w:val="96"/>
              </w:rPr>
              <w:t>million of indebtedness under the New Term Loan Facility</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w w:val="98"/>
              </w:rPr>
              <w:t>resulting in interest expense of $</w:t>
            </w: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w w:val="97"/>
              </w:rPr>
              <w:t>million annually (based on an assumed constant interest rate of</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w w:val="96"/>
              </w:rPr>
              <w:t>% for the period), including annual</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w w:val="99"/>
              </w:rPr>
              <w:t>amortization of deferred financing transaction costs of $</w:t>
            </w:r>
          </w:p>
        </w:tc>
        <w:tc>
          <w:tcPr>
            <w:tcW w:w="6640" w:type="dxa"/>
            <w:vAlign w:val="bottom"/>
            <w:gridSpan w:val="6"/>
          </w:tcPr>
          <w:p>
            <w:pPr>
              <w:jc w:val="right"/>
              <w:spacing w:after="0"/>
              <w:rPr>
                <w:sz w:val="20"/>
                <w:szCs w:val="20"/>
                <w:color w:val="auto"/>
              </w:rPr>
            </w:pPr>
            <w:r>
              <w:rPr>
                <w:rFonts w:ascii="Arial" w:cs="Arial" w:eastAsia="Arial" w:hAnsi="Arial"/>
                <w:sz w:val="18"/>
                <w:szCs w:val="18"/>
                <w:color w:val="auto"/>
                <w:w w:val="90"/>
              </w:rPr>
              <w:t>million. A change of 12.5 basis points to the assumed annual interest rate of the New Term</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2"/>
              </w:rPr>
              <w:t>Loan Facility would change pro forma interest expense by $</w:t>
            </w: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58</w:t>
            </w:r>
          </w:p>
        </w:tc>
        <w:tc>
          <w:tcPr>
            <w:tcW w:w="1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million annually. We expect the New Revolving Facility to be undrawn upon closing of this offering. See “Management’s Discussion and Analysis of Financial Condition and Results of Operations—Sources of Liquidity” for a more detailed description of the New Credit Facilities.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long-term debt: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78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w w:val="95"/>
              </w:rPr>
              <w:t>Reallocation of outstanding debt incurred under the RGHL Group Credit Agreement, comprising the current portion of $21 million</w:t>
            </w: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the non-current portion of $1,995 million</w:t>
            </w:r>
          </w:p>
        </w:tc>
        <w:tc>
          <w:tcPr>
            <w:tcW w:w="20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2"/>
          </w:tcPr>
          <w:p>
            <w:pPr>
              <w:spacing w:after="0" w:line="201" w:lineRule="exact"/>
              <w:rPr>
                <w:sz w:val="20"/>
                <w:szCs w:val="20"/>
                <w:color w:val="auto"/>
              </w:rPr>
            </w:pPr>
            <w:r>
              <w:rPr>
                <w:rFonts w:ascii="Arial" w:cs="Arial" w:eastAsia="Arial" w:hAnsi="Arial"/>
                <w:sz w:val="18"/>
                <w:szCs w:val="18"/>
                <w:color w:val="auto"/>
                <w:w w:val="92"/>
              </w:rPr>
              <w:t>Incurrence of debt under the New Term Loan Facility, presented as a current portion of $</w:t>
            </w:r>
          </w:p>
        </w:tc>
        <w:tc>
          <w:tcPr>
            <w:tcW w:w="3220" w:type="dxa"/>
            <w:vAlign w:val="bottom"/>
            <w:gridSpan w:val="3"/>
          </w:tcPr>
          <w:p>
            <w:pPr>
              <w:jc w:val="right"/>
              <w:ind w:right="440"/>
              <w:spacing w:after="0" w:line="201" w:lineRule="exact"/>
              <w:rPr>
                <w:sz w:val="20"/>
                <w:szCs w:val="20"/>
                <w:color w:val="auto"/>
              </w:rPr>
            </w:pPr>
            <w:r>
              <w:rPr>
                <w:rFonts w:ascii="Arial" w:cs="Arial" w:eastAsia="Arial" w:hAnsi="Arial"/>
                <w:sz w:val="18"/>
                <w:szCs w:val="18"/>
                <w:color w:val="auto"/>
                <w:w w:val="99"/>
              </w:rPr>
              <w:t>million and a non-current portion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20" w:type="dxa"/>
            <w:vAlign w:val="bottom"/>
          </w:tcPr>
          <w:p>
            <w:pPr>
              <w:ind w:left="280"/>
              <w:spacing w:after="0"/>
              <w:rPr>
                <w:sz w:val="20"/>
                <w:szCs w:val="20"/>
                <w:color w:val="auto"/>
              </w:rPr>
            </w:pPr>
            <w:r>
              <w:rPr>
                <w:rFonts w:ascii="Arial" w:cs="Arial" w:eastAsia="Arial" w:hAnsi="Arial"/>
                <w:sz w:val="18"/>
                <w:szCs w:val="18"/>
                <w:color w:val="auto"/>
              </w:rPr>
              <w:t>million</w:t>
            </w:r>
          </w:p>
        </w:tc>
        <w:tc>
          <w:tcPr>
            <w:tcW w:w="2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Incurrence of debt under the IPO Settlement Facility</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Repayment of the IPO Settlement Facility</w:t>
            </w: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transaction costs associated with the New Credit Facilities</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3"/>
          </w:tcPr>
          <w:p>
            <w:pPr>
              <w:spacing w:after="0"/>
              <w:rPr>
                <w:sz w:val="20"/>
                <w:szCs w:val="20"/>
                <w:color w:val="auto"/>
              </w:rPr>
            </w:pPr>
            <w:r>
              <w:rPr>
                <w:rFonts w:ascii="Arial" w:cs="Arial" w:eastAsia="Arial" w:hAnsi="Arial"/>
                <w:sz w:val="18"/>
                <w:szCs w:val="18"/>
                <w:color w:val="auto"/>
              </w:rPr>
              <w:t>Net adjustment to long-term debt</w:t>
            </w:r>
          </w:p>
        </w:tc>
        <w:tc>
          <w:tcPr>
            <w:tcW w:w="2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20" w:type="dxa"/>
            <w:vAlign w:val="bottom"/>
            <w:vMerge w:val="restart"/>
          </w:tcPr>
          <w:p>
            <w:pPr>
              <w:ind w:left="80"/>
              <w:spacing w:after="0"/>
              <w:rPr>
                <w:sz w:val="20"/>
                <w:szCs w:val="20"/>
                <w:color w:val="auto"/>
              </w:rPr>
            </w:pPr>
            <w:r>
              <w:rPr>
                <w:rFonts w:ascii="Arial" w:cs="Arial" w:eastAsia="Arial" w:hAnsi="Arial"/>
                <w:sz w:val="18"/>
                <w:szCs w:val="18"/>
                <w:color w:val="auto"/>
                <w:w w:val="96"/>
              </w:rPr>
              <w:t>The following table presents the pro forma adjustments to interest expense, net:</w:t>
            </w:r>
          </w:p>
        </w:tc>
        <w:tc>
          <w:tcPr>
            <w:tcW w:w="2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Nine months</w:t>
            </w:r>
          </w:p>
        </w:tc>
        <w:tc>
          <w:tcPr>
            <w:tcW w:w="280" w:type="dxa"/>
            <w:vAlign w:val="bottom"/>
          </w:tcPr>
          <w:p>
            <w:pPr>
              <w:spacing w:after="0"/>
              <w:rPr>
                <w:sz w:val="24"/>
                <w:szCs w:val="24"/>
                <w:color w:val="auto"/>
              </w:rPr>
            </w:pPr>
          </w:p>
        </w:tc>
        <w:tc>
          <w:tcPr>
            <w:tcW w:w="9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2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220" w:type="dxa"/>
            <w:vAlign w:val="bottom"/>
            <w:gridSpan w:val="3"/>
          </w:tcPr>
          <w:p>
            <w:pPr>
              <w:jc w:val="center"/>
              <w:ind w:left="153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5"/>
          </w:tcPr>
          <w:p>
            <w:pPr>
              <w:jc w:val="center"/>
              <w:ind w:left="7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80" w:type="dxa"/>
            <w:vAlign w:val="bottom"/>
            <w:gridSpan w:val="2"/>
          </w:tcPr>
          <w:p>
            <w:pPr>
              <w:jc w:val="center"/>
              <w:ind w:left="1875"/>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4"/>
                <w:szCs w:val="14"/>
                <w:color w:val="auto"/>
              </w:rPr>
            </w:pPr>
          </w:p>
        </w:tc>
        <w:tc>
          <w:tcPr>
            <w:tcW w:w="1120" w:type="dxa"/>
            <w:vAlign w:val="bottom"/>
            <w:gridSpan w:val="3"/>
          </w:tcPr>
          <w:p>
            <w:pPr>
              <w:jc w:val="center"/>
              <w:ind w:left="195"/>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340" w:type="dxa"/>
            <w:vAlign w:val="bottom"/>
            <w:tcBorders>
              <w:top w:val="single" w:sz="8" w:color="auto"/>
            </w:tcBorders>
            <w:gridSpan w:val="5"/>
          </w:tcPr>
          <w:p>
            <w:pPr>
              <w:jc w:val="right"/>
              <w:ind w:right="71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Term Loan Facility</w:t>
            </w:r>
          </w:p>
        </w:tc>
        <w:tc>
          <w:tcPr>
            <w:tcW w:w="28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RGHL Group Credit Agreement—U.S. Term Loan</w:t>
            </w:r>
          </w:p>
        </w:tc>
        <w:tc>
          <w:tcPr>
            <w:tcW w:w="3220" w:type="dxa"/>
            <w:vAlign w:val="bottom"/>
            <w:gridSpan w:val="3"/>
          </w:tcPr>
          <w:p>
            <w:pPr>
              <w:jc w:val="right"/>
              <w:ind w:right="300"/>
              <w:spacing w:after="0"/>
              <w:rPr>
                <w:sz w:val="20"/>
                <w:szCs w:val="20"/>
                <w:color w:val="auto"/>
              </w:rPr>
            </w:pPr>
            <w:r>
              <w:rPr>
                <w:rFonts w:ascii="Arial" w:cs="Arial" w:eastAsia="Arial" w:hAnsi="Arial"/>
                <w:sz w:val="18"/>
                <w:szCs w:val="18"/>
                <w:color w:val="auto"/>
              </w:rPr>
              <w:t>(78)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related party borrowings</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Interest income, related party receivables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20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00"/>
        <w:spacing w:after="0"/>
        <w:tabs>
          <w:tab w:leader="none" w:pos="8740" w:val="left"/>
        </w:tabs>
        <w:rPr>
          <w:sz w:val="20"/>
          <w:szCs w:val="20"/>
          <w:color w:val="auto"/>
        </w:rPr>
      </w:pPr>
      <w:r>
        <w:rPr>
          <w:rFonts w:ascii="Arial" w:cs="Arial" w:eastAsia="Arial" w:hAnsi="Arial"/>
          <w:sz w:val="18"/>
          <w:szCs w:val="18"/>
          <w:color w:val="auto"/>
        </w:rPr>
        <w:t>Net adjustment to interest expense, net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5575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31750</wp:posOffset>
            </wp:positionV>
            <wp:extent cx="557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2"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Cash and Cash Equivalents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cash and cash equivalents:</w:t>
      </w:r>
    </w:p>
    <w:p>
      <w:pPr>
        <w:spacing w:after="0" w:line="200" w:lineRule="exact"/>
        <w:rPr>
          <w:sz w:val="20"/>
          <w:szCs w:val="20"/>
          <w:color w:val="auto"/>
        </w:rPr>
      </w:pPr>
    </w:p>
    <w:p>
      <w:pPr>
        <w:spacing w:after="0" w:line="201" w:lineRule="exact"/>
        <w:rPr>
          <w:sz w:val="20"/>
          <w:szCs w:val="20"/>
          <w:color w:val="auto"/>
        </w:rPr>
      </w:pPr>
    </w:p>
    <w:p>
      <w:pPr>
        <w:ind w:left="380" w:right="620" w:hanging="179"/>
        <w:spacing w:after="0" w:line="258" w:lineRule="auto"/>
        <w:rPr>
          <w:sz w:val="20"/>
          <w:szCs w:val="20"/>
          <w:color w:val="auto"/>
        </w:rPr>
      </w:pPr>
      <w:r>
        <w:rPr>
          <w:rFonts w:ascii="Arial" w:cs="Arial" w:eastAsia="Arial" w:hAnsi="Arial"/>
          <w:sz w:val="18"/>
          <w:szCs w:val="18"/>
          <w:color w:val="auto"/>
        </w:rPr>
        <w:t>Cash received from additional related party borrowings to repurchase U.S. trade receivables sold through RGHL Group’s securitization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-273050</wp:posOffset>
            </wp:positionV>
            <wp:extent cx="699770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2743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Cash received from proceeds of the New Term Loan Facility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received from proceeds of the IPO Settlement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Cash paid for the New Credit Facilities financing transaction costs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paid to settle related party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right="2320"/>
        <w:spacing w:after="0" w:line="250" w:lineRule="auto"/>
        <w:rPr>
          <w:sz w:val="20"/>
          <w:szCs w:val="20"/>
          <w:color w:val="auto"/>
        </w:rPr>
      </w:pPr>
      <w:r>
        <w:rPr>
          <w:rFonts w:ascii="Arial" w:cs="Arial" w:eastAsia="Arial" w:hAnsi="Arial"/>
          <w:sz w:val="18"/>
          <w:szCs w:val="18"/>
          <w:color w:val="auto"/>
        </w:rPr>
        <w:t>Cash paid to repurchase U.S. trade receivables sold through RGHL Group’s securitization facility Cash paid for plant and asset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699770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tabs>
          <w:tab w:leader="none" w:pos="3340" w:val="left"/>
        </w:tabs>
        <w:rPr>
          <w:sz w:val="20"/>
          <w:szCs w:val="20"/>
          <w:color w:val="auto"/>
        </w:rPr>
      </w:pPr>
      <w:r>
        <w:rPr>
          <w:rFonts w:ascii="Arial" w:cs="Arial" w:eastAsia="Arial" w:hAnsi="Arial"/>
          <w:sz w:val="18"/>
          <w:szCs w:val="18"/>
          <w:color w:val="auto"/>
        </w:rPr>
        <w:t>Cash received from the issuance of</w:t>
      </w:r>
      <w:r>
        <w:rPr>
          <w:sz w:val="20"/>
          <w:szCs w:val="20"/>
          <w:color w:val="auto"/>
        </w:rPr>
        <w:tab/>
      </w:r>
      <w:r>
        <w:rPr>
          <w:rFonts w:ascii="Arial" w:cs="Arial" w:eastAsia="Arial" w:hAnsi="Arial"/>
          <w:sz w:val="16"/>
          <w:szCs w:val="16"/>
          <w:color w:val="auto"/>
        </w:rPr>
        <w:t>million shares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paid for costs associated with issuance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Cash paid to settle the IPO Settlement Facility</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adjustment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314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5314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12" w:lineRule="exact"/>
        <w:rPr>
          <w:sz w:val="20"/>
          <w:szCs w:val="20"/>
          <w:color w:val="auto"/>
        </w:rPr>
      </w:pPr>
    </w:p>
    <w:p>
      <w:pPr>
        <w:ind w:left="560" w:hanging="480"/>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271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7"/>
          <w:szCs w:val="17"/>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570865</wp:posOffset>
            </wp:positionV>
            <wp:extent cx="4800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14605</wp:posOffset>
            </wp:positionV>
            <wp:extent cx="4800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31750</wp:posOffset>
            </wp:positionV>
            <wp:extent cx="4800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960"/>
          </w:cols>
          <w:pgMar w:left="240" w:top="459" w:right="419" w:bottom="1440" w:gutter="0" w:footer="0" w:header="0"/>
          <w:type w:val="continuous"/>
        </w:sectPr>
      </w:pPr>
    </w:p>
    <w:p>
      <w:pPr>
        <w:spacing w:after="0" w:line="183" w:lineRule="exact"/>
        <w:rPr>
          <w:sz w:val="20"/>
          <w:szCs w:val="20"/>
          <w:color w:val="auto"/>
        </w:rPr>
      </w:pPr>
    </w:p>
    <w:p>
      <w:pPr>
        <w:ind w:left="200"/>
        <w:spacing w:after="0"/>
        <w:tabs>
          <w:tab w:leader="none" w:pos="5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Operational Changes and Separation Adjustments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this offering, we have entered, or will enter, into agreements that document and/or amend ongoing commercial arrangements we have with RGHL Group and Rank. These agreements will become effective no later than the closing of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Supply, warehousing and freight agreements and related plant and asset transfers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will enter into supply agreements with Pactiv to continue selling products to and buying products from Pactiv. These agreements will expire on December 31, 2024. We will also enter into a warehousing and freight services agreement with Pactiv to continue storing many of our finished goods in warehouses operated by Pactiv and for them to continue to provide us with certain freight services. The term of the warehousing services under the agreement will vary by location. The term of the freight services under the agreement is for approximately three years.</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conjunction with entering into new supply, warehousing and freight agreements with Pactiv, the ownership or lease of certain plants, warehouses, equipment (including manufacturing lines), information technology assets and inventory will be transferred to us from RGHL Group. These items are already reflected in our historical combined financial statements included elsewhere in this prospectus. An adjustment to the unaudited pro</w:t>
      </w:r>
    </w:p>
    <w:p>
      <w:pPr>
        <w:ind w:left="200" w:right="40"/>
        <w:spacing w:after="0" w:line="290" w:lineRule="auto"/>
        <w:rPr>
          <w:sz w:val="20"/>
          <w:szCs w:val="20"/>
          <w:color w:val="auto"/>
        </w:rPr>
      </w:pPr>
      <w:r>
        <w:rPr>
          <w:rFonts w:ascii="Arial" w:cs="Arial" w:eastAsia="Arial" w:hAnsi="Arial"/>
          <w:sz w:val="17"/>
          <w:szCs w:val="17"/>
          <w:color w:val="auto"/>
        </w:rPr>
        <w:t>forma combined balance sheet as of September 30, 2019 has been made to reflect the payment of $ million to RGHL Group for these items, with the difference between consideration paid and the existing net book value being recognized directly in additional paid-in capital.</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net effect of these agreements and related plant and asset transfers as reflected in the adjustments to the unaudited pro forma combined</w:t>
      </w:r>
    </w:p>
    <w:p>
      <w:pPr>
        <w:spacing w:after="0" w:line="35" w:lineRule="exact"/>
        <w:rPr>
          <w:sz w:val="20"/>
          <w:szCs w:val="20"/>
          <w:color w:val="auto"/>
        </w:rPr>
      </w:pPr>
    </w:p>
    <w:p>
      <w:pPr>
        <w:ind w:left="200" w:right="140"/>
        <w:spacing w:after="0" w:line="250" w:lineRule="auto"/>
        <w:rPr>
          <w:sz w:val="20"/>
          <w:szCs w:val="20"/>
          <w:color w:val="auto"/>
        </w:rPr>
      </w:pPr>
      <w:r>
        <w:rPr>
          <w:rFonts w:ascii="Arial" w:cs="Arial" w:eastAsia="Arial" w:hAnsi="Arial"/>
          <w:sz w:val="18"/>
          <w:szCs w:val="18"/>
          <w:color w:val="auto"/>
        </w:rPr>
        <w:t>statements of income was an increase in revenues of $ million and $ million and a net in cost of sales of $ and $ million, in each case, for the nine months ended September 30, 2019 and the year ended December 31, 2018, respectively.</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03"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connection with this offering, we will enter into the RGHI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for up to 24 months. These services will be consistent with administrative services provided to us by RGHL Group prior to this offering, and the charges will be at forecasted cost or current cost plus margin. In addition, under the RGHI TSA, we will provide certain services to RGHL Group, including human resources; compliance; and procurement consistent with services provided by us to RGHL Group prior to this offering, which will also be charged at current cost plus margin and provided for a period of up to 24 months, and at each other’s request, certain tax, financial and other information will be provided to enable preparation of financial and tax reports of the respective parties and for other business purposes.</w:t>
      </w:r>
    </w:p>
    <w:p>
      <w:pPr>
        <w:spacing w:after="0" w:line="179"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Also, in connection with this offering, we will enter into the Rank TSA whereby, upon our request, Rank will provide certain administrative services to us, including financial reporting, consulting and compliance services, insurance procurement and human resources support, legal and corporate secretarial support, and related services for up to 24 months, to be charged at an agreed hourly rate. In addition, we will provide, at Rank’s request, certain historical tax and financial information to enable Rank to prepare certain of its tax and financial reports.</w:t>
      </w:r>
    </w:p>
    <w:p>
      <w:pPr>
        <w:spacing w:after="0" w:line="154"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Our historical combined financial statements include amounts in relation to historical administrative services provided by RGHL Group to us. No adjustment is reflected in our unaudited pro forma combined financial statements in relation to services that may be provided under the RGHI TSA and Rank TSA, as such amounts will ultimately depend upon the actual assistance requested which is not factually supportable.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Removal of historical related party management fee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part of RGHL Group, our historical combined statements of income include an allocation of RGHL Group’s related party management fee. For further information refer to Note 9—Other Expense, Net of our annual combined financial statements included elsewhere in this prospectus. The allocation of this expense will cease in conjunction with this offering. An adjustment has been made to the unaudited pro forma combined statements of income to remove the allocated expense of $7 million and $10 million for the nine months ended September 30, 2019, and the year ended December 31, 2018, respectively.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Release from RGHL Group securitization facility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Historically, we have sold substantially all of our U.S. trade receivables through RGHL Group’s securitization facility. This non-recourse factoring arrangement satisfied all of the conditions that result in the derecognition of our U.S. trade receivables. For further information refer to Note 2— Summary of Significant Accounting Policies of our annual combined financial statements included elsewhere in this prospectus. Prior to the closing of this offering, we will repurchase, for cash, the U.S. trade receivables that we previously sold through RGHL Group’s securitization facility that are outstanding as of the time of the repurchase of such trade receivables and end our participation in this facility. The repurchase will be financed through additional related party borrowings from RGHL Group, which will be settled as described above at (b). After the closing of this offering, we will collect our trade receivables in the ordinary course of business.</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 adjustment to the unaudited pro forma combined balance sheet as of September 30, 2019, has been made to reinstate the trade receivables as if the repurchase had occurred as of that date.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for the year ended December 31, 2018 has been made to eliminate (i) the loss recognized on the sale of trade receivables and (ii) the associated servicing income earned on the collection of these trade receivables on behalf of RGHL Group, as if participation in the RGHL Group securitization facility had ceased as of January 1, 2018.</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 awards—IPO Grants</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Adjustments to the unaudited pro forma combined balance sheet and the pro forma combined statements of income have been made related to the granting of restricted stock units to certain of our employees at the closing of this offering. The IPO Grants are classified as an equity settled stock based payment arrangement and will vest on a pro rata basis over a three-year period commencing from the closing date of this offering.</w:t>
      </w:r>
    </w:p>
    <w:p>
      <w:pPr>
        <w:spacing w:after="0" w:line="14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adjustments to the unaudited pro forma combined statements of income reflect an increase in selling, general and administrative expenses of $1 million for the nine months ended September 30, 2019 and $2 million for the year ended December 31, 2018.</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 adjustment of $1 million has been recognized in the unaudited pro forma combined balance sheet as of September 30, 2019 to increase additional paid-in capital and reduce retained earnings (deficit) to recognize a pro rata portion of the compensation expense based on service performed as of the date of this offering.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transaction bonus</w:t>
      </w:r>
    </w:p>
    <w:p>
      <w:pPr>
        <w:spacing w:after="0" w:line="23"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conjunction with this offering, certain members of our management will be entitled to a one-time cash settled transaction bonus. Entitlement to the bonus is contingent upon the individual’s ongoing employment at the time of payment. The aggregate $7 million bonus will be paid in two installments, 50% will be paid 30 days after the completion of this offering and 50% will be paid six months after the completion of this offering. The pro forma combined balance sheet includes an adjustment of $5 million to accrued and other current liabilities to recognize a pro rata portion of this liability based on service performed as of the date of this offering, with a corresponding reduction to retained earnings (deficit).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Initial funding of a new defined benefit pension plan</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conjunction with this offering, we will establish a new defined benefit plan for certain of our employees and assume the responsibility for certain defined benefit obligations with an unfunded value of $2 million. Shortly following this offering we will fund this plan. A pro forma adjustment has been recognized in the unaudited pro forma combined balance sheet to reduce cash and additional paid-in capital.</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Settlement of certain related party trade receivables and related party payables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In conjunction with the Corporate Reorganization, we will settle a portion of our related party trade receivables and related party payables. Other related party trade receivables and payables will remain outstanding and will be settled in the normal course of business. A pro forma adjustment has been recognized in the unaudited pro forma combined balance sheet to reduce related party trade receivables by $40 million and reduce related party payables by $51 million, with a corresponding net increase of $11 million to related party borrowings.</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a result of the adjustments described above in (e), the following table presents the pro forma adjustments to selling, general and administrative expenses: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1"/>
              </w:rPr>
              <w:t>Nine months</w:t>
            </w:r>
          </w:p>
        </w:tc>
        <w:tc>
          <w:tcPr>
            <w:tcW w:w="2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86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ended September 30,</w:t>
            </w:r>
          </w:p>
        </w:tc>
        <w:tc>
          <w:tcPr>
            <w:tcW w:w="11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Elimination of the service income earned on the collection of trade receivables under the</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RGHL Group securitization facility</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Compensation expense associated with the IPO Grants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selling, general and administrative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result of the adjustments described above in (e), the following table presents the pro forma adjustments to other income (expense), net: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w:t>
            </w:r>
          </w:p>
        </w:tc>
        <w:tc>
          <w:tcPr>
            <w:tcW w:w="2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8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ended September 30,</w:t>
            </w:r>
          </w:p>
        </w:tc>
        <w:tc>
          <w:tcPr>
            <w:tcW w:w="11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2"/>
          </w:tcPr>
          <w:p>
            <w:pPr>
              <w:ind w:left="110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Elimination of the loss recognized on the sale of trade receivables under the RGHL Group</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securitization facility</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Elimination of the historical related party management fee</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other income (expense), net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Resulting Tax Effects</w:t>
      </w:r>
    </w:p>
    <w:p>
      <w:pPr>
        <w:spacing w:after="0" w:line="121"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Adjustments to the unaudited pro forma combined statements of income have been made to reflect the income tax expense for the items described in (a) through (e) above, calculated at the U.S. federal statutory rate of 21%.</w:t>
      </w:r>
    </w:p>
    <w:p>
      <w:pPr>
        <w:spacing w:after="0" w:line="170"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At the completion of this offering we will exit the RGHI U.S. federal tax consolidated group and become a separate taxable entity. At the time of our exit, we will assume the tax base and certain tax attributes of the RGHI tax consolidated group. These amounts may differ materially from the tax base and attributes that are reflected in our historical combined financial statements included elsewhere in this prospectus.</w:t>
      </w:r>
    </w:p>
    <w:p>
      <w:pPr>
        <w:spacing w:after="0" w:line="270"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Corporate Equity Structure</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conjunction with the Corporate Reorganization, we will acquire from RGHL Group the issued capital of certain non-U.S. entities that are part of RCP. This adjustment includes an increase in related party borrowings of $ million with an offsetting reduction in additional paid-in capital. Refer to (b) for further details of the settlement of the related party borrowings.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adjustments to our equity after giving effect to the Pro Forma Transactions: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Additional</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1"/>
              </w:rPr>
              <w:t>other</w:t>
            </w: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2"/>
              </w:rPr>
              <w:t>Common</w:t>
            </w:r>
          </w:p>
        </w:tc>
        <w:tc>
          <w:tcPr>
            <w:tcW w:w="1720" w:type="dxa"/>
            <w:vAlign w:val="bottom"/>
            <w:gridSpan w:val="3"/>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Parent</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gridSpan w:val="4"/>
          </w:tcPr>
          <w:p>
            <w:pPr>
              <w:ind w:left="4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56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the issued capital of certain non-U.S. entities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Legal entity reorganization</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86"/>
              </w:rPr>
              <w:t>807</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this offering</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IPO Grants, as described in (e)</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transaction bonus, as described in (e)</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Defined benefit pension liability, as described in (e)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adjustment</w:t>
            </w:r>
          </w:p>
        </w:tc>
        <w:tc>
          <w:tcPr>
            <w:tcW w:w="1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807</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The proceeds from this offering reflects the issuance of</w:t>
            </w:r>
          </w:p>
        </w:tc>
        <w:tc>
          <w:tcPr>
            <w:tcW w:w="1480" w:type="dxa"/>
            <w:vAlign w:val="bottom"/>
            <w:gridSpan w:val="4"/>
          </w:tcPr>
          <w:p>
            <w:pPr>
              <w:ind w:left="100"/>
              <w:spacing w:after="0"/>
              <w:rPr>
                <w:sz w:val="20"/>
                <w:szCs w:val="20"/>
                <w:color w:val="auto"/>
              </w:rPr>
            </w:pPr>
            <w:r>
              <w:rPr>
                <w:rFonts w:ascii="Arial" w:cs="Arial" w:eastAsia="Arial" w:hAnsi="Arial"/>
                <w:sz w:val="18"/>
                <w:szCs w:val="18"/>
                <w:color w:val="auto"/>
                <w:w w:val="93"/>
              </w:rPr>
              <w:t>million shares at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11"/>
          </w:tcPr>
          <w:p>
            <w:pPr>
              <w:ind w:left="340"/>
              <w:spacing w:after="0"/>
              <w:rPr>
                <w:sz w:val="20"/>
                <w:szCs w:val="20"/>
                <w:color w:val="auto"/>
              </w:rPr>
            </w:pPr>
            <w:r>
              <w:rPr>
                <w:rFonts w:ascii="Arial" w:cs="Arial" w:eastAsia="Arial" w:hAnsi="Arial"/>
                <w:sz w:val="18"/>
                <w:szCs w:val="18"/>
                <w:color w:val="auto"/>
                <w:w w:val="94"/>
              </w:rPr>
              <w:t>per share (being the midpoint of the range set forth on</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w w:val="97"/>
              </w:rPr>
              <w:t>the cover page of this prospectus), net of $</w:t>
            </w:r>
          </w:p>
        </w:tc>
        <w:tc>
          <w:tcPr>
            <w:tcW w:w="3060" w:type="dxa"/>
            <w:vAlign w:val="bottom"/>
            <w:gridSpan w:val="5"/>
          </w:tcPr>
          <w:p>
            <w:pPr>
              <w:ind w:left="300"/>
              <w:spacing w:after="0"/>
              <w:rPr>
                <w:sz w:val="20"/>
                <w:szCs w:val="20"/>
                <w:color w:val="auto"/>
              </w:rPr>
            </w:pPr>
            <w:r>
              <w:rPr>
                <w:rFonts w:ascii="Arial" w:cs="Arial" w:eastAsia="Arial" w:hAnsi="Arial"/>
                <w:sz w:val="18"/>
                <w:szCs w:val="18"/>
                <w:color w:val="auto"/>
              </w:rPr>
              <w:t>million of transaction costs.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3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Pro Forma Earnings Per Share</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360" w:type="dxa"/>
            <w:vAlign w:val="bottom"/>
            <w:gridSpan w:val="9"/>
          </w:tcPr>
          <w:p>
            <w:pPr>
              <w:ind w:left="420"/>
              <w:spacing w:after="0"/>
              <w:rPr>
                <w:sz w:val="20"/>
                <w:szCs w:val="20"/>
                <w:color w:val="auto"/>
              </w:rPr>
            </w:pPr>
            <w:r>
              <w:rPr>
                <w:rFonts w:ascii="Arial" w:cs="Arial" w:eastAsia="Arial" w:hAnsi="Arial"/>
                <w:sz w:val="18"/>
                <w:szCs w:val="18"/>
                <w:color w:val="auto"/>
                <w:w w:val="97"/>
              </w:rPr>
              <w:t>The number of shares used to compute pro forma basic and diluted earnings per share is</w:t>
            </w:r>
          </w:p>
        </w:tc>
        <w:tc>
          <w:tcPr>
            <w:tcW w:w="2880" w:type="dxa"/>
            <w:vAlign w:val="bottom"/>
            <w:gridSpan w:val="6"/>
          </w:tcPr>
          <w:p>
            <w:pPr>
              <w:ind w:left="20"/>
              <w:spacing w:after="0"/>
              <w:rPr>
                <w:sz w:val="20"/>
                <w:szCs w:val="20"/>
                <w:color w:val="auto"/>
              </w:rPr>
            </w:pPr>
            <w:r>
              <w:rPr>
                <w:rFonts w:ascii="Arial" w:cs="Arial" w:eastAsia="Arial" w:hAnsi="Arial"/>
                <w:sz w:val="18"/>
                <w:szCs w:val="18"/>
                <w:color w:val="auto"/>
                <w:w w:val="94"/>
              </w:rPr>
              <w:t>million, which is the number of shares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w w:val="93"/>
              </w:rPr>
              <w:t>outstanding upon the closing of this offering of our common 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combined financial statements and the notes thereto and the unaudited pro forma combined financial data and notes thereto, each included elsewhere in this prospectus, as well as the information presented under “Selected Historical Combined Financial Data” and “Unaudited Pro Forma Combined Financial Data.” This discussion and analysis contains forward-looking statements. These forward-looking statements are subject to risk,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prospectus. See in particular “Special Note Regarding Forward–Looking Statements” and “Risk Factors.”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We believe the assumptions underlying the combined financial statements are reasonable. However, the combined financial statements included herein may not necessarily reflect our results of operations, financial position and cash flows in the future or what they would have been had we been a separate, stand-alone company during the periods presented.</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8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ACV in 2018.</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our operations in four operating and reportable segments: Reynolds Cooking &amp; Baking, Hefty Waste &amp; Storage, Hefty Tableware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Presto Products:</w:t>
      </w:r>
    </w:p>
    <w:p>
      <w:pPr>
        <w:spacing w:after="0" w:line="116" w:lineRule="exact"/>
        <w:rPr>
          <w:sz w:val="20"/>
          <w:szCs w:val="20"/>
          <w:color w:val="auto"/>
        </w:rPr>
      </w:pPr>
    </w:p>
    <w:p>
      <w:pPr>
        <w:ind w:left="960" w:hanging="324"/>
        <w:spacing w:after="0" w:line="286"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Through our Reynolds Cooking &amp; Baking segment, we produce branded and store brand foil, parchment paper,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disposable aluminum pans and slow cooker liners. Our branded products are sold under the Reynolds Wrap, Reynolds KITCHENS and E-Z Foil brands in the United States, the Diamond brand outside of North America and the ALCAN brand in Canada.</w:t>
      </w:r>
    </w:p>
    <w:p>
      <w:pPr>
        <w:spacing w:after="0" w:line="70" w:lineRule="exact"/>
        <w:rPr>
          <w:rFonts w:ascii="Arial" w:cs="Arial" w:eastAsia="Arial" w:hAnsi="Arial"/>
          <w:sz w:val="17"/>
          <w:szCs w:val="17"/>
          <w:color w:val="auto"/>
        </w:rPr>
      </w:pPr>
    </w:p>
    <w:p>
      <w:pPr>
        <w:ind w:left="960" w:right="60" w:hanging="324"/>
        <w:spacing w:after="0" w:line="308"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Hefty Waste &amp; Storage</w:t>
      </w:r>
      <w:r>
        <w:rPr>
          <w:rFonts w:ascii="Arial" w:cs="Arial" w:eastAsia="Arial" w:hAnsi="Arial"/>
          <w:sz w:val="17"/>
          <w:szCs w:val="17"/>
          <w:color w:val="auto"/>
        </w:rPr>
        <w:t>: Through our Hefty Waste &amp; Storage segment, we produce both branded and store brand trash and food storage bags.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are sold under brand names such as Hefty Ultra Strong, Hefty Strong Trash Bags and Hefty Slider Bags.</w:t>
      </w:r>
    </w:p>
    <w:p>
      <w:pPr>
        <w:spacing w:after="0" w:line="51" w:lineRule="exact"/>
        <w:rPr>
          <w:rFonts w:ascii="Arial" w:cs="Arial" w:eastAsia="Arial" w:hAnsi="Arial"/>
          <w:sz w:val="17"/>
          <w:szCs w:val="17"/>
          <w:color w:val="auto"/>
        </w:rPr>
      </w:pPr>
    </w:p>
    <w:p>
      <w:pPr>
        <w:ind w:left="960" w:right="260" w:hanging="3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Hefty Tableware</w:t>
      </w:r>
      <w:r>
        <w:rPr>
          <w:rFonts w:ascii="Arial" w:cs="Arial" w:eastAsia="Arial" w:hAnsi="Arial"/>
          <w:sz w:val="18"/>
          <w:szCs w:val="18"/>
          <w:color w:val="auto"/>
        </w:rPr>
        <w:t>: Through our Hefty Tableware segment, we sell both branded and store brand disposable plates, bowls, platters, cups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cutlery. Our branded products, which include dishes and party cups, are sold under the Hefty brand.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520" w:hanging="324"/>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Presto Products: </w:t>
      </w:r>
      <w:r>
        <w:rPr>
          <w:rFonts w:ascii="Arial" w:cs="Arial" w:eastAsia="Arial" w:hAnsi="Arial"/>
          <w:sz w:val="18"/>
          <w:szCs w:val="18"/>
          <w:color w:val="auto"/>
        </w:rPr>
        <w:t>Through our Presto Products segment, we primarily sell store brand food storage bags, trash bags, disposable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containers and plastic wrap.</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prospectus titled “Risk Factors.”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Consumer Demand for our Products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 We expect our household penetration to continue to increase with the underlying growth in the number of households in the United States and Canada, which is estimated to be approximately 1% from 2018 to 2023.</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 particularly through our Reyvolution initiatives.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Furthermore, while many consumers still prefer to purchase branded products, they are becoming increasingly comfortable purchasing store brand products across broader product categories. Branded products and store brand products accounted for 57% and 43% of our revenue, excluding business-to-business revenue, respectively, in the year ended December 31, 2018. Penetration of store brand products is growing at 0.9% per year across our categories in the aggregate, driven by retailer investment in quality and tiered product offerings. However, penetration and growth does vary by product category, with higher store brand growth and penetration in our disposable tableware than in our bakeware, storage and trash bag and foil product offerings.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 Energy and Freight Price Fluctuations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business is impacted by fluctuations in the prices of the raw materials, energy and freight costs incurred in manufacturing and distributing our products as well as fluctuations in logistics costs related thereto.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freight and handling costs caused by reduced rail and trucking capacity. Sales contracts for our products typically do not contain pass-through mechanisms for raw material, energy and freight cost changes, but we adjust prices, where possible, in response to such price fluctuations.</w:t>
      </w:r>
    </w:p>
    <w:p>
      <w:pPr>
        <w:spacing w:after="0" w:line="189"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Resin prices have historically fluctuated with changes in the prices of crude oil and natural gas, as well as changes in refining capacity and the demand for other petroleum-based products. Aluminum prices have historically been volatile, as aluminum is a cyclical commodity with prices subject to global market factors. Raw material costs have also been impacted by governmental actions, such as tariffs and trade sanctions.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use various strategies to manage our cost exposures on certain raw material purchases, and we use naturally established forecast cycles to influence the purchase of raw materials. In addition, from time to time we have entered into hedging agreements, including commodity derivative contracts, to hedge commodity prices primarily related to aluminum, diesel and benzene with the objective of obtaining more predictable costs for these commodities. The realized and unrealized gains or losses arising from derivative instruments are recognized in cost of sales.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Furthermore, since we distribute our products and receive raw materials primarily by rail and truck, reduced availability of rail or trucking capacity and fluctuations in freight and handling costs have caused us to incur increased expenses in prior periods. Where applicable, we also adjust the prices of our products in response to fluctuations in production and distribution costs.</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Our operating results are also sensitive to energy-related cost movements, including those impacting both our manufacturing operations and transportation and utility costs.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Environment</w:t>
      </w:r>
    </w:p>
    <w:p>
      <w:pPr>
        <w:spacing w:after="0" w:line="121"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“Business—Competition” for more detail on our competitors.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Reyvolution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intend to continually reinvent and optimize our business through Reyvolution—an all-encompassing way of thinking, planning and evaluating our operations to accelerate future growth through product innovation, process automation and cost reduction. Through this program, we have made significant investment focused on reinforcing our existing product portfolio with new and on-trend products, reducing costs to drive increased profitability and refining automation and our manufacturing base to increase efficiency. For the two year period ended December 31, 2018, the impact of Reyvolution was approximately $176 million of Adjusted EBITDA benefit. Of the total, $126 million was generated through cost savings across our businesses, with $50 million of Adjusted EBITDA being generated through revenue initiatives. While impacting our entire business, Reyvolution has been predominantly centered around: (i) growth and product innovation; (ii) operational cost reduction through automation and manufacturing process optimization initiatives; and (iii) materials cost reduction through strategic sourcing initiatives. The impact of Reyvolution has been instrumental in mitigating the cost increases we have incurred related to operational cost inflation (primarily labor and benefits), increased raw material costs (primarily resin and aluminum) and the market driven cost increases we have incurred in logistics.</w:t>
      </w:r>
    </w:p>
    <w:p>
      <w:pPr>
        <w:spacing w:after="0" w:line="17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Reyvolution is expected to continue to positively impact our business going forward, as we are focused on making significant investment across our business to drive revenue growth, market share increases and Adjusted EBITDA margin expansion. In fiscal year 2018, 21% of our revenue was generated from products that were less than three years old. We are also focused on increasing automation through Reyvolution and utilizing digital capabilities to improve our operational efficiency in our intelligent manufacturing facilities. As a result, we anticipate a temporary increase in capital expenditures in future years associated with these initiatives.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Sustainability</w:t>
      </w:r>
    </w:p>
    <w:p>
      <w:pPr>
        <w:spacing w:after="0" w:line="12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Interest in environmental sustainability has increased over the past decade, and we expect that this may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For instance, we recently launched 75% Unbleached Compostable Parchment Paper and redesigned our Hefty party cups to reduce the plastic by 10% while maintaining strength. We intend to continue sustainability innovation to ensure that we are at the leading edge of recyclability, renewability and compostability in order to offer our customers environmentally sustainable choices.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eCommerce</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expect that the trend of using eCommerce platforms to shop for household products will continue to affect our business due to the convenience of online ordering and subscription delivery. Overall, U.S. eCommerce revenues have grown at 14 to 15% per year since 2016, to 14% of retail sales in 2018, with growth expected to continue at a comparable rate over the next three years. We believe that our products are well-suited to sales through eCommerce channels, as they are shelf stable, inexpensive to ship due to most products being light in weight, and easy to transport. Additionally, the recurring purchase cycles for our products well position them to capitalize on continued growth of grocery pickup and subscription services.</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Separation from RGHL Group</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historically operated as part of RGHL Group’s broader corporate organization rather than as a stand-alone public company. RGHL Group performed or supported various corporate services for us, including executive management, supply chain, information technology, legal, finance and accounting, human resources, risk management, tax, treasury and other services. In addition, we have sold products to, and purchased products from, RGHL Group. Historically, these transactions involving RGHL Group may not have always been consummated on terms equivalent to those in an arm’s-length transaction. Sales to RGHL Group of products that we manufacture have been reflected as related party net revenues in our combined financial statements. Certain related party transactions are settled in cash and are reflected as related party receivables and payables in our combined balance sheets. The remaining related party transactions with RGHL Group are settled by either non-cash capital contributions from RGHL Group to us or non-cash capital distributions from us. These related party transactions are included as part of RGHL Group’s net investment in our combined balance sheets. We also utilize manufacturing and warehousing facilities and resources managed by RGHL Group to conduct our business. The expenses associated with these transactions are included in cost of sales in our combined statements of income. We believe that the assumptions and methodologies underlying the allocation of these expenses from RGHL Group are reasonable. However, such allocations do not necessarily reflect what the results of operations and financial position would have been had we operated as a stand-alone public company during the periods presented.</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conjunction with our anticipated separation from RGHL Group, we will enter into the RGHI TSA whereby RGHL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will enter into the Rank TSA whereby, upon our request, Rank will provide certain administrative services to us, including financial reporting, consulting and compliance services, insurance procurement and human resources support, legal and corporate secretarial support, and related services for up to 24 months. See “Certain Relationships and Related Party Transactions—Transactions to be Entered into in Connection with this Offering— Transition Services Agreements” for a description of these services. At the conclusion of these transitional arrangements, we will have to perform these services with internal resources or contract with third party providers. The previous arrangements we had with RGHL Group, as reflected in our combined financial statements included elsewhere in this prospectus, may be materially different from the arrangements that we have entered into, or will enter into, as part of our separation from RGHL Group.</w:t>
      </w:r>
    </w:p>
    <w:p>
      <w:pPr>
        <w:spacing w:after="0" w:line="178"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Immediately prior to the closing of this offering, as part of the Corporate Reorganization, we will enter into the New Credit Facilities and portions of the related party borrowings owed to RGHL Group that are reflected on our combined balance sheets will be repaid. RGHL Group will contribute the remaining balance of related party borrowings owed by us to RGHL Group, if any, as a contribution of capital prior to the closing of this offering. In</w:t>
      </w:r>
    </w:p>
    <w:p>
      <w:pPr>
        <w:ind w:left="200" w:right="280"/>
        <w:spacing w:after="0" w:line="281" w:lineRule="auto"/>
        <w:rPr>
          <w:sz w:val="20"/>
          <w:szCs w:val="20"/>
          <w:color w:val="auto"/>
        </w:rPr>
      </w:pPr>
      <w:r>
        <w:rPr>
          <w:rFonts w:ascii="Arial" w:cs="Arial" w:eastAsia="Arial" w:hAnsi="Arial"/>
          <w:sz w:val="16"/>
          <w:szCs w:val="16"/>
          <w:color w:val="auto"/>
        </w:rPr>
        <w:t>addition, $ million of indebtedness that is outstanding under RGHL Group’s Credit Agreement will be reallocated and we will be released as a borrower and guarantor from such facilities and released as a guarantor of RGHL Group’s outstanding senior notes. As a result, on a pro forma basis,</w:t>
      </w:r>
    </w:p>
    <w:p>
      <w:pPr>
        <w:spacing w:after="0" w:line="1" w:lineRule="exact"/>
        <w:rPr>
          <w:sz w:val="20"/>
          <w:szCs w:val="20"/>
          <w:color w:val="auto"/>
        </w:rPr>
      </w:pPr>
    </w:p>
    <w:p>
      <w:pPr>
        <w:ind w:left="200"/>
        <w:spacing w:after="0"/>
        <w:tabs>
          <w:tab w:leader="none" w:pos="3160" w:val="left"/>
          <w:tab w:leader="none" w:pos="7220" w:val="left"/>
        </w:tabs>
        <w:rPr>
          <w:sz w:val="20"/>
          <w:szCs w:val="20"/>
          <w:color w:val="auto"/>
        </w:rPr>
      </w:pPr>
      <w:r>
        <w:rPr>
          <w:rFonts w:ascii="Arial" w:cs="Arial" w:eastAsia="Arial" w:hAnsi="Arial"/>
          <w:sz w:val="18"/>
          <w:szCs w:val="18"/>
          <w:color w:val="auto"/>
        </w:rPr>
        <w:t>our indebtedness will decrease by $</w:t>
      </w:r>
      <w:r>
        <w:rPr>
          <w:sz w:val="20"/>
          <w:szCs w:val="20"/>
          <w:color w:val="auto"/>
        </w:rPr>
        <w:tab/>
      </w:r>
      <w:r>
        <w:rPr>
          <w:rFonts w:ascii="Arial" w:cs="Arial" w:eastAsia="Arial" w:hAnsi="Arial"/>
          <w:sz w:val="18"/>
          <w:szCs w:val="18"/>
          <w:color w:val="auto"/>
        </w:rPr>
        <w:t>million and our interest expense will decrease by $</w:t>
      </w:r>
      <w:r>
        <w:rPr>
          <w:sz w:val="20"/>
          <w:szCs w:val="20"/>
          <w:color w:val="auto"/>
        </w:rPr>
        <w:tab/>
      </w:r>
      <w:r>
        <w:rPr>
          <w:rFonts w:ascii="Arial" w:cs="Arial" w:eastAsia="Arial" w:hAnsi="Arial"/>
          <w:sz w:val="16"/>
          <w:szCs w:val="16"/>
          <w:color w:val="auto"/>
        </w:rPr>
        <w:t>million for the year ended December 31, 2018.</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Post-Offering Public Company Expenses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8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addition, in connection with this offering, we intend to establish the 2020 incentive award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equity incentive awards</w:t>
      </w:r>
    </w:p>
    <w:p>
      <w:pPr>
        <w:ind w:left="200"/>
        <w:spacing w:after="0"/>
        <w:tabs>
          <w:tab w:leader="none" w:pos="4480" w:val="left"/>
        </w:tabs>
        <w:rPr>
          <w:sz w:val="20"/>
          <w:szCs w:val="20"/>
          <w:color w:val="auto"/>
        </w:rPr>
      </w:pPr>
      <w:r>
        <w:rPr>
          <w:rFonts w:ascii="Arial" w:cs="Arial" w:eastAsia="Arial" w:hAnsi="Arial"/>
          <w:sz w:val="18"/>
          <w:szCs w:val="18"/>
          <w:color w:val="auto"/>
        </w:rPr>
        <w:t>granted pursuant to the plan is expected to equal</w:t>
      </w:r>
      <w:r>
        <w:rPr>
          <w:sz w:val="20"/>
          <w:szCs w:val="20"/>
          <w:color w:val="auto"/>
        </w:rPr>
        <w:tab/>
      </w:r>
      <w:r>
        <w:rPr>
          <w:rFonts w:ascii="Arial" w:cs="Arial" w:eastAsia="Arial" w:hAnsi="Arial"/>
          <w:sz w:val="15"/>
          <w:szCs w:val="15"/>
          <w:color w:val="auto"/>
        </w:rPr>
        <w:t>shares. In addition, restricted shares are expected to be issued pursuant to the IPO Grants.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Upon the granting of stock-based compensation awards, and the vesting of such awards, we will recognize stock-based compensation expense.</w:t>
      </w:r>
    </w:p>
    <w:p>
      <w:pPr>
        <w:spacing w:after="0" w:line="21" w:lineRule="exact"/>
        <w:rPr>
          <w:sz w:val="20"/>
          <w:szCs w:val="20"/>
          <w:color w:val="auto"/>
        </w:rPr>
      </w:pPr>
    </w:p>
    <w:p>
      <w:pPr>
        <w:ind w:left="200" w:right="980"/>
        <w:spacing w:after="0" w:line="261" w:lineRule="auto"/>
        <w:rPr>
          <w:sz w:val="20"/>
          <w:szCs w:val="20"/>
          <w:color w:val="auto"/>
        </w:rPr>
      </w:pPr>
      <w:r>
        <w:rPr>
          <w:rFonts w:ascii="Arial" w:cs="Arial" w:eastAsia="Arial" w:hAnsi="Arial"/>
          <w:sz w:val="18"/>
          <w:szCs w:val="18"/>
          <w:color w:val="auto"/>
        </w:rPr>
        <w:t>Accordingly, we expect to recognize a stock compensation charge of approximately $ million in the quarter in which this offering is consummated. Historically, we have not granted any stock-based compensation awards.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the Combined Statements of Income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revenues are derived primarily from the sale of our products to third parties, net of any sales incentives. Sales incentives include discounts, allowances and trade promotions. Revenue is recognized when control over products transfers to our customers, which generally occurs upon delivery or shipment of the products.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Net Revenues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Related party net revenues are derived from the sale of our products to RGHL Group. Our related party revenues are recognized primarily in our Reynolds Cooking &amp; Baking segment.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Cost of sales consists primarily of the cost of materials, packaging, labor and overhead associated with our manufacturing operations. Also included within cost of sales are the freight and logistics-related costs of delivering our products to our customers.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Selling, general and administrative expenses consist primarily of general and administrative costs associated with all of our non-manufacturing personnel and advertising costs. The general and administrative costs include wages, benefits, travel expenses, legal fees, R&amp;D costs and any professional fees or consulting services. Advertising costs include programs to support new and existing product lines. Our selling, general and administrative expenses include amounts that are allocated to us for services provided by RGHL Group, including, but not limited to, general corporate expenses related to group wide functions such as executive management, finance, legal, tax and information technology. For further information, refer to Note 1– Description of Business and Basis of Presentation in our annual combined financial statements included elsewhere in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Other expense, net includes the factoring discount on the sale of our U.S. trade receivables through RGHL Group’s securitization facility and the allocated related party management fee.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Non-Operating Income (Expense), Net</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Non-operating income (expense), net includes the non-service cost component of net periodic postretirement costs and the defined benefit plan settlement loss that was recognized during fiscal year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Interest expense, net consists primarily of interest on external debt and related party borrowings, net of interest income primarily on related party receivables. In conjunction with the Corporate Reorganization and this offering, these historical items of interest expense and interest income will be replaced with interest expense associated with the New Credit Facilities.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(Expense) Benefit</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Income tax (expense) benefit consists of an estimate of federal, state and foreign income taxes based on enacted tax rates, as adjusted for allowable credits, deductions and uncertain tax positions. During the periods presented, our U.S. operations were included in a consolidated U.S. federal return as well as certain state and local tax returns filed by RGHL Group. The income tax (expense) benefit has been calculated on a separate return basis. In the future, as a stand-alone entity, we will file tax returns on our own behalf and our effective tax rate and deferred taxes may be different from those in the historical periods.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addition to financial measures determined in accordance with GAAP, we make use of the non-GAAP financial measure Adjusted EBITDA in evaluating our past results and future prospects.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Adjusted EBITDA is defined as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the allocated related party management fee and transaction-related costs.</w:t>
      </w:r>
    </w:p>
    <w:p>
      <w:pPr>
        <w:spacing w:after="0" w:line="17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present Adjusted EBITDA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 In addition, our chief operating decision maker uses Adjusted EBITDA of each reportable segment to evaluate the operating performance of such segments.</w:t>
      </w:r>
    </w:p>
    <w:p>
      <w:pPr>
        <w:spacing w:after="0" w:line="15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is a reconciliation of our net income, the most directly comparable GAAP financial measure, to Adjusted EBITDA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7"/>
              </w:rPr>
              <w:t>Year ended</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left="32"/>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left="154"/>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income—GAAP</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$ 92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(84)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Transaction-related costs(3)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Unrealized losses (gains) on derivatives(4)</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rationalization costs(5)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Defined benefit plan settlement loss(6)</w:t>
            </w:r>
          </w:p>
        </w:tc>
        <w:tc>
          <w:tcPr>
            <w:tcW w:w="2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Other(7)</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Adjusted EBITDA (Non-GAAP)</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441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647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40" w:hanging="436"/>
        <w:spacing w:after="0" w:line="256"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loss on sale that we incur when we sell our U.S. trade receivables through RGHL Group’s securitization facility. For further information, refer to Note 9—Other Expense, Net in our annual combined financial statements and Note 11—Other Expense, Net in our interim condensed combined financial statements, each of which are included elsewhere in this prospectus.</w:t>
      </w:r>
    </w:p>
    <w:p>
      <w:pPr>
        <w:ind w:left="640" w:right="22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to RGHL Group. We will not incur any portion of this management fee after closing of this offering. For further information, refer to Note 9—Other Expense, Net in our annual combined financial statements and Note 11—Other Expense, Net in our interim condensed combined financial statements, each of which are included elsewhere in this prospectus.</w:t>
      </w:r>
    </w:p>
    <w:p>
      <w:pPr>
        <w:spacing w:after="0" w:line="1" w:lineRule="exact"/>
        <w:rPr>
          <w:rFonts w:ascii="Arial" w:cs="Arial" w:eastAsia="Arial" w:hAnsi="Arial"/>
          <w:sz w:val="18"/>
          <w:szCs w:val="18"/>
          <w:color w:val="auto"/>
        </w:rPr>
      </w:pPr>
    </w:p>
    <w:p>
      <w:pPr>
        <w:ind w:left="640" w:right="320" w:hanging="436"/>
        <w:spacing w:after="0" w:line="265"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allocated costs during the nine months ended September 30, 2019 related to the IPO process that cannot be offset against the expected future IPO proceeds, as well as costs related to our preparations to operate as a stand-alone public company.</w:t>
      </w:r>
    </w:p>
    <w:p>
      <w:pPr>
        <w:ind w:left="640" w:right="140" w:hanging="436"/>
        <w:spacing w:after="0" w:line="255"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7—Financial Instruments in our annual combined financial statements and Note 8—Financial Instruments in our interim condensed combined financial statements, each of which are included elsewhere in this prospectus.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23"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ind w:left="640" w:right="180" w:hanging="436"/>
        <w:spacing w:after="0" w:line="25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 For further information, refer to Note 8—Benefit Plans in our annual combined financial statements and Note 9—Benefit Plans in our interim condensed combined financial statements, each of which are included elsewhere in this prospectus.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following discussion should be read in conjunction with our combined financial statements included elsewhere in this prospectus. Detailed comparisons of revenue and results are presented in the discussions of the operating segments, which follow our combined results discussion.</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Reynolds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Hefty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Hefty</w:t>
            </w:r>
          </w:p>
        </w:tc>
        <w:tc>
          <w:tcPr>
            <w:tcW w:w="420" w:type="dxa"/>
            <w:vAlign w:val="bottom"/>
          </w:tcPr>
          <w:p>
            <w:pPr>
              <w:spacing w:after="0"/>
              <w:rPr>
                <w:sz w:val="12"/>
                <w:szCs w:val="12"/>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Presto</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gridSpan w:val="3"/>
          </w:tcPr>
          <w:p>
            <w:pPr>
              <w:ind w:left="1620"/>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Waste &amp;</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Unallocated(2)</w:t>
            </w:r>
          </w:p>
        </w:tc>
        <w:tc>
          <w:tcPr>
            <w:tcW w:w="920" w:type="dxa"/>
            <w:vAlign w:val="bottom"/>
            <w:gridSpan w:val="4"/>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Baking</w:t>
            </w:r>
          </w:p>
        </w:tc>
        <w:tc>
          <w:tcPr>
            <w:tcW w:w="4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Storage</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Tableware</w:t>
            </w:r>
          </w:p>
        </w:tc>
        <w:tc>
          <w:tcPr>
            <w:tcW w:w="98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Products</w:t>
            </w: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2018</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2018</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640" w:right="420" w:hanging="436"/>
        <w:spacing w:after="0" w:line="258"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 w:lineRule="exact"/>
        <w:rPr>
          <w:rFonts w:ascii="Arial" w:cs="Arial" w:eastAsia="Arial" w:hAnsi="Arial"/>
          <w:sz w:val="18"/>
          <w:szCs w:val="18"/>
          <w:color w:val="auto"/>
        </w:rPr>
      </w:pPr>
    </w:p>
    <w:p>
      <w:pPr>
        <w:ind w:left="640" w:right="160" w:hanging="436"/>
        <w:spacing w:after="0" w:line="261"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unallocated net revenues represent the elimination of revenue on intercompany transactions. These transactions arise primarily from sales by Hefty Waste &amp; Storage to Presto Products.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Nine Months Ended September 30, 2019 Compared with the Nine Months Ended September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Reynolds Consumer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For the nine months ended September 30,</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revenue</w:t>
            </w:r>
          </w:p>
        </w:tc>
        <w:tc>
          <w:tcPr>
            <w:tcW w:w="680" w:type="dxa"/>
            <w:vAlign w:val="bottom"/>
            <w:gridSpan w:val="3"/>
            <w:vMerge w:val="continue"/>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2,083</w:t>
            </w:r>
          </w:p>
        </w:tc>
        <w:tc>
          <w:tcPr>
            <w:tcW w:w="2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w:t>
            </w:r>
          </w:p>
        </w:tc>
        <w:tc>
          <w:tcPr>
            <w:tcW w:w="2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2,197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(1,580)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(1,669)</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2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Non-operating income, net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19%</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line="20" w:lineRule="exact"/>
              <w:rPr>
                <w:sz w:val="1"/>
                <w:szCs w:val="1"/>
                <w:color w:val="auto"/>
              </w:rPr>
            </w:pPr>
          </w:p>
        </w:tc>
      </w:tr>
      <w:tr>
        <w:trPr>
          <w:trHeight w:val="210"/>
        </w:trPr>
        <w:tc>
          <w:tcPr>
            <w:tcW w:w="54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2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2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20" w:hanging="436"/>
        <w:spacing w:after="0" w:line="277"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Components of Change in Net Revenues for the Nine Months Ended September 30, 2019 vs. the Nine Months Ended September 30, 2018</w:t>
      </w: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Price</w:t>
            </w: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Volume/Mix</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28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Presto Products</w:t>
            </w:r>
          </w:p>
        </w:tc>
        <w:tc>
          <w:tcPr>
            <w:tcW w:w="2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2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i w:val="1"/>
          <w:iCs w:val="1"/>
          <w:color w:val="auto"/>
        </w:rPr>
        <w:t xml:space="preserve">Total Net Revenues. </w:t>
      </w:r>
      <w:r>
        <w:rPr>
          <w:rFonts w:ascii="Arial" w:cs="Arial" w:eastAsia="Arial" w:hAnsi="Arial"/>
          <w:sz w:val="17"/>
          <w:szCs w:val="17"/>
          <w:color w:val="auto"/>
        </w:rPr>
        <w:t>Total net revenues for the nine months ended September 30, 2019 decreased by $38 million, or 2%, to $2,197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2018. The decrease was primarily driven by a $43 million decline in volume across all segments with the exception of Hefty Waste &amp; Storage, partially offset by the continuing impact of price increases taken in 2018.</w:t>
      </w:r>
    </w:p>
    <w:p>
      <w:pPr>
        <w:spacing w:after="0" w:line="166"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for the nine months ended September 30, 2019 decreased by $89 million, or 5%, to $1,580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2018. The decrease was primarily due to a $65 million decrease in material costs, primarily due to market driven price declines in resin, and the impact of lower volume, partially offset by $22 million of higher manufacturing costs primarily due to inflationary increases.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$13 million, or 6%, to $231 million, compared to the nine months ended September 30, 2018. The increase was due to increased personnel-related costs.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for the nine months ended September 30, 2019 increased by $14 million, or 70%, to $34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2018. The increase was primarily attributable to $12 million of transaction-related costs incurred during the nine months ended September 30, 2019. These costs comprise amounts associated with the IPO process that cannot be offset against the anticipated IPO proceeds, as well as costs related to our preparations to operate as a stand-alone public company. For both periods, other expense, net, also included the factoring discount on the sale of U.S. trade receivables and the allocation of RGHL Group’s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and the allocation of RGHL Group’s related party management fee will cease.</w:t>
      </w:r>
    </w:p>
    <w:p>
      <w:pPr>
        <w:spacing w:after="0" w:line="17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nine months ended September 30, 2019 decreased by $38 million, or 18%, to $174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September 30, 2018. The decrease was primarily due to a $47 million decrease in related party interest expense, partially offset by a $7 million increase in interest expense on external debt. The decrease in related party interest expense was primarily the result of a reduction in amounts outstanding under various related party borrowings. In June 2019, our interest bearing related party receivables were used to reduce amounts outstanding under various related party borrowings by $1,802 million. Partially offsetting the overall decrease in interest expense, net was an increase in interest expense on borrowings outstanding under the RGHL Group Credit Agreement, reflective of an increase in the LIBO reference rate during the nine months ended September 30, 2019 compared to the nine months ended September 30, 2018 from 1.87% to 2.41%.</w:t>
      </w:r>
    </w:p>
    <w:p>
      <w:pPr>
        <w:spacing w:after="0" w:line="16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1"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income tax expense of $44 million on income before income taxes of $179 million (an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25%) for the nine months ended September 30, 2019 compared to income tax expense of $24 million on income before income taxes of</w:t>
      </w:r>
    </w:p>
    <w:p>
      <w:pPr>
        <w:ind w:left="200" w:right="120"/>
        <w:spacing w:after="0" w:line="255" w:lineRule="auto"/>
        <w:rPr>
          <w:sz w:val="20"/>
          <w:szCs w:val="20"/>
          <w:color w:val="auto"/>
        </w:rPr>
      </w:pPr>
      <w:r>
        <w:rPr>
          <w:rFonts w:ascii="Arial" w:cs="Arial" w:eastAsia="Arial" w:hAnsi="Arial"/>
          <w:sz w:val="18"/>
          <w:szCs w:val="18"/>
          <w:color w:val="auto"/>
        </w:rPr>
        <w:t>$116 million (an effective tax rate of 21%) for the nine months ended September 30, 2018. The increase in the effective tax rate was a result of the favorable impact of U.S. state legislative changes enacted in the nine months ended September 30, 2018 and certain non-deductible transaction-related costs recognized in the nine months ended September 30, 2019.</w:t>
      </w:r>
    </w:p>
    <w:p>
      <w:pPr>
        <w:spacing w:after="0" w:line="19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for the nine months ended September 30, 2019 increased by $18 million, or 4%, to $441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September 30, 2018. Lower material costs of $65 million due to market driven price declines in resin were partially offset by higher manufacturing costs of $22 million primarily due to inflationary cost increases, higher personnel-related costs and the impact of lower volume.</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Reynolds Cooking &amp; Baking</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0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$744</w:t>
            </w:r>
          </w:p>
        </w:tc>
        <w:tc>
          <w:tcPr>
            <w:tcW w:w="3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$780</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(36)</w:t>
            </w:r>
          </w:p>
        </w:tc>
        <w:tc>
          <w:tcPr>
            <w:tcW w:w="3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Total Segment Net Revenues. </w:t>
      </w:r>
      <w:r>
        <w:rPr>
          <w:rFonts w:ascii="Arial" w:cs="Arial" w:eastAsia="Arial" w:hAnsi="Arial"/>
          <w:sz w:val="16"/>
          <w:szCs w:val="16"/>
          <w:color w:val="auto"/>
        </w:rPr>
        <w:t>Reynolds Cooking &amp; Baking total segment net revenues for the nine months ended September 30, 2019 decreased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$36 million, or 5%, to $744 million compared to the nine months ended September 30, 2018. The decline in net revenues was due to $28 million of lower volume, largely attributable to lower foodservice and reroll sales, and decreased pricing driven by increased trade promotion spending.</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Reynolds Cooking &amp; Baking Adjusted EBITDA for the nine months ended September 30, 2019 decreased $23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17%, to $116 million compared to the nine months ended September 30, 2018. The decrease in Adjusted EBITDA was primarily driven by $7 million of higher manufacturing costs due to inflationary increases and lower production volume, decreased pricing, the impact of lower volume and higher personnel-related costs.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Waste &amp; Storage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$ 533</w:t>
            </w:r>
          </w:p>
        </w:tc>
        <w:tc>
          <w:tcPr>
            <w:tcW w:w="1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$ 508</w:t>
            </w:r>
          </w:p>
        </w:tc>
        <w:tc>
          <w:tcPr>
            <w:tcW w:w="3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5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Total Segment Net Revenues. </w:t>
      </w:r>
      <w:r>
        <w:rPr>
          <w:rFonts w:ascii="Arial" w:cs="Arial" w:eastAsia="Arial" w:hAnsi="Arial"/>
          <w:sz w:val="16"/>
          <w:szCs w:val="16"/>
          <w:color w:val="auto"/>
        </w:rPr>
        <w:t>Hefty Waste &amp; Storage total segment net revenues for the nine months ended September 30, 2019 increased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 million, or 5%, to $533 million compared to the nine months ended September 30, 2018. The increase was primarily due to an $18 million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volume resulting largely from strong sales of both branded and store brand trash bags as we gained incremental business and experienced strong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growth with existing customers.</w:t>
      </w:r>
    </w:p>
    <w:p>
      <w:pPr>
        <w:spacing w:after="0" w:line="21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nine months ended September 30, 2019 increased $29 million, or 26%, to</w:t>
      </w:r>
      <w:r>
        <w:rPr>
          <w:rFonts w:ascii="Arial" w:cs="Arial" w:eastAsia="Arial" w:hAnsi="Arial"/>
          <w:sz w:val="18"/>
          <w:szCs w:val="18"/>
          <w:i w:val="1"/>
          <w:iCs w:val="1"/>
          <w:color w:val="auto"/>
        </w:rPr>
        <w:t xml:space="preserve"> </w:t>
      </w:r>
      <w:r>
        <w:rPr>
          <w:rFonts w:ascii="Arial" w:cs="Arial" w:eastAsia="Arial" w:hAnsi="Arial"/>
          <w:sz w:val="18"/>
          <w:szCs w:val="18"/>
          <w:color w:val="auto"/>
        </w:rPr>
        <w:t>$142 million compared to the nine months ended September 30, 2018. The increase in Adjusted EBITDA was primarily driven by higher net revenues as well as $35 million in lower material costs due to market driven price declines in resin. These increases were partially offset by higher manufacturing costs and increased personnel-related costs.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Tableware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9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9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vMerge w:val="continue"/>
            <w:shd w:val="clear" w:color="auto" w:fill="CCEEFF"/>
          </w:tcPr>
          <w:p>
            <w:pPr>
              <w:spacing w:after="0"/>
              <w:rPr>
                <w:sz w:val="18"/>
                <w:szCs w:val="18"/>
                <w:color w:val="auto"/>
              </w:rPr>
            </w:pPr>
          </w:p>
        </w:tc>
        <w:tc>
          <w:tcPr>
            <w:tcW w:w="29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$ 545</w:t>
            </w:r>
          </w:p>
        </w:tc>
        <w:tc>
          <w:tcPr>
            <w:tcW w:w="1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$ 552</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40" w:type="dxa"/>
            <w:vAlign w:val="bottom"/>
          </w:tcPr>
          <w:p>
            <w:pPr>
              <w:jc w:val="right"/>
              <w:ind w:right="127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Hefty Tableware total segment net revenues for the nine months ended September 30, 2019 decreased by $7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 to $545 million compared to the nine months ended September 30, 2018. The decrease was primarily due to $16 million in lower volume due to the exit of certain store branded business, partially offset by new product growth at several of our major customers. The decrease was partially offset by $10 million of higher pricing primarily due to the continuing impact of the price increases taken in 2018.</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for the nine months ended September 30, 2019 increased $8 million, or 7%, to</w:t>
      </w:r>
    </w:p>
    <w:p>
      <w:pPr>
        <w:spacing w:after="0" w:line="23"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$126 million compared to the nine months ended September 30, 2018. The increase in Adjusted EBITDA was primarily attributable to $16 million of lower material costs due to market driven price declines in resin and increased pricing, partially offset by higher manufacturing costs and the impact of lower volume.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Presto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For the nine months ended September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8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$ 387</w:t>
            </w:r>
          </w:p>
        </w:tc>
        <w:tc>
          <w:tcPr>
            <w:tcW w:w="1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$ 402</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w:t>
            </w: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nine months ended September 30, 2019 decreased by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4%, to $387 million compared to the nine months ended September 30, 2018. The decrease was primarily due to $17 million in lower volume driven by the discontinuation of several non-core products, partially offset by strong sales with existing customers and growth within our eCommerce business as we have become the sole supplier for certain store brand products.</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Presto Products Adjusted EBITDA for the nine months ended September 30, 2019 increased $6 million, or 10%, to $67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2018. The increase in Adjusted EBITDA was primarily driven by $14 million of lower material costs due to market driven price declines in resin, partially offset by $5 million impact of lower volume.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Year Ended December 31, 2018 Compared with the Year Ended December 31,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Reynolds Consumer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2,981</w:t>
            </w: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3,142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2,957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(2,310)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NM(1)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(141)</w:t>
            </w:r>
          </w:p>
        </w:tc>
        <w:tc>
          <w:tcPr>
            <w:tcW w:w="18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(126)</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22%</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Change in Net Revenues for the Year Ended December 31, 2018 vs. the Year Ended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760" w:type="dxa"/>
            <w:vAlign w:val="bottom"/>
            <w:gridSpan w:val="3"/>
          </w:tcPr>
          <w:p>
            <w:pPr>
              <w:ind w:left="3020"/>
              <w:spacing w:after="0"/>
              <w:rPr>
                <w:sz w:val="20"/>
                <w:szCs w:val="20"/>
                <w:color w:val="auto"/>
              </w:rPr>
            </w:pPr>
            <w:r>
              <w:rPr>
                <w:rFonts w:ascii="Arial" w:cs="Arial" w:eastAsia="Arial" w:hAnsi="Arial"/>
                <w:sz w:val="14"/>
                <w:szCs w:val="14"/>
                <w:b w:val="1"/>
                <w:bCs w:val="1"/>
                <w:color w:val="auto"/>
              </w:rPr>
              <w:t>Price</w:t>
            </w:r>
          </w:p>
        </w:tc>
        <w:tc>
          <w:tcPr>
            <w:tcW w:w="138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Volume/Mix</w:t>
            </w:r>
          </w:p>
        </w:tc>
        <w:tc>
          <w:tcPr>
            <w:tcW w:w="78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30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shd w:val="clear" w:color="auto" w:fill="CCEEFF"/>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760" w:type="dxa"/>
            <w:vAlign w:val="bottom"/>
            <w:gridSpan w:val="3"/>
          </w:tcPr>
          <w:p>
            <w:pPr>
              <w:ind w:left="3260"/>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right"/>
              <w:ind w:right="170"/>
              <w:spacing w:after="0"/>
              <w:rPr>
                <w:sz w:val="20"/>
                <w:szCs w:val="20"/>
                <w:color w:val="auto"/>
              </w:rPr>
            </w:pPr>
            <w:r>
              <w:rPr>
                <w:rFonts w:ascii="Arial" w:cs="Arial" w:eastAsia="Arial" w:hAnsi="Arial"/>
                <w:sz w:val="18"/>
                <w:szCs w:val="18"/>
                <w:color w:val="auto"/>
              </w:rPr>
              <w:t>6%</w:t>
            </w:r>
          </w:p>
        </w:tc>
        <w:tc>
          <w:tcPr>
            <w:tcW w:w="780" w:type="dxa"/>
            <w:vAlign w:val="bottom"/>
            <w:gridSpan w:val="3"/>
          </w:tcPr>
          <w:p>
            <w:pPr>
              <w:ind w:left="4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760" w:type="dxa"/>
            <w:vAlign w:val="bottom"/>
            <w:gridSpan w:val="3"/>
            <w:shd w:val="clear" w:color="auto" w:fill="CCEEFF"/>
          </w:tcPr>
          <w:p>
            <w:pPr>
              <w:ind w:left="3260"/>
              <w:spacing w:after="0"/>
              <w:rPr>
                <w:sz w:val="20"/>
                <w:szCs w:val="20"/>
                <w:color w:val="auto"/>
              </w:rPr>
            </w:pPr>
            <w:r>
              <w:rPr>
                <w:rFonts w:ascii="Arial" w:cs="Arial" w:eastAsia="Arial" w:hAnsi="Arial"/>
                <w:sz w:val="18"/>
                <w:szCs w:val="18"/>
                <w:color w:val="auto"/>
              </w:rPr>
              <w:t>3%</w:t>
            </w:r>
          </w:p>
        </w:tc>
        <w:tc>
          <w:tcPr>
            <w:tcW w:w="1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Presto Products</w:t>
            </w:r>
          </w:p>
        </w:tc>
        <w:tc>
          <w:tcPr>
            <w:tcW w:w="3760" w:type="dxa"/>
            <w:vAlign w:val="bottom"/>
            <w:gridSpan w:val="3"/>
          </w:tcPr>
          <w:p>
            <w:pPr>
              <w:ind w:left="32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780" w:type="dxa"/>
            <w:vAlign w:val="bottom"/>
            <w:gridSpan w:val="3"/>
          </w:tcPr>
          <w:p>
            <w:pPr>
              <w:ind w:left="4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3760" w:type="dxa"/>
            <w:vAlign w:val="bottom"/>
            <w:gridSpan w:val="3"/>
            <w:shd w:val="clear" w:color="auto" w:fill="CCEEFF"/>
          </w:tcPr>
          <w:p>
            <w:pPr>
              <w:ind w:left="3260"/>
              <w:spacing w:after="0"/>
              <w:rPr>
                <w:sz w:val="20"/>
                <w:szCs w:val="20"/>
                <w:color w:val="auto"/>
              </w:rPr>
            </w:pPr>
            <w:r>
              <w:rPr>
                <w:rFonts w:ascii="Arial" w:cs="Arial" w:eastAsia="Arial" w:hAnsi="Arial"/>
                <w:sz w:val="18"/>
                <w:szCs w:val="18"/>
                <w:b w:val="1"/>
                <w:bCs w:val="1"/>
                <w:color w:val="auto"/>
              </w:rPr>
              <w:t>5%</w:t>
            </w: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 xml:space="preserve">Total Net Revenues. </w:t>
      </w:r>
      <w:r>
        <w:rPr>
          <w:rFonts w:ascii="Arial" w:cs="Arial" w:eastAsia="Arial" w:hAnsi="Arial"/>
          <w:sz w:val="16"/>
          <w:szCs w:val="16"/>
          <w:color w:val="auto"/>
        </w:rPr>
        <w:t>Total net revenues for the year ended December 31, 2018 increased by $185 million, or 6%, to $3,142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increase was primarily driven by a $149 million increase in pricing across all segments and $36 million in higher volume primarily in branded trash bag sales in our Hefty Waste &amp; Storage segment. The price increases, most significant in Reynolds Cooking &amp; Baking, were taken in response to increased material costs, primarily aluminum and resin, and lower trade promotion spending.</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for the year ended December 31, 2018 increased by $215 million, or 10%, to $2,310 million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2017. The increase was primarily due to a $119 million increase in material costs, primarily aluminum and resin, a $30 million increase in logistics costs impacting all of our segments due to higher market driven freight rates, an $18 million increase related to unrealized losses on derivative contracts, a $15 million increase in manufacturing costs primarily due to inflationary increases and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impact of higher volume on variable costs. These cost increases were partially mitigated by cost savings driven by our Reyvolution initiatives which offset material cost increases, primarily aluminum and resin, and inflationary cost increases throughout our operations.</w:t>
      </w:r>
    </w:p>
    <w:p>
      <w:pPr>
        <w:spacing w:after="0" w:line="14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year ended December 31, 2018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 million, or 2%, to $288 million, compared to the year ended December 31, 2017. The decrease was primarily due to a $6 million decrease in depreciation due to certain technology assets becoming fully depreciated during the fiscal year 2018 and a $4 million decrease in advertising costs, partially offset by increased personnel-related costs.</w:t>
      </w:r>
    </w:p>
    <w:p>
      <w:pPr>
        <w:spacing w:after="0" w:line="18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for the year ended December 31, 2018 increased by $3 million, or 11%, to $31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For both periods, other expense, net, was primarily attributable to the factoring discount on the sale of U.S. trade receivables and the allocation of RGHL Group’s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and the allocation of RGHL Group’s related party management fee will cease.</w:t>
      </w:r>
    </w:p>
    <w:p>
      <w:pPr>
        <w:spacing w:after="0" w:line="15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year ended December 31, 2018 decreased by $42 million, or 13%, to $280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decrease was primarily due to a $26 million increase in related party interest income and a $25 million decrease in related party interest expense, partially offset by a $12 million increase in interest expense on external debt. The $26 million increase in related party interest income is attributable to the combination of increases in the weighted average interest rate, which increased from 1.7% as of December 31, 2017 to 2.9% as of December 31, 2018, and a $472 million increase in the balance of related party receivables. The $25 million decrease in related party interest expense is attributable to the combination of an overall decrease in the weighted average interest rate, which decreased from 6.3% as of December 31, 2017 to 6.0% as of December 31, 2018, and the timing of repayments and new related party borrowings. The interest rates on related party receivables and related party borrowings reflect contractually agreed amounts that were established at the time that the various agreements were entered into. The $12 million increase in interest expense on external debt is primarily attributable to the increase in the LIBO reference rate, which increased from 1.6% as of December 31, 2017 to 2.5% as of December 31, 2018.</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June 2019, our interest bearing related party receivables were used to reduce amounts outstanding under various related party borrowings. Furthermore, 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We recognized income tax expense of $57 million on income before income taxes of $233 million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24%) for the year ended December 31, 2018 compared to an income tax benefit of $84 million on income before income taxes of $218 million (an effective tax rate of (39)%) for the year ended December 31, 2017. The effective tax rate in the current year reflects the U.S. federal tax rate of 21%. The unusual effective tax rate during the year ended December 31, 2017, reflects the impact of U.S. tax legislative changes enacted in late 2017 requiring the remeasurement of net deferred tax liabilities from 35% to 21%.</w:t>
      </w:r>
    </w:p>
    <w:p>
      <w:pPr>
        <w:spacing w:after="0" w:line="18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for the year ended December 31, 2018 decreased by $9 million, or 1%, to $647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2017. Logistics costs increased by $30 million, due to increased market driven freight rates, and manufacturing costs increased by $15 million, primarily due to inflationary increases, partially offset by an increase of $24 million in pricing due to fewer trade promotions and the Adjusted EBITDA impact of higher volume, primarily in our Hefty Waste &amp; Storage segment.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Reynolds Cooking &amp; Baking</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6"/>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0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w:t>
            </w:r>
          </w:p>
        </w:tc>
        <w:tc>
          <w:tcPr>
            <w:tcW w:w="2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$1,068</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w:t>
            </w:r>
          </w:p>
        </w:tc>
        <w:tc>
          <w:tcPr>
            <w:tcW w:w="3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Reynolds Cooking &amp; Baking total segment net revenues for the year ended December 31, 2018 increased by</w:t>
      </w:r>
    </w:p>
    <w:p>
      <w:pPr>
        <w:spacing w:after="0" w:line="23" w:lineRule="exact"/>
        <w:rPr>
          <w:sz w:val="20"/>
          <w:szCs w:val="20"/>
          <w:color w:val="auto"/>
        </w:rPr>
      </w:pPr>
    </w:p>
    <w:p>
      <w:pPr>
        <w:ind w:left="200" w:right="140"/>
        <w:spacing w:after="0" w:line="323" w:lineRule="auto"/>
        <w:rPr>
          <w:sz w:val="20"/>
          <w:szCs w:val="20"/>
          <w:color w:val="auto"/>
        </w:rPr>
      </w:pPr>
      <w:r>
        <w:rPr>
          <w:rFonts w:ascii="Arial" w:cs="Arial" w:eastAsia="Arial" w:hAnsi="Arial"/>
          <w:sz w:val="16"/>
          <w:szCs w:val="16"/>
          <w:color w:val="auto"/>
        </w:rPr>
        <w:t>$91 million, or 9%, to $1,159 million compared to the year ended December 31, 2017. The increase was primarily due to $93 million in price increases taken in response to increased material costs, primarily aluminum, and lower trade promotion spending, partially offset by lower volume.</w:t>
      </w:r>
    </w:p>
    <w:p>
      <w:pPr>
        <w:spacing w:after="0" w:line="13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Reynolds Cooking &amp; Baking Adjusted EBITDA for the year ended December 31, 2018 decreased $17 million, or 7%, to</w:t>
      </w:r>
      <w:r>
        <w:rPr>
          <w:rFonts w:ascii="Arial" w:cs="Arial" w:eastAsia="Arial" w:hAnsi="Arial"/>
          <w:sz w:val="18"/>
          <w:szCs w:val="18"/>
          <w:i w:val="1"/>
          <w:iCs w:val="1"/>
          <w:color w:val="auto"/>
        </w:rPr>
        <w:t xml:space="preserve"> </w:t>
      </w:r>
      <w:r>
        <w:rPr>
          <w:rFonts w:ascii="Arial" w:cs="Arial" w:eastAsia="Arial" w:hAnsi="Arial"/>
          <w:sz w:val="18"/>
          <w:szCs w:val="18"/>
          <w:color w:val="auto"/>
        </w:rPr>
        <w:t>$234 million compared to the year ended December 31, 2017. The decrease in Adjusted EBITDA was primarily driven by $88 million of higher material and manufacturing costs due to increased aluminum prices and inflationary cost increases as well as higher logistics costs due to market driven increases in freight rates and the impact of lower volume. The effects of these unfavorable changes in Adjusted EBITDA were partially offset by $93 million in price increases, as discussed above.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Waste &amp; Storage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5"/>
              </w:rPr>
              <w:t>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$696</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$638</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4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Waste &amp; Storage total segment net revenues for the year ended December 31, 2018 increased by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9%, to $696 million compared to the year ended December 31, 2017. The increase was primarily due to a $38 million increase in volume primarily due to strong sales of our branded trash bags and $22 million in price increases taken in response to higher material costs, primarily resin, and lower trade promotion spending.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year ended December 31, 2018 increased $23 million, or 15%, to</w:t>
      </w:r>
    </w:p>
    <w:p>
      <w:pPr>
        <w:spacing w:after="0" w:line="23"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$172 million compared to the year ended December 31, 2017. The increase in Adjusted EBITDA was primarily driven by $22 million in price increases, as discussed above, $17 million attributable to the higher volume noted above and $6 million in lower advertising spending. The effects of these favorable changes in Adjusted EBITDA were partially offset by $18 million of higher material and manufacturing costs, driven by increased resin prices and inflationary cost increases.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Tableware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3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8"/>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30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vMerge w:val="continue"/>
            <w:shd w:val="clear" w:color="auto" w:fill="CCEEFF"/>
          </w:tcPr>
          <w:p>
            <w:pPr>
              <w:spacing w:after="0"/>
              <w:rPr>
                <w:sz w:val="18"/>
                <w:szCs w:val="18"/>
                <w:color w:val="auto"/>
              </w:rPr>
            </w:pPr>
          </w:p>
        </w:tc>
        <w:tc>
          <w:tcPr>
            <w:tcW w:w="30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$757</w:t>
            </w:r>
          </w:p>
        </w:tc>
        <w:tc>
          <w:tcPr>
            <w:tcW w:w="3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4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tcPr>
          <w:p>
            <w:pPr>
              <w:jc w:val="right"/>
              <w:ind w:right="141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for the year ended December 31, 2018 increased by $26 million, or 4%,</w:t>
      </w:r>
      <w:r>
        <w:rPr>
          <w:rFonts w:ascii="Arial" w:cs="Arial" w:eastAsia="Arial" w:hAnsi="Arial"/>
          <w:sz w:val="18"/>
          <w:szCs w:val="18"/>
          <w:i w:val="1"/>
          <w:iCs w:val="1"/>
          <w:color w:val="auto"/>
        </w:rPr>
        <w:t xml:space="preserve"> </w:t>
      </w:r>
      <w:r>
        <w:rPr>
          <w:rFonts w:ascii="Arial" w:cs="Arial" w:eastAsia="Arial" w:hAnsi="Arial"/>
          <w:sz w:val="18"/>
          <w:szCs w:val="18"/>
          <w:color w:val="auto"/>
        </w:rPr>
        <w:t>to $757 million compared to the year ended December 31, 2017. The increase was primarily due to $22 million in price increases primarily taken in response to higher material costs, primarily resin, and higher volume primarily driven by the introduction of new products, partially offset by softness in certain channels.</w:t>
      </w:r>
    </w:p>
    <w:p>
      <w:pPr>
        <w:spacing w:after="0" w:line="18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Hefty Tableware Adjusted EBITDA for the year ended December 31, 2018 decreased $15 million, or 8%, to $168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The decrease in Adjusted EBITDA was primarily attributable to $22 million of higher manufacturing and material costs due to resin cost increases and inflationary cost increases and $16 million of higher logistics costs as a result of higher market driven freight rates. These costs increases were partially offset by $22 million of price increases, as discussed above.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Presto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6"/>
              </w:rPr>
              <w:t>For the year ended December 31,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6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$539</w:t>
            </w:r>
          </w:p>
        </w:tc>
        <w:tc>
          <w:tcPr>
            <w:tcW w:w="3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$531</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w:t>
            </w:r>
          </w:p>
        </w:tc>
        <w:tc>
          <w:tcPr>
            <w:tcW w:w="4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year ended December 31, 2018 increased by $8 million, or 2%, to</w:t>
      </w:r>
      <w:r>
        <w:rPr>
          <w:rFonts w:ascii="Arial" w:cs="Arial" w:eastAsia="Arial" w:hAnsi="Arial"/>
          <w:sz w:val="18"/>
          <w:szCs w:val="18"/>
          <w:i w:val="1"/>
          <w:iCs w:val="1"/>
          <w:color w:val="auto"/>
        </w:rPr>
        <w:t xml:space="preserve"> </w:t>
      </w:r>
      <w:r>
        <w:rPr>
          <w:rFonts w:ascii="Arial" w:cs="Arial" w:eastAsia="Arial" w:hAnsi="Arial"/>
          <w:sz w:val="18"/>
          <w:szCs w:val="18"/>
          <w:color w:val="auto"/>
        </w:rPr>
        <w:t>$539 million compared to the year ended December 31, 2017. The increase was primarily due to $13 million in price increases taken in response to higher material costs, primarily resin.</w:t>
      </w:r>
    </w:p>
    <w:p>
      <w:pPr>
        <w:spacing w:after="0" w:line="18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Presto Products Adjusted EBITDA for the year ended December 31, 2018 increased $2 million, or 2%, to $85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The increase in Adjusted EBITDA was primarily driven by $5 million of lower manufacturing costs driven by our Reyvolution initiatives and lower employee related costs, partially offset by $6 million of higher logistics costs due to market driven freight increases.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Year Ended December 31, 2017 Compared with the Year Ended December 31,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Reynolds Consumer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2,792</w:t>
            </w: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2,957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2,935</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(2,048)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2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223</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22%</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line="20" w:lineRule="exact"/>
              <w:rPr>
                <w:sz w:val="1"/>
                <w:szCs w:val="1"/>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Change in Net Revenues for the Year Ended December 31, 2017 vs. the Year Ended December 31,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Price</w:t>
            </w:r>
          </w:p>
        </w:tc>
        <w:tc>
          <w:tcPr>
            <w:tcW w:w="14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Volume/Mix</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30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shd w:val="clear" w:color="auto" w:fill="CCEEFF"/>
          </w:tcPr>
          <w:p>
            <w:pPr>
              <w:spacing w:after="0"/>
              <w:rPr>
                <w:sz w:val="18"/>
                <w:szCs w:val="18"/>
                <w:color w:val="auto"/>
              </w:rPr>
            </w:pPr>
          </w:p>
        </w:tc>
        <w:tc>
          <w:tcPr>
            <w:tcW w:w="30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0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(5%)</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Presto Products</w:t>
            </w:r>
          </w:p>
        </w:tc>
        <w:tc>
          <w:tcPr>
            <w:tcW w:w="372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400" w:type="dxa"/>
            <w:vAlign w:val="bottom"/>
            <w:gridSpan w:val="3"/>
          </w:tcPr>
          <w:p>
            <w:pPr>
              <w:jc w:val="right"/>
              <w:ind w:right="19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3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Total Net Revenues. </w:t>
      </w:r>
      <w:r>
        <w:rPr>
          <w:rFonts w:ascii="Arial" w:cs="Arial" w:eastAsia="Arial" w:hAnsi="Arial"/>
          <w:sz w:val="18"/>
          <w:szCs w:val="18"/>
          <w:color w:val="auto"/>
        </w:rPr>
        <w:t>Total net revenues for the year ended December 31, 2017 increased by $22 million, or 1%, to $2,957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The increase was primarily due to $36 million of price increases primarily taken in response to higher material costs, partially offset by a $13 million decline in volume. The decline in volume was primarily due to the exit of certain store brand products in our Hefty Waste &amp; Storage segment.</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for the year ended December 31, 2017 increased by $47 million, or 2%, to $2,095 million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was primarily due to $65 million of increased material and manufacturing costs driven by increased resin and aluminum prices and inflationary increases, partially offset by the impact of lower volume. These cost increases were partially mitigated by cost savings driven by our Reyvolution initiatives which offset material cost increases, primarily aluminum and resin, and inflationary cost increases throughout our operations.</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year ended December 31, 2017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$31 million, or 10%, to $294 million compared to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42" w:lineRule="auto"/>
        <w:rPr>
          <w:sz w:val="20"/>
          <w:szCs w:val="20"/>
          <w:color w:val="auto"/>
        </w:rPr>
      </w:pPr>
      <w:r>
        <w:rPr>
          <w:rFonts w:ascii="Arial" w:cs="Arial" w:eastAsia="Arial" w:hAnsi="Arial"/>
          <w:sz w:val="16"/>
          <w:szCs w:val="16"/>
          <w:color w:val="auto"/>
        </w:rPr>
        <w:t>December 31, 2016. The decrease was primarily due to a $26 million decrease in advertising spending driven by the launch in 2016 of several new product lines and a general decrease in advertising spending in the Reynolds Cooking &amp; Baking and Hefty Waste &amp; Storage segments.</w:t>
      </w:r>
    </w:p>
    <w:p>
      <w:pPr>
        <w:spacing w:after="0" w:line="124"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for the year ended December 31, 2017 remained unchanged at $28 million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Other expense, net, for both periods, was primarily attributable to the factoring discount on the sale of U.S. trade receivables and the allocation of a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The allocation of the related party management fee will also cease.</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Non-Operating Expense, Net. </w:t>
      </w:r>
      <w:r>
        <w:rPr>
          <w:rFonts w:ascii="Arial" w:cs="Arial" w:eastAsia="Arial" w:hAnsi="Arial"/>
          <w:sz w:val="18"/>
          <w:szCs w:val="18"/>
          <w:color w:val="auto"/>
        </w:rPr>
        <w:t>Non-operating expense, net for the year ended December 31, 2017 decreased by $10 million, or 100%, to nil</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net decrease was primarily attributable to a $9 million defined benefit plan settlement loss in 2016 following the merger of our defined benefit pension plan into a plan sponsored by RGHL Group.</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year ended December 31, 2017 decreased by $69 million, or 18%, to $322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2016. The decrease was primarily due to a $74 million decrease in related party interest expense and a $12 million increase in related party interest income, partially offset by a $34 million increase in interest expense on borrowings under the RGHL Group Credit Agreement. The changes in related party interest income and interest expense are primarily the result of changes in interest rates and outstanding principal balances.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increase in interest expense on the RGHL Group Credit Agreement borrowings is primarily attributable to an increase in outstanding borrowings.</w:t>
      </w:r>
    </w:p>
    <w:p>
      <w:pPr>
        <w:spacing w:after="0" w:line="23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June 2019, our interest bearing related party receivables were used to reduce amounts outstanding under various related party borrowings. Furthermore, 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an income tax benefit of $84 million on profit before income taxes of $218 million (an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(39)%) for the year ended December 31, 2017 compared to income tax expense of $54 million on profit before income taxes of $133 million (an effective tax rate of 41%) for the year ended December 31, 2016. The unusual effective tax rate during the year ended December 31, 2017, reflects the impact of U.S. tax legislative changes enacted in late 2017 requiring the remeasurement of net deferred tax liabilities from 35% to 21%.</w:t>
      </w:r>
    </w:p>
    <w:p>
      <w:pPr>
        <w:spacing w:after="0" w:line="154"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increased $9 million, or 1%, to $656 million for the year ended December 31, 2017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Price increases of $36 million, as discussed above, a decrease of $26 million in advertising spending associated with the launch in 2016 of several new products that did not repeat and $14 million of higher volume were partially offset by $65 million of higher material and manufacturing costs due to increased material costs, primarily resin and aluminum, and inflationary cost increases.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Reynolds Cooking &amp; Baking</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6"/>
              </w:rPr>
              <w:t>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4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02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$1,068</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w:t>
            </w: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580" w:firstLine="441"/>
        <w:spacing w:after="0" w:line="312" w:lineRule="auto"/>
        <w:rPr>
          <w:sz w:val="20"/>
          <w:szCs w:val="20"/>
          <w:color w:val="auto"/>
        </w:rPr>
      </w:pPr>
      <w:r>
        <w:rPr>
          <w:rFonts w:ascii="Arial" w:cs="Arial" w:eastAsia="Arial" w:hAnsi="Arial"/>
          <w:sz w:val="16"/>
          <w:szCs w:val="16"/>
          <w:i w:val="1"/>
          <w:iCs w:val="1"/>
          <w:color w:val="auto"/>
        </w:rPr>
        <w:t xml:space="preserve">Total Segment Net Revenues. </w:t>
      </w:r>
      <w:r>
        <w:rPr>
          <w:rFonts w:ascii="Arial" w:cs="Arial" w:eastAsia="Arial" w:hAnsi="Arial"/>
          <w:sz w:val="16"/>
          <w:szCs w:val="16"/>
          <w:color w:val="auto"/>
        </w:rPr>
        <w:t>Reynolds Cooking &amp; Baking total segment net revenues for the year ended December 31, 2017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$11 million, or 1%, to $1,068 million compared to the year ended December 31, 2016. This increase was primarily driven by $16 million in price increases taken in response to higher material costs, primarily aluminum, and lower trade promotion spending, partially offset by lower volume.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Reynolds Cooking &amp; Baking Adjusted EBITDA for the year ended December 31, 2017 increased $7 million, or 3%,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$251 million compared to the year ended December 31, 2016. The increase in Adjusted EBITDA was primarily attributable to the $16 million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pricing, as discussed above, and lower advertising spending of $9 million due to the launch in 2016 of a new product and the related increase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advertising spending that did not repeat in 2017. These were partially offset by an increase of $12 million in material and manufacturing costs.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Waste &amp; Storage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1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$638</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$671</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w:t>
            </w:r>
          </w:p>
        </w:tc>
        <w:tc>
          <w:tcPr>
            <w:tcW w:w="48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Waste &amp; Storage total segment net revenues for the year ended December 31, 2017 decreased by $33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 to $638 million compared to the year ended December 31, 2016. The decrease was primarily due to lower volume driven by the exit of certain store brand products, which was partially offset by higher volume of our branded products, including the 2016 launch of our Hefty Ultra Strong product line.</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year ended December 31, 2017 decreased $2 million, or 1%, to $149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decrease in Adjusted EBITDA was primarily driven by an increase of $18 million in material and manufacturing costs, partially offset by a decrease of $15 million in advertising spending primarily due to the launch in 2016 of our Hefty Ultra Strong product line.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Hefty Tableware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8"/>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1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22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w:t>
            </w:r>
          </w:p>
        </w:tc>
        <w:tc>
          <w:tcPr>
            <w:tcW w:w="3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$710</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4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for the year ended December 31, 2017 increased by $21 million, or 3%,</w:t>
      </w:r>
      <w:r>
        <w:rPr>
          <w:rFonts w:ascii="Arial" w:cs="Arial" w:eastAsia="Arial" w:hAnsi="Arial"/>
          <w:sz w:val="18"/>
          <w:szCs w:val="18"/>
          <w:i w:val="1"/>
          <w:iCs w:val="1"/>
          <w:color w:val="auto"/>
        </w:rPr>
        <w:t xml:space="preserve"> </w:t>
      </w:r>
      <w:r>
        <w:rPr>
          <w:rFonts w:ascii="Arial" w:cs="Arial" w:eastAsia="Arial" w:hAnsi="Arial"/>
          <w:sz w:val="18"/>
          <w:szCs w:val="18"/>
          <w:color w:val="auto"/>
        </w:rPr>
        <w:t>to $731 million compared to the year ended December 31, 2016.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increase was primarily due to $11 million in higher volume partially due to new products and $9 million in price increases taken in response to higher material costs, primarily resin.</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for the year ended December 31, 2017 decreased $2 million, or 1%, to $183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decrease in Adjusted EBITDA was primarily attributable to $24 million of higher material costs, partially offset by $9 million of price increases, as discussed above, $6 million of lower manufacturing costs driven by our Reyvolution initiatives and the impact of higher volume.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Presto Products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5"/>
              </w:rPr>
              <w:t>For the 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1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2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$531</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w:t>
            </w:r>
          </w:p>
        </w:tc>
        <w:tc>
          <w:tcPr>
            <w:tcW w:w="4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4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year ended December 31, 2017 increased by $21 million, or 4%,</w:t>
      </w:r>
      <w:r>
        <w:rPr>
          <w:rFonts w:ascii="Arial" w:cs="Arial" w:eastAsia="Arial" w:hAnsi="Arial"/>
          <w:sz w:val="18"/>
          <w:szCs w:val="18"/>
          <w:i w:val="1"/>
          <w:iCs w:val="1"/>
          <w:color w:val="auto"/>
        </w:rPr>
        <w:t xml:space="preserve"> </w:t>
      </w:r>
      <w:r>
        <w:rPr>
          <w:rFonts w:ascii="Arial" w:cs="Arial" w:eastAsia="Arial" w:hAnsi="Arial"/>
          <w:sz w:val="18"/>
          <w:szCs w:val="18"/>
          <w:color w:val="auto"/>
        </w:rPr>
        <w:t>to $531 million compared to the year ended December 31, 2016. The increase was primarily due to $10 million in higher volume and $10 million of price increases taken in response to higher material costs, primarily resin.</w:t>
      </w:r>
    </w:p>
    <w:p>
      <w:pPr>
        <w:spacing w:after="0" w:line="181"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Presto Products Adjusted EBITDA for the year ended December 31, 2017 increased $5 million, or 6%, to $83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2016. The increase in Adjusted EBITDA was primarily attributable to the price increases noted above, the impact of higher volume and lower employee-related costs. These increases were partially offset by higher material and manufacturing costs.</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Historical Cash Flows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discloses our cash flows for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center"/>
              <w:ind w:left="219"/>
              <w:spacing w:after="0"/>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Net cash from operating activities decreased by $189 million, or 54%, to $158 million for the nine months ended September 30, 2019 compared to $347 million for the nine months ended September 30, 2018. The decrease in net cash inflows from operating activities was primarily attributable to the settlement of related party payables, partially offset by a lower net investment in inventory during the current period.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Net cash used in investing activities decreased by $142 million, or 60%, to $93 million for the nine months ended September 30, 2019 compared to $235 million for the nine months ended September 30, 2018. The net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decrease was primarily attributable to net changes in cash advanced to RGHL Group as part of wider RGHL Group cash management activities. Excluding these related party items, cash outflows from investing activities increased by $24 million, or 48%, to $74 million for the nine months ended September 30, 2019 from $50 million for the nine months ended September 30, 2018. These amounts represent expenditures on the acquisition of property, plant and equipment. This increase in capital expenditures was associated with cost reduction projects related to our Reyvolution program.</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financing activities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Net cash used in financing activities decreased by $56 million, or 43%, for the nine months ended September 30, 2019 compared to a net outflow of $129 million for the nine months ended September 30, 2018. The change in cash flows from financing activities was primarily attributable to changes in related party balances as part of wider RGHL Group cash management activities.</w:t>
      </w:r>
    </w:p>
    <w:p>
      <w:pPr>
        <w:spacing w:after="0" w:line="28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discloses our cash flows for the years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8"/>
          </w:tcPr>
          <w:p>
            <w:pPr>
              <w:jc w:val="center"/>
              <w:ind w:left="134"/>
              <w:spacing w:after="0"/>
              <w:rPr>
                <w:sz w:val="20"/>
                <w:szCs w:val="20"/>
                <w:color w:val="auto"/>
              </w:rPr>
            </w:pPr>
            <w:r>
              <w:rPr>
                <w:rFonts w:ascii="Arial" w:cs="Arial" w:eastAsia="Arial" w:hAnsi="Arial"/>
                <w:sz w:val="14"/>
                <w:szCs w:val="14"/>
                <w:b w:val="1"/>
                <w:bCs w:val="1"/>
                <w:color w:val="auto"/>
                <w:w w:val="94"/>
              </w:rPr>
              <w:t>For the year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680" w:type="dxa"/>
            <w:vAlign w:val="bottom"/>
            <w:gridSpan w:val="3"/>
          </w:tcPr>
          <w:p>
            <w:pPr>
              <w:jc w:val="center"/>
              <w:ind w:left="168"/>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from operating activities increased by $135 million, or 34%, to $530 million for the year ended December 31, 2018 compared to</w:t>
      </w:r>
    </w:p>
    <w:p>
      <w:pPr>
        <w:spacing w:after="0" w:line="3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$395 million for the year ended December 31, 2017. The net increase in cash inflows from operating activities was primarily attributable to net changes in related party receivables, payables and accrued interest, as well as increased earnings.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from operating activities increased by $2 million, or 1%, to $395 million for the year ended December 31, 2017 compared to</w:t>
      </w:r>
    </w:p>
    <w:p>
      <w:pPr>
        <w:spacing w:after="0" w:line="23" w:lineRule="exact"/>
        <w:rPr>
          <w:sz w:val="20"/>
          <w:szCs w:val="20"/>
          <w:color w:val="auto"/>
        </w:rPr>
      </w:pPr>
    </w:p>
    <w:p>
      <w:pPr>
        <w:jc w:val="both"/>
        <w:ind w:left="200" w:right="180"/>
        <w:spacing w:after="0" w:line="302" w:lineRule="auto"/>
        <w:rPr>
          <w:sz w:val="20"/>
          <w:szCs w:val="20"/>
          <w:color w:val="auto"/>
        </w:rPr>
      </w:pPr>
      <w:r>
        <w:rPr>
          <w:rFonts w:ascii="Arial" w:cs="Arial" w:eastAsia="Arial" w:hAnsi="Arial"/>
          <w:sz w:val="16"/>
          <w:szCs w:val="16"/>
          <w:color w:val="auto"/>
        </w:rPr>
        <w:t>$393 million for the year ended December 31, 2016. The net increase in cash inflows from operating activities was primarily driven by a $112 million reduction in interest payments and increased earnings, partially offset by an unfavorable change of $69 million in net working capital, primarily driven by higher raw material costs and a strategic build of inventory, and an unfavorable change in related party receivables and payables.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Net cash used in investing activities increased by $190 million, or 52%, to $554 million for the year ended December 31, 2018 compared to $364 million for the year ended December 31, 2017. These amounts and movements were primarily attributable to changes in net cash advanced to RGHL Group as part of wider RGHL Group cash management activities. Excluding these related party items, cash outflows from investing activities increased by $26 million, or 46%, to $82 million for the year ended December 31, 2018 from $56 million for the year ended December 31, 2017. These amounts represent expenditures on the acquisition of property, plant and equipment. This increase in expenditure was associated with cost reduction projects related to our Reyvolution program and increased foil spooling capabilities.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Net cash used in investing activities decreased by $220 million, or 38%, to $364 million for the year ended December 31, 2017 compared to $584 million for the year ended December 31, 2016. These amounts and movements were primarily attributable to changes in net cash advanced to RGHL Group as part of wider RGHL Group cash management activities. Excluding these related party items, cash outflows from investing activities increased by $13 million, or 30%, to $56 million for the year ended December 31, 2017 from $43 million for the year ended December 31, 2016. These amounts represent expenditures on the acquisition of property, plant and equipment. This increase in expenditure was associated with cost reduction projects related to increased environmental, health and safety spending.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(used in) financing activities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from financing activities was a net inflow of $24 million for the year ended December 31, 2018, a change of $64 million from a net outflow of $40 million for the year ended December 31, 2017. The change in cash flows from financing activities was primarily attributable to changes in related party balances.</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from financing activities was a net outflow of $40 million for the year ended December 31, 2017, a change of $220 million from a net inflow of $180 million for the year ended December 31, 2016. The change in cash flows from financing activities was primarily attributable to changes in related party balances, partially offset by a $146 million reduction in the repayment of long-term debt.</w:t>
      </w:r>
    </w:p>
    <w:p>
      <w:pPr>
        <w:spacing w:after="0" w:line="2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Quarterly Results and Seasonality</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 following table sets forth quarterly data for each of the periods presented. In management’s opinion, the data below has been prepared on the same basis as the combined financial statements included elsewhere in this prospectus and reflects all normal and recurring adjustments considered necessary for a fair statement of this data. The results of historical periods are not necessarily indicative of the results to be expected for a full year or any future period. The following quarterly financial data should be read in conjunction with our audited annual combined financial statements and related notes and our interim unaudited condensed combined financial statements and related notes included elsewhere in this prospectus.</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Three months</w:t>
            </w: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Statements of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Net revenues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net revenues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Total net 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05"/>
        </w:trPr>
        <w:tc>
          <w:tcPr>
            <w:tcW w:w="23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Income (loss) before</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Arial" w:cs="Arial" w:eastAsia="Arial" w:hAnsi="Arial"/>
                <w:sz w:val="18"/>
                <w:szCs w:val="18"/>
                <w:b w:val="1"/>
                <w:bCs w:val="1"/>
                <w:color w:val="auto"/>
              </w:rPr>
              <w:t>income taxes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2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2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20"/>
                <w:szCs w:val="20"/>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40" w:type="dxa"/>
            <w:vAlign w:val="bottom"/>
          </w:tcPr>
          <w:p>
            <w:pPr>
              <w:spacing w:after="0"/>
              <w:rPr>
                <w:sz w:val="20"/>
                <w:szCs w:val="20"/>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Historically, our principal sources of liquidity have been our existing cash and cash equivalents, cash generated from operating activities and related party borrowings from RGHL Group. Our net cash provided by operating activities included the sale of substantially all of our U.S. trade receivables through RGHL Group’s securitization facility. In conjunction with this offering, RGHL Group’s securitization facility will be amended and we will repurchase, for cash, the U.S. trade receivables previously sold under the securitization facility that are outstanding as of the time of the repurchase of such trade receivables.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Following the consummation of this offering, our principal sources of liquidity will be existing cash and cash equivalents, cash generated from operating activities and available borrowings under the New Revolving Facility.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Credit Facilities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Immediately prior to the closing of this offering, we expect to enter into the New Credit Facilities with Credit Suisse AG, Cayman Islands Branch as administrative agent, collateral agent and a letter of credit issuer and certain other parties.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23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519"/>
        </w:trPr>
        <w:tc>
          <w:tcPr>
            <w:tcW w:w="8660" w:type="dxa"/>
            <w:vAlign w:val="bottom"/>
            <w:gridSpan w:val="3"/>
          </w:tcPr>
          <w:p>
            <w:pPr>
              <w:ind w:left="640"/>
              <w:spacing w:after="0"/>
              <w:rPr>
                <w:sz w:val="20"/>
                <w:szCs w:val="20"/>
                <w:color w:val="auto"/>
              </w:rPr>
            </w:pPr>
            <w:r>
              <w:rPr>
                <w:rFonts w:ascii="Arial" w:cs="Arial" w:eastAsia="Arial" w:hAnsi="Arial"/>
                <w:sz w:val="18"/>
                <w:szCs w:val="18"/>
                <w:color w:val="auto"/>
                <w:w w:val="96"/>
              </w:rPr>
              <w:t>The New Credit Facilities will provide for a New Term Loan Facility in an aggregate principal amount of $</w:t>
            </w:r>
          </w:p>
        </w:tc>
        <w:tc>
          <w:tcPr>
            <w:tcW w:w="2420" w:type="dxa"/>
            <w:vAlign w:val="bottom"/>
          </w:tcPr>
          <w:p>
            <w:pPr>
              <w:ind w:left="300"/>
              <w:spacing w:after="0"/>
              <w:rPr>
                <w:sz w:val="20"/>
                <w:szCs w:val="20"/>
                <w:color w:val="auto"/>
              </w:rPr>
            </w:pPr>
            <w:r>
              <w:rPr>
                <w:rFonts w:ascii="Arial" w:cs="Arial" w:eastAsia="Arial" w:hAnsi="Arial"/>
                <w:sz w:val="18"/>
                <w:szCs w:val="18"/>
                <w:color w:val="auto"/>
                <w:w w:val="92"/>
              </w:rPr>
              <w:t>million and a New Revolving</w:t>
            </w:r>
          </w:p>
        </w:tc>
      </w:tr>
      <w:tr>
        <w:trPr>
          <w:trHeight w:val="230"/>
        </w:trPr>
        <w:tc>
          <w:tcPr>
            <w:tcW w:w="3700" w:type="dxa"/>
            <w:vAlign w:val="bottom"/>
            <w:gridSpan w:val="2"/>
          </w:tcPr>
          <w:p>
            <w:pPr>
              <w:ind w:left="200"/>
              <w:spacing w:after="0"/>
              <w:rPr>
                <w:sz w:val="20"/>
                <w:szCs w:val="20"/>
                <w:color w:val="auto"/>
              </w:rPr>
            </w:pPr>
            <w:r>
              <w:rPr>
                <w:rFonts w:ascii="Arial" w:cs="Arial" w:eastAsia="Arial" w:hAnsi="Arial"/>
                <w:sz w:val="18"/>
                <w:szCs w:val="18"/>
                <w:color w:val="auto"/>
                <w:w w:val="97"/>
              </w:rPr>
              <w:t>Facility in an aggregate principal amount of $</w:t>
            </w: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5"/>
              </w:rPr>
              <w:t>million. The New Revolving Facility is expected to be undrawn upon the closing of this offering.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340" w:firstLine="441"/>
        <w:spacing w:after="0" w:line="255" w:lineRule="auto"/>
        <w:rPr>
          <w:sz w:val="20"/>
          <w:szCs w:val="20"/>
          <w:color w:val="auto"/>
        </w:rPr>
      </w:pPr>
      <w:r>
        <w:rPr>
          <w:rFonts w:ascii="Arial" w:cs="Arial" w:eastAsia="Arial" w:hAnsi="Arial"/>
          <w:sz w:val="18"/>
          <w:szCs w:val="18"/>
          <w:color w:val="auto"/>
        </w:rPr>
        <w:t>The initial borrower under the New Credit Facilities will be one or more domestic wholly-owned subsidiaries of RCPI (collectively, the “Borrower”). The New Revolving Facility will include a sub-facility for letters of credit. In addition, the New Credit Facilities will provide that the Borrower will have the right at any time, subject to customary conditions, to request incremental term loans or incremental revolving credit commitments in amounts and on terms set forth therein. The lenders under the New Credit Facilities will not be under any obligation to provide any such incremental loans or commitments, and any such addition of or increase in loans will be subject to certain customary conditions precedent and other provisions.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Borrowings under the New Credit Facilities are expected to bear interest at a rate per annum equal to an applicable margin to be determined based on market conditions plus, at the Borrower’s option, either (a) a base rate determined by reference to the highest of (1) the administrative agent’s prime lending rate, (2) the federal funds effective rate plus 0.5% and (3) the LIBO rate for a one month interest period plus 1.00% or (b) a LIBO rate determined by reference to the screen-based LIBO rate for the interest period relevant to such borrowing, in each case, subject to interest rate floors.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It is expected that the New Term Loan Facility will contain customary mandatory prepayments, including with respect to excess cash flow, asset sale proceeds and proceeds from certain incurrences of indebtedness.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It is expected that the Borrower may voluntarily repay outstanding loans under the New Term Loan Facility at any time without premium or penalty, other than customary breakage costs with respect to LIBO rate loans; provided, however, that we expect that any voluntary prepayment, refinancing or repricing of the New Credit Facilities in connection with certain repricing transactions that occur prior to the six-month anniversary of the closing of the New Term Loan Facility will be subject to a prepayment premium of 1.00% of the principal amount of the term loans so prepaid, refinanced or repriced.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Amortization and maturity</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New Term Loan Facility is expected to amortize in equal quarterly installments in an aggregate annual amount equal to 1.00% of the original principal amount thereon, with the balance being payable on the date that is seven years after the closing of the New Credit Facilities. The New Revolving Facility will mature five years after the closing of the New Credit Facilities.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All obligations under the New Credit Facilities and certain hedge agreements and cash management arrangements provided by any lender party to the New Credit Facilities or any of its affiliates and certain other persons will be unconditionally guaranteed by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5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All obligations under the New Credit Facilities and certain hedge agreements and cash management arrangements provided by any lender party to the New Credit Facilities or any of its affiliates and certain other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4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persons, and the guarantees of such obligations, will be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New Credit Facilities are expected to contain a number of covenants that, among other things, will restrict, subject to certain exceptions, our ability and the ability of the restricted subsidiaries of RCPI to:</w:t>
      </w:r>
    </w:p>
    <w:p>
      <w:pPr>
        <w:spacing w:after="0" w:line="76" w:lineRule="exact"/>
        <w:rPr>
          <w:sz w:val="20"/>
          <w:szCs w:val="20"/>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42" w:lineRule="exact"/>
        <w:rPr>
          <w:rFonts w:ascii="Arial" w:cs="Arial" w:eastAsia="Arial" w:hAnsi="Arial"/>
          <w:sz w:val="17"/>
          <w:szCs w:val="17"/>
          <w:color w:val="auto"/>
        </w:rPr>
      </w:pPr>
    </w:p>
    <w:p>
      <w:pPr>
        <w:ind w:left="960" w:hanging="3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New Credit Facilities are expected to contain a springing financial covenant requiring compliance with a maximum ratio of first lien net</w:t>
      </w:r>
    </w:p>
    <w:p>
      <w:pPr>
        <w:spacing w:after="0" w:line="35"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indebtedness to consolidated EBITDA of :1.00, applicable solely to the New Revolving Facility. The financial covenant will be tested on the last day of any fiscal quarter (commencing with the first full fiscal quarter after the closing date of the New Credit Facilities) only if the aggregate principal amount of borrowings under the revolving facility and drawn but unreimbursed letters of credit exceeds % of the total amount of commitments under the New Revolving Facility on such day.</w:t>
      </w:r>
    </w:p>
    <w:p>
      <w:pPr>
        <w:spacing w:after="0" w:line="19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If an event of default occurs, the lenders under the New Credit Facilities will be entitled to take various actions, including the acceleration of amounts due under the New Credit Facilities and all actions permitted to be taken by secured creditors.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believe that our projected cash position, cash flows from operations and, following the consummation of this offering, borrowings under the New Credit Facilities will be sufficient to meet the needs of our business.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24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material contractual obligations as of December 31, 2018, on a historical basis: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Less than</w:t>
            </w:r>
          </w:p>
        </w:tc>
        <w:tc>
          <w:tcPr>
            <w:tcW w:w="1180" w:type="dxa"/>
            <w:vAlign w:val="bottom"/>
            <w:gridSpan w:val="3"/>
          </w:tcPr>
          <w:p>
            <w:pPr>
              <w:ind w:left="420"/>
              <w:spacing w:after="0"/>
              <w:rPr>
                <w:sz w:val="20"/>
                <w:szCs w:val="20"/>
                <w:color w:val="auto"/>
              </w:rPr>
            </w:pPr>
            <w:r>
              <w:rPr>
                <w:rFonts w:ascii="Arial" w:cs="Arial" w:eastAsia="Arial" w:hAnsi="Arial"/>
                <w:sz w:val="14"/>
                <w:szCs w:val="14"/>
                <w:b w:val="1"/>
                <w:bCs w:val="1"/>
                <w:color w:val="auto"/>
                <w:w w:val="89"/>
              </w:rPr>
              <w:t>One to three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Three to five</w:t>
            </w:r>
          </w:p>
        </w:tc>
        <w:tc>
          <w:tcPr>
            <w:tcW w:w="1300" w:type="dxa"/>
            <w:vAlign w:val="bottom"/>
            <w:gridSpan w:val="4"/>
          </w:tcPr>
          <w:p>
            <w:pPr>
              <w:ind w:left="420"/>
              <w:spacing w:after="0"/>
              <w:rPr>
                <w:sz w:val="20"/>
                <w:szCs w:val="20"/>
                <w:color w:val="auto"/>
              </w:rPr>
            </w:pPr>
            <w:r>
              <w:rPr>
                <w:rFonts w:ascii="Arial" w:cs="Arial" w:eastAsia="Arial" w:hAnsi="Arial"/>
                <w:sz w:val="14"/>
                <w:szCs w:val="14"/>
                <w:b w:val="1"/>
                <w:bCs w:val="1"/>
                <w:color w:val="auto"/>
              </w:rPr>
              <w:t>Greater than</w:t>
            </w:r>
          </w:p>
        </w:tc>
        <w:tc>
          <w:tcPr>
            <w:tcW w:w="0" w:type="dxa"/>
            <w:vAlign w:val="bottom"/>
          </w:tcPr>
          <w:p>
            <w:pPr>
              <w:spacing w:after="0"/>
              <w:rPr>
                <w:sz w:val="1"/>
                <w:szCs w:val="1"/>
                <w:color w:val="auto"/>
              </w:rPr>
            </w:pPr>
          </w:p>
        </w:tc>
      </w:tr>
      <w:tr>
        <w:trPr>
          <w:trHeight w:val="171"/>
        </w:trPr>
        <w:tc>
          <w:tcPr>
            <w:tcW w:w="5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one year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$2,464</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Related party borrowings, including accrued interest(1)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5,609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Unconditional capital expenditure obligations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plan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8,203</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1,176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40" w:hanging="436"/>
        <w:spacing w:after="0" w:line="288" w:lineRule="auto"/>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Total obligations for long-term debt and related party borrowings consist of the principal amounts, fixed and floating rate interest obligations, including related party accrued interest payable as of December 31, 2018. The interest rates on the floating rate debt balances have been assumed to be the same as the rates in effect as of December 31, 2018. In June 2019, we net settled related party borrowings of $1,714 million and related</w:t>
      </w:r>
    </w:p>
    <w:p>
      <w:pPr>
        <w:ind w:left="640" w:right="300"/>
        <w:spacing w:after="0" w:line="421" w:lineRule="auto"/>
        <w:rPr>
          <w:sz w:val="20"/>
          <w:szCs w:val="20"/>
          <w:color w:val="auto"/>
        </w:rPr>
      </w:pPr>
      <w:r>
        <w:rPr>
          <w:rFonts w:ascii="Arial" w:cs="Arial" w:eastAsia="Arial" w:hAnsi="Arial"/>
          <w:sz w:val="16"/>
          <w:szCs w:val="16"/>
          <w:color w:val="auto"/>
        </w:rPr>
        <w:t>party accrued interest payable of $655 million. For further information, refer to Note 15—Subsequent Events of our annual combined financial statements included elsewhere in this prospectus. As part of the Corporate Reorganization, the existing long-term debt and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borrowings will be settled and we will also enter into the New Term Loan Facility, with repayments expected to be $ (less than one year), $ (one to three years), $ (three to five years) and $ (greater than five years).</w:t>
      </w:r>
    </w:p>
    <w:p>
      <w:pPr>
        <w:spacing w:after="0" w:line="170"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As of December 31, 2018, our liabilities for uncertain tax positions totaled $1 million. The ultimate timing of these liabilities cannot be determined; therefore, we have excluded these amounts from the contractual obligations table above.</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than operating leases entered into in the normal course of business, we have no material off-balance sheet obligations.</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the normal course of business, we are subject to risks from adverse fluctuations in interest rates and commodity prices. We have historically managed commodity price risks through commodity derivatives. We are not a party to leveraged derivatives and, by policy, do not use financial instruments for speculative purposes. The extent to which we use derivative instruments is dependent upon our access to them in the financial markets, the costs associated with entering into such arrangements and our use of other risk management methods, such as establishing sales arrangements that permit the pass-through of changes in commodity prices to customers. Our objective in managing our exposure to market risk is to limit the impact on earnings and cash flow.</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had significant debt commitments outstanding as of December 31, 2018. These on-balance sheet financial instruments, to the extent they accrue interest at variable interest rates, expose us to interest rate risk. Our interest rate risk arises primarily on significant borrowings that are drawn under our portion of the RGHL Group Credit Agreement and certain related party borrowings.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conjunction with this offering all of our obligations under the historical debt commitments, both those with third party financial institutions and</w:t>
      </w:r>
    </w:p>
    <w:p>
      <w:pPr>
        <w:spacing w:after="0" w:line="46" w:lineRule="exact"/>
        <w:rPr>
          <w:sz w:val="20"/>
          <w:szCs w:val="20"/>
          <w:color w:val="auto"/>
        </w:rPr>
      </w:pPr>
    </w:p>
    <w:p>
      <w:pPr>
        <w:ind w:left="200" w:right="200"/>
        <w:spacing w:after="0" w:line="281" w:lineRule="auto"/>
        <w:rPr>
          <w:sz w:val="20"/>
          <w:szCs w:val="20"/>
          <w:color w:val="auto"/>
        </w:rPr>
      </w:pPr>
      <w:r>
        <w:rPr>
          <w:rFonts w:ascii="Arial" w:cs="Arial" w:eastAsia="Arial" w:hAnsi="Arial"/>
          <w:sz w:val="16"/>
          <w:szCs w:val="16"/>
          <w:color w:val="auto"/>
        </w:rPr>
        <w:t>those with RGHL Group, will be settled, and we will incur $ million of interest bearing borrowings under the New Credit Facilities. Based on the expected outstanding borrowings under the New Term Loan Facility as of the closing of this offering with all other variables remaining constant, a</w:t>
      </w:r>
    </w:p>
    <w:p>
      <w:pPr>
        <w:spacing w:after="0" w:line="1"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100-basis point increase (decrease) in the interest rates under the New Term Loan Facility would result in a $ million increase (decrease) in interest expense, per annum, on our borrowings.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exposed to commodity and other price risk principally from the purchase of resin, aluminum, natural gas, electricity, carton board and diesel. We use various strategies to manage cost exposures on certain material purchases with the objective of obtaining more predictable costs for these commodities. From time to time, we enter into hedging agreements, including commodity derivative contracts, to hedge commodity prices primarily related to aluminum, diesel and benzene.</w:t>
      </w:r>
    </w:p>
    <w:p>
      <w:pPr>
        <w:spacing w:after="0" w:line="18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enter into futures and swaps to reduce our exposure to commodity price fluctuations. These derivatives are implemented to either (a) mitigate the impact of the lag in timing between when material costs change and when we can pass through these material cost changes to our customers or</w:t>
      </w:r>
    </w:p>
    <w:p>
      <w:pPr>
        <w:ind w:left="200"/>
        <w:spacing w:after="0"/>
        <w:rPr>
          <w:sz w:val="20"/>
          <w:szCs w:val="20"/>
          <w:color w:val="auto"/>
        </w:rPr>
      </w:pPr>
      <w:r>
        <w:rPr>
          <w:rFonts w:ascii="Arial" w:cs="Arial" w:eastAsia="Arial" w:hAnsi="Arial"/>
          <w:sz w:val="16"/>
          <w:szCs w:val="16"/>
          <w:color w:val="auto"/>
        </w:rPr>
        <w:t>(b) fix our input costs for a period. The following table provides the details of our outstanding commodity derivative contracts as of December 31,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w:t>
            </w:r>
          </w:p>
        </w:tc>
      </w:tr>
      <w:tr>
        <w:trPr>
          <w:trHeight w:val="17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Type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Contracted volume</w:t>
            </w:r>
          </w:p>
        </w:tc>
        <w:tc>
          <w:tcPr>
            <w:tcW w:w="2200" w:type="dxa"/>
            <w:vAlign w:val="bottom"/>
            <w:gridSpan w:val="3"/>
          </w:tcPr>
          <w:p>
            <w:pPr>
              <w:ind w:left="340"/>
              <w:spacing w:after="0"/>
              <w:rPr>
                <w:sz w:val="20"/>
                <w:szCs w:val="20"/>
                <w:color w:val="auto"/>
              </w:rPr>
            </w:pPr>
            <w:r>
              <w:rPr>
                <w:rFonts w:ascii="Arial" w:cs="Arial" w:eastAsia="Arial" w:hAnsi="Arial"/>
                <w:sz w:val="14"/>
                <w:szCs w:val="14"/>
                <w:b w:val="1"/>
                <w:bCs w:val="1"/>
                <w:color w:val="auto"/>
              </w:rPr>
              <w:t>Contracted price range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Metric tonne</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34,711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$1,925.00</w:t>
            </w:r>
          </w:p>
        </w:tc>
        <w:tc>
          <w:tcPr>
            <w:tcW w:w="11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$2,499.50</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 2019 - Dec. 2019</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Metric tonne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4,130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$403.45</w:t>
            </w:r>
          </w:p>
        </w:tc>
        <w:tc>
          <w:tcPr>
            <w:tcW w:w="1100" w:type="dxa"/>
            <w:vAlign w:val="bottom"/>
          </w:tcPr>
          <w:p>
            <w:pPr>
              <w:ind w:left="20"/>
              <w:spacing w:after="0"/>
              <w:rPr>
                <w:sz w:val="20"/>
                <w:szCs w:val="20"/>
                <w:color w:val="auto"/>
              </w:rPr>
            </w:pPr>
            <w:r>
              <w:rPr>
                <w:rFonts w:ascii="Arial" w:cs="Arial" w:eastAsia="Arial" w:hAnsi="Arial"/>
                <w:sz w:val="18"/>
                <w:szCs w:val="18"/>
                <w:color w:val="auto"/>
              </w:rPr>
              <w:t>- $407.85</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1,882,258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 2019 - June 2019</w:t>
            </w:r>
          </w:p>
        </w:tc>
      </w:tr>
      <w:tr>
        <w:trPr>
          <w:trHeight w:val="230"/>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3,449,492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1100" w:type="dxa"/>
            <w:vAlign w:val="bottom"/>
          </w:tcPr>
          <w:p>
            <w:pPr>
              <w:ind w:left="2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r>
    </w:tbl>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Commodity derivative contracts are valued using observable market commodity index prices less the contract rate multiplied by the notional amount or based on pricing models that rely on market observable inputs such as commodity prices. As of December 31, 2018, the estimated fair values of the outstanding commodity derivative contracts were a net liability of $9 million. During the year ended December 31, 2018, we recognized a $14 million unrealized loss and a $4 million realized loss in cost of sales in the combined statement of income related to commodity derivatives.</w:t>
      </w:r>
    </w:p>
    <w:p>
      <w:pPr>
        <w:spacing w:after="0" w:line="154"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A 10% upward (downward) movement in the price curve used to value the commodity derivative contracts, applied as of December 31, 2018, would have resulted in a $1 million (decrease) increase in unrealized losses recognized in the combined statement of income assuming all other variables remain constant.</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The methods, estimates and judgments we use in applying our most critical accounting policies have a significant impact on the results we report in our combined financial statements. Specific areas requiring the application of management’s estimates and judgments include, among others, assumptions pertaining to benefit plan assumptions, valuation assumptions of goodwill and intangible assets, useful lives of long-lived assets, sales incentives and income taxes. Accordingly, a different financial presentation could result depending on the judgments, estimates or assumptions that are used. The most critical accounting policies and estimates are those that are most important to the portrayal of our financial condition and results of operations and require us to make the most difficult and subjective judgments, often estimating the outcome of future events that are inherently uncertain. Our most critical accounting policies and estimates are related to revenue recognition, the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valuation of goodwill and intangible assets and income taxes. A summary of our significant accounting policies and use of estimates is contained in Note 2–Summary of Significant Accounting Policies of our annual combined financial statements included elsewhere in this prospectus.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Recognition—Sales Incentives</w:t>
      </w:r>
    </w:p>
    <w:p>
      <w:pPr>
        <w:spacing w:after="0" w:line="121"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of total net revenues for fiscal year 2018 and 6% of total net revenues for each of fiscal year 2017 and fiscal year 2016. As of December 31, 2018 and 2017, we had accruals of $40 million and $32 million, respectively, reflected on our combined balance sheets in Accrued and other current liabilities related to sales incentive programs.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Indefinite-Lived Intangible Assets and Long-Lived Assets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2018, 2017 and 2016.</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Our reporting units for goodwill impairment testing purposes are Reynolds Cooking &amp; Baking, Hefty Waste &amp; Storage, Hefty Tableware and Presto Products. No instances of impairment were identified during the fiscal year 2018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1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 (i) the estimated future branded revenue from the use of the asset;</w:t>
      </w:r>
    </w:p>
    <w:p>
      <w:pPr>
        <w:spacing w:after="0" w:line="2" w:lineRule="exact"/>
        <w:rPr>
          <w:sz w:val="20"/>
          <w:szCs w:val="20"/>
          <w:color w:val="auto"/>
        </w:rPr>
      </w:pPr>
    </w:p>
    <w:p>
      <w:pPr>
        <w:ind w:left="200" w:right="40" w:firstLine="4"/>
        <w:spacing w:after="0" w:line="254" w:lineRule="auto"/>
        <w:tabs>
          <w:tab w:leader="none" w:pos="4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2018 annual impairment review. Each of our indefinite-lived intangible assets had fair values that significantly exceeded recorded carrying values.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Prior to the closing of this offering, our U.S. operations have been included in a consolidated U.S. federal return as well as certain state and local tax returns filed by RGHL Group. We also file certain separate U.S. state and local and foreign income tax 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included elsewhere in this prospectus, may not be indicative of our income taxes in the future. Where we have been included in the tax returns filed by RGHL Group, any income taxes payable resulting from the separate return basis have been reflected in our combined balance sheets in Net Parent deficit.</w:t>
      </w:r>
    </w:p>
    <w:p>
      <w:pPr>
        <w:spacing w:after="0" w:line="18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Considerable management judgment is necessary to assess the inherent uncertainties related to the interpretations of complex tax laws, regulations and taxing authority rulings.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New accounting guidance that we have recently adopted, as well as accounting guidance that has been recently issued but not yet adopted by us, is included in Note 2—Summary of Significant Account Policies of our annual combined financial statements included elsewhere in this prospectus.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ACV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6997700" cy="2317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231775"/>
                    </a:xfrm>
                    <a:prstGeom prst="rect">
                      <a:avLst/>
                    </a:prstGeom>
                    <a:noFill/>
                  </pic:spPr>
                </pic:pic>
              </a:graphicData>
            </a:graphic>
          </wp:anchor>
        </w:drawing>
      </w: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Our leading brand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1071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24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As a category captain level advisor for many of our retail partners, we provide the insights retailers require to grow entire product categories. We provide our customers with category management expertise, including assortment analytics and promotion strategies, which is supported by innovation and consumer-focused insights. We believe that championing our categories helps cement our retailer relationships and will drive growth across all of our product lines. This approach, combined with our leading products, capabilities and service, further differentiates us from our competitors.</w:t>
      </w:r>
    </w:p>
    <w:p>
      <w:pPr>
        <w:spacing w:after="0" w:line="154"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While our products have been trusted for generations, we place significant emphasis on constantly improving them. Innovation is a key component of our corporate culture and we aim to continually evolve across our segments through both the introduction of new features on our existing product portfolio and the development of new product solutions. Our objective is to generate 20% of our revenue each year from new products introduced within the prior three years. All of our key product lines include newly developed innovative products such as our Hefty Ultra Strong trash bags, Reynolds KITCHENS Slow Cooker Liners, Parchment Pop Up Sheets, 75% Unbleached Compostable Parchment Paper, Hefty branded party cups, store brand party cups and our Presto store brand square-shaped snack bags. We believe our commitment to innovation has driven our growth and is a key reason why consumers continue to choose our products.</w:t>
      </w:r>
    </w:p>
    <w:p>
      <w:pPr>
        <w:spacing w:after="0" w:line="17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put safety first, treat people with respect and act ethically to operate a business that is sustainable for the long-term. We never compromise our values in the face of market forces and we remain committed to strong rules of governance. We strive to operate with respect for the environment, and we are committed to sustainability across three key areas: our product portfolio, supply chain and communities. We currently deliver sustainable solutions across all of our product lines and are focused on innovation that further develops the eco-friendly profile of our product portfolio.</w:t>
      </w:r>
    </w:p>
    <w:p>
      <w:pPr>
        <w:spacing w:after="0" w:line="154"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an attractive financial profile with steady, organic revenue growth, robust margins and disciplined capital expenditures. These attributes allow us to generate significant free cash flow. In the year ended December 31, 2018, we generated $3.1 billion in revenue, $176 million in net income and $647 million in Adjusted EBITDA. For the nine months ended September 30, 2019, we generated $2.2 billion in revenue, $135 million in net income and $441 million in Adjusted EBITDA. Since 2014, our income from operations margin and Adjusted EBITDA margin have grown by 364 and 242 basis points to 16% and 21%, respectively, in the year ended December 31, 2018. We have driven margin expansion mainly through our consistent focus on improving operational efficiency, managing costs throughout the cycle and driving innovation. Our revenue, net income and Adjusted EBITDA in the year ended December 31, 2018 reflect a CAGR of 2.2%, 110.3% and 5.5%, respectively, since 2014. In the year ended December 31, 2018, we generated $530 million of net cash provided by operating activities and spent $82 million on capital expenditures. See “Prospectus Summary— Summary Historical and Unaudited Pro Forma Combined Financial Data” and “Management’s Discussion and Analysis of Financial Condition and Results of Operations—How We Assess the Performance of Our Business” for a reconciliation of Adjusted EBITDA to net income.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Each of our businesses and brands have long heritages, beginning over 70 years ago with the introduction of Reynolds Wrap aluminum foil in 1947 and subsequently the introduction of our Hefty waste and food storage bags in the 1960s. RCP was primarily formed through the combination of three businesses: the Reynolds cooking products business, the Presto waste and food storage bag business and the Hefty trash bag, food storage bag and tableware business. The graphic below shows a timeline of our history from 1947 to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135255</wp:posOffset>
            </wp:positionV>
            <wp:extent cx="5188585" cy="2761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858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‘Reyvolution’ Culture</w:t>
      </w:r>
    </w:p>
    <w:p>
      <w:pPr>
        <w:spacing w:after="0" w:line="22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have a unique corporate culture that aims to continually reinvent and optimize our business. We have formalized our approach into an ethos we refer to as ‘Reyvolution.’ Reyvolution is an all-encompassing way of thinking, planning and evaluating our operations to accelerate future growth through product innovation, process automation and cost reduction. Through this disciplined process and mindset, we aim to drive revenue growth, market share increases and margin expansion. We are focused on long-term planning and goal-setting strategies as well as our near term operating results. We believe it is critical to embrace new technology and, through this program, we have made significant investment across our business to accelerate optimization opportunities. Reyvolution is focused on four key areas:</w:t>
      </w:r>
    </w:p>
    <w:p>
      <w:pPr>
        <w:spacing w:after="0" w:line="80" w:lineRule="exact"/>
        <w:rPr>
          <w:sz w:val="20"/>
          <w:szCs w:val="20"/>
          <w:color w:val="auto"/>
        </w:rPr>
      </w:pPr>
    </w:p>
    <w:p>
      <w:pPr>
        <w:ind w:left="960" w:hanging="3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Growth</w:t>
      </w:r>
      <w:r>
        <w:rPr>
          <w:rFonts w:ascii="Arial" w:cs="Arial" w:eastAsia="Arial" w:hAnsi="Arial"/>
          <w:sz w:val="18"/>
          <w:szCs w:val="18"/>
          <w:color w:val="auto"/>
        </w:rPr>
        <w:t>—support our products and customers through a holistic approach to our categories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Innovation</w:t>
      </w:r>
      <w:r>
        <w:rPr>
          <w:rFonts w:ascii="Arial" w:cs="Arial" w:eastAsia="Arial" w:hAnsi="Arial"/>
          <w:sz w:val="18"/>
          <w:szCs w:val="18"/>
          <w:color w:val="auto"/>
        </w:rPr>
        <w:t>—reinforce our existing product portfolio with new and on-trend products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Cost reduction</w:t>
      </w:r>
      <w:r>
        <w:rPr>
          <w:rFonts w:ascii="Arial" w:cs="Arial" w:eastAsia="Arial" w:hAnsi="Arial"/>
          <w:sz w:val="18"/>
          <w:szCs w:val="18"/>
          <w:color w:val="auto"/>
        </w:rPr>
        <w:t>—optimize our processes to drive increased profitability</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Automation</w:t>
      </w:r>
      <w:r>
        <w:rPr>
          <w:rFonts w:ascii="Arial" w:cs="Arial" w:eastAsia="Arial" w:hAnsi="Arial"/>
          <w:sz w:val="18"/>
          <w:szCs w:val="18"/>
          <w:color w:val="auto"/>
        </w:rPr>
        <w:t>—continuously refine our manufacturing base to increase efficiency</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Reyvolution includes a collective, cross-functional effort to drive growth across our business. This systematic program includes collaborative partnerships across our business units, monthly meetings with top executives and rigorous measurement of initiatives and progress against internal benchmarks. The program has yielded significant results both on the top and bottom line. For the two year period ended December 31, 2018, the impact of Reyvolution was approximately $176 million of Adjusted EBITDA benefit. Of the total, $126 million was generated through cost savings across our businesses, with $50 million of Adjusted EBITDA being</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24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generated through revenue initiatives. Our Reyvolution initiatives also include internal goals for innovation. Our objective is to generate 20% of our revenue from new products introduced within the prior three years. In fiscal year 2018, 21% of our revenue was generated from products that were less than three years old. Reyvolution will continue to impact everything we do on a daily basis.</w:t>
      </w:r>
    </w:p>
    <w:p>
      <w:pPr>
        <w:spacing w:after="0" w:line="18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Reyvolution success stories can be found across all of our business segments. For example, we have been able to leverage the success of the unique designs of our Hefty party cup to launch new innovative products. Within our Presto segment, we have incorporated consumer research and competitive insights to develop an “easy to grip and open” color grip opening zipper. Our focus on automation has led to the utilization of digital capabilities to significantly improve our operational efficiency and the effectiveness of our intelligent factories. Our dedication to continuous improvement has also been supported by strategic investments which allow us to utilize higher levels of post-consumer aluminum in our manufacturing processes at a lower cost.</w:t>
      </w:r>
    </w:p>
    <w:p>
      <w:pPr>
        <w:spacing w:after="0" w:line="2"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By achieving our objectives year-in and year-out, producing the highest quality and most convenient-to-use products and maintaining a commitment to the safety of our employees, we have built a company that is trusted by our customers, vendors, employees and, most importantly, the consumers who use our products.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Segments and Products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pie charts below show the breakdown of our revenue for the fiscal year ended December 31, 2018 by our segments and products.</w:t>
      </w:r>
    </w:p>
    <w:p>
      <w:pPr>
        <w:spacing w:after="0" w:line="278" w:lineRule="exact"/>
        <w:rPr>
          <w:sz w:val="20"/>
          <w:szCs w:val="20"/>
          <w:color w:val="auto"/>
        </w:rPr>
      </w:pPr>
    </w:p>
    <w:tbl>
      <w:tblPr>
        <w:tblLayout w:type="fixed"/>
        <w:tblInd w:w="220" w:type="dxa"/>
        <w:tblCellMar>
          <w:top w:w="0" w:type="dxa"/>
          <w:left w:w="0" w:type="dxa"/>
          <w:bottom w:w="0" w:type="dxa"/>
          <w:right w:w="0" w:type="dxa"/>
        </w:tblCellMar>
      </w:tblPr>
      <w:tr>
        <w:trPr>
          <w:trHeight w:val="284"/>
        </w:trPr>
        <w:tc>
          <w:tcPr>
            <w:tcW w:w="540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87"/>
              </w:rPr>
              <w:t>Our segments</w:t>
            </w:r>
          </w:p>
        </w:tc>
        <w:tc>
          <w:tcPr>
            <w:tcW w:w="340" w:type="dxa"/>
            <w:vAlign w:val="bottom"/>
          </w:tcPr>
          <w:p>
            <w:pPr>
              <w:spacing w:after="0"/>
              <w:rPr>
                <w:sz w:val="24"/>
                <w:szCs w:val="24"/>
                <w:color w:val="auto"/>
              </w:rPr>
            </w:pPr>
          </w:p>
        </w:tc>
        <w:tc>
          <w:tcPr>
            <w:tcW w:w="528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91"/>
              </w:rPr>
              <w:t>Our products</w:t>
            </w:r>
          </w:p>
        </w:tc>
        <w:tc>
          <w:tcPr>
            <w:tcW w:w="0" w:type="dxa"/>
            <w:vAlign w:val="bottom"/>
          </w:tcPr>
          <w:p>
            <w:pPr>
              <w:spacing w:after="0"/>
              <w:rPr>
                <w:sz w:val="1"/>
                <w:szCs w:val="1"/>
                <w:color w:val="auto"/>
              </w:rPr>
            </w:pPr>
          </w:p>
        </w:tc>
      </w:tr>
      <w:tr>
        <w:trPr>
          <w:trHeight w:val="81"/>
        </w:trPr>
        <w:tc>
          <w:tcPr>
            <w:tcW w:w="5400" w:type="dxa"/>
            <w:vAlign w:val="bottom"/>
            <w:shd w:val="clear" w:color="auto" w:fill="02237A"/>
          </w:tcPr>
          <w:p>
            <w:pPr>
              <w:spacing w:after="0"/>
              <w:rPr>
                <w:sz w:val="7"/>
                <w:szCs w:val="7"/>
                <w:color w:val="auto"/>
              </w:rPr>
            </w:pPr>
          </w:p>
        </w:tc>
        <w:tc>
          <w:tcPr>
            <w:tcW w:w="340" w:type="dxa"/>
            <w:vAlign w:val="bottom"/>
            <w:vMerge w:val="restart"/>
          </w:tcPr>
          <w:p>
            <w:pPr>
              <w:spacing w:after="0"/>
              <w:rPr>
                <w:sz w:val="7"/>
                <w:szCs w:val="7"/>
                <w:color w:val="auto"/>
              </w:rPr>
            </w:pPr>
          </w:p>
        </w:tc>
        <w:tc>
          <w:tcPr>
            <w:tcW w:w="5280" w:type="dxa"/>
            <w:vAlign w:val="bottom"/>
            <w:shd w:val="clear" w:color="auto" w:fill="02237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1"/>
              </w:rPr>
              <w:t>FY2018 revenue</w:t>
            </w:r>
          </w:p>
        </w:tc>
        <w:tc>
          <w:tcPr>
            <w:tcW w:w="340" w:type="dxa"/>
            <w:vAlign w:val="bottom"/>
            <w:vMerge w:val="continue"/>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FY2018 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65405</wp:posOffset>
            </wp:positionV>
            <wp:extent cx="2023745" cy="17665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23745" cy="176657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65405</wp:posOffset>
            </wp:positionV>
            <wp:extent cx="1783715" cy="13550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7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manage our operations in four reportable segments: Reynolds Cooking &amp; Baking, Hefty Waste &amp; Storage, Hefty Tableware and Presto Products.</w:t>
      </w:r>
    </w:p>
    <w:p>
      <w:pPr>
        <w:spacing w:after="0" w:line="76" w:lineRule="exact"/>
        <w:rPr>
          <w:sz w:val="20"/>
          <w:szCs w:val="20"/>
          <w:color w:val="auto"/>
        </w:rPr>
      </w:pPr>
    </w:p>
    <w:p>
      <w:pPr>
        <w:ind w:left="960" w:right="120" w:hanging="324"/>
        <w:spacing w:after="0" w:line="255"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Reynolds Cooking &amp; Baking</w:t>
      </w:r>
      <w:r>
        <w:rPr>
          <w:rFonts w:ascii="Arial" w:cs="Arial" w:eastAsia="Arial" w:hAnsi="Arial"/>
          <w:sz w:val="18"/>
          <w:szCs w:val="18"/>
          <w:color w:val="auto"/>
        </w:rPr>
        <w:t>: Reynolds Cooking &amp; Baking generated $1.2 billion in revenue and $234 million in Adjusted EBITDA (a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for the year ended December 31, 2018 and has grown its revenue at a 4.7% CAGR from 2016 to 2018. Through our Reynolds Cooking &amp; Baking segment, we produce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 This sustained leadership provides us with a platform for continued product innovation and expansion into adjacent categories. Reynolds Wrap has been one of the most trusted household brands in the United States since 1947, and Reynolds has aided brand awareness of 98%, according to a 2015 brand awareness study.</w:t>
      </w:r>
    </w:p>
    <w:p>
      <w:pPr>
        <w:spacing w:after="0" w:line="84" w:lineRule="exact"/>
        <w:rPr>
          <w:sz w:val="20"/>
          <w:szCs w:val="20"/>
          <w:color w:val="auto"/>
        </w:rPr>
      </w:pPr>
    </w:p>
    <w:p>
      <w:pPr>
        <w:ind w:left="960" w:right="20" w:hanging="324"/>
        <w:spacing w:after="0" w:line="255"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Hefty Waste &amp; Storage</w:t>
      </w:r>
      <w:r>
        <w:rPr>
          <w:rFonts w:ascii="Arial" w:cs="Arial" w:eastAsia="Arial" w:hAnsi="Arial"/>
          <w:sz w:val="18"/>
          <w:szCs w:val="18"/>
          <w:color w:val="auto"/>
        </w:rPr>
        <w:t>: Hefty generated $696 million in revenue and $172 million in Adjusted EBITDA (a 25% Adjusted EBITDA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2018 and has grown its revenue at a 2.2% CAGR from 2016 to 2018. Through our Hefty segment, we produce both branded and store brand trash and food storage bags. 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and contractor bags. It also includes sustainable solutions such as blue and clear recycling bags, compostable bags, bags made from recycled materials and the Hefty EnergyBag Program.</w:t>
      </w:r>
    </w:p>
    <w:p>
      <w:pPr>
        <w:spacing w:after="0" w:line="94" w:lineRule="exact"/>
        <w:rPr>
          <w:rFonts w:ascii="Arial" w:cs="Arial" w:eastAsia="Arial" w:hAnsi="Arial"/>
          <w:sz w:val="18"/>
          <w:szCs w:val="18"/>
          <w:color w:val="auto"/>
        </w:rPr>
      </w:pPr>
    </w:p>
    <w:p>
      <w:pPr>
        <w:ind w:left="960" w:hanging="324"/>
        <w:spacing w:after="0" w:line="272"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Hefty Tableware</w:t>
      </w:r>
      <w:r>
        <w:rPr>
          <w:rFonts w:ascii="Arial" w:cs="Arial" w:eastAsia="Arial" w:hAnsi="Arial"/>
          <w:sz w:val="17"/>
          <w:szCs w:val="17"/>
          <w:color w:val="auto"/>
        </w:rPr>
        <w:t>: Tableware generated $757 million in revenue and $168 million in Adjusted EBITDA (a 22% Adjusted EBITDA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2018 and has grown its revenue at a 3.3% CAGR from 2016 to 2018. Through our Tableware segment, we sell both branded and store brand disposable and compostable plates, bowls, platters, cups and cutlery. Our Hefty branded products include dishes and party cups. Hefty branded party cups were the #1 party cup in America by market share as of September 28, 2019.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83" w:lineRule="exact"/>
        <w:rPr>
          <w:rFonts w:ascii="Arial" w:cs="Arial" w:eastAsia="Arial" w:hAnsi="Arial"/>
          <w:sz w:val="17"/>
          <w:szCs w:val="17"/>
          <w:color w:val="auto"/>
        </w:rPr>
      </w:pPr>
    </w:p>
    <w:p>
      <w:pPr>
        <w:ind w:left="960" w:right="40" w:hanging="324"/>
        <w:spacing w:after="0" w:line="270"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Presto Products</w:t>
      </w:r>
      <w:r>
        <w:rPr>
          <w:rFonts w:ascii="Arial" w:cs="Arial" w:eastAsia="Arial" w:hAnsi="Arial"/>
          <w:sz w:val="17"/>
          <w:szCs w:val="17"/>
          <w:color w:val="auto"/>
        </w:rPr>
        <w:t>: Presto generated $539 million in revenue and $85 million in Adjusted EBITDA (a 16% Adjusted EBITDA margin)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2018 and has grown its revenue at a 2.7% CAGR from 2016 to 2018. Through our Presto segment, we primarily sell store brand products in four main categories: food storage bags, trash bags, reusable storage containers and plastic wrap. Presto is a market leader in food storage bags and differentiates itself by providing access to category management, consumer insights, marketing, merchandising and R&amp;D resources. As a result, through Presto we had a 57% share of the U.S. store brand food storage bag category and a 26% share of the total category as of September 28, 2019. Our store brand products are national brand equivalent (or better) and we offer consumer-desired features, including compostable bags and products made with plant-based and recycled materials. Our Presto segment also includes our growing specialty business, which serves other consumer products companies by providing Fresh-Lock and Slide-Rite resealable closure systems. We have extended our innovative product technology from our food storage bag products and are growing it through this unique channel.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portfolio consists of three main product groups: waste &amp; storage products, cooking products and tableware. All of our key product lines include newly developed innovative products such as our Hefty branded Ultra Strong trash bags, Reynolds KITCHENS Slow Cooker Liners, Parchment Pop Up Sheets, 75% Unbleached Compostable Parchment Paper and compostable Hefty paper plates. We have the #1 branded market share in product categories that comprised over 65% of our total revenue in fiscal year 2018. We are also a leading store brand supplier in many of the same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124460</wp:posOffset>
            </wp:positionV>
            <wp:extent cx="6852285"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2285" cy="18034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FY18</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revenue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millions)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FY16 –</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FFFFFF"/>
        </w:rPr>
        <w:t>Our key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57785</wp:posOffset>
            </wp:positionV>
            <wp:extent cx="68522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118110</wp:posOffset>
            </wp:positionV>
            <wp:extent cx="699770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2460" w:type="dxa"/>
            <w:vAlign w:val="bottom"/>
          </w:tcPr>
          <w:p>
            <w:pPr>
              <w:spacing w:after="0"/>
              <w:rPr>
                <w:sz w:val="20"/>
                <w:szCs w:val="20"/>
                <w:color w:val="auto"/>
              </w:rPr>
            </w:pPr>
            <w:r>
              <w:rPr>
                <w:rFonts w:ascii="Arial" w:cs="Arial" w:eastAsia="Arial" w:hAnsi="Arial"/>
                <w:sz w:val="14"/>
                <w:szCs w:val="14"/>
                <w:b w:val="1"/>
                <w:bCs w:val="1"/>
                <w:color w:val="auto"/>
              </w:rPr>
              <w:t>Waste &amp; storage products</w:t>
            </w:r>
          </w:p>
        </w:tc>
        <w:tc>
          <w:tcPr>
            <w:tcW w:w="2900" w:type="dxa"/>
            <w:vAlign w:val="bottom"/>
          </w:tcPr>
          <w:p>
            <w:pPr>
              <w:ind w:left="860"/>
              <w:spacing w:after="0"/>
              <w:rPr>
                <w:sz w:val="20"/>
                <w:szCs w:val="20"/>
                <w:color w:val="auto"/>
              </w:rPr>
            </w:pPr>
            <w:r>
              <w:rPr>
                <w:rFonts w:ascii="Arial" w:cs="Arial" w:eastAsia="Arial" w:hAnsi="Arial"/>
                <w:sz w:val="14"/>
                <w:szCs w:val="14"/>
                <w:b w:val="1"/>
                <w:bCs w:val="1"/>
                <w:color w:val="auto"/>
              </w:rPr>
              <w:t>Cooking products</w:t>
            </w:r>
          </w:p>
        </w:tc>
        <w:tc>
          <w:tcPr>
            <w:tcW w:w="1580" w:type="dxa"/>
            <w:vAlign w:val="bottom"/>
          </w:tcPr>
          <w:p>
            <w:pPr>
              <w:ind w:left="940"/>
              <w:spacing w:after="0"/>
              <w:rPr>
                <w:sz w:val="20"/>
                <w:szCs w:val="20"/>
                <w:color w:val="auto"/>
              </w:rPr>
            </w:pPr>
            <w:r>
              <w:rPr>
                <w:rFonts w:ascii="Arial" w:cs="Arial" w:eastAsia="Arial" w:hAnsi="Arial"/>
                <w:sz w:val="14"/>
                <w:szCs w:val="14"/>
                <w:b w:val="1"/>
                <w:bCs w:val="1"/>
                <w:color w:val="auto"/>
                <w:w w:val="90"/>
              </w:rPr>
              <w:t>Tableware</w:t>
            </w:r>
          </w:p>
        </w:tc>
      </w:tr>
      <w:tr>
        <w:trPr>
          <w:trHeight w:val="485"/>
        </w:trPr>
        <w:tc>
          <w:tcPr>
            <w:tcW w:w="2460" w:type="dxa"/>
            <w:vAlign w:val="bottom"/>
          </w:tcPr>
          <w:p>
            <w:pPr>
              <w:jc w:val="right"/>
              <w:ind w:right="1336"/>
              <w:spacing w:after="0"/>
              <w:rPr>
                <w:sz w:val="20"/>
                <w:szCs w:val="20"/>
                <w:color w:val="auto"/>
              </w:rPr>
            </w:pPr>
            <w:r>
              <w:rPr>
                <w:rFonts w:ascii="Arial" w:cs="Arial" w:eastAsia="Arial" w:hAnsi="Arial"/>
                <w:sz w:val="18"/>
                <w:szCs w:val="18"/>
                <w:color w:val="auto"/>
              </w:rPr>
              <w:t>$1,226</w:t>
            </w:r>
          </w:p>
        </w:tc>
        <w:tc>
          <w:tcPr>
            <w:tcW w:w="2900" w:type="dxa"/>
            <w:vAlign w:val="bottom"/>
          </w:tcPr>
          <w:p>
            <w:pPr>
              <w:jc w:val="right"/>
              <w:ind w:right="1176"/>
              <w:spacing w:after="0"/>
              <w:rPr>
                <w:sz w:val="20"/>
                <w:szCs w:val="20"/>
                <w:color w:val="auto"/>
              </w:rPr>
            </w:pPr>
            <w:r>
              <w:rPr>
                <w:rFonts w:ascii="Arial" w:cs="Arial" w:eastAsia="Arial" w:hAnsi="Arial"/>
                <w:sz w:val="18"/>
                <w:szCs w:val="18"/>
                <w:color w:val="auto"/>
              </w:rPr>
              <w:t>$1,159</w:t>
            </w:r>
          </w:p>
        </w:tc>
        <w:tc>
          <w:tcPr>
            <w:tcW w:w="1580" w:type="dxa"/>
            <w:vAlign w:val="bottom"/>
          </w:tcPr>
          <w:p>
            <w:pPr>
              <w:jc w:val="right"/>
              <w:ind w:right="56"/>
              <w:spacing w:after="0"/>
              <w:rPr>
                <w:sz w:val="20"/>
                <w:szCs w:val="20"/>
                <w:color w:val="auto"/>
              </w:rPr>
            </w:pPr>
            <w:r>
              <w:rPr>
                <w:rFonts w:ascii="Arial" w:cs="Arial" w:eastAsia="Arial" w:hAnsi="Arial"/>
                <w:sz w:val="18"/>
                <w:szCs w:val="18"/>
                <w:color w:val="auto"/>
              </w:rPr>
              <w:t>$757</w:t>
            </w:r>
          </w:p>
        </w:tc>
      </w:tr>
      <w:tr>
        <w:trPr>
          <w:trHeight w:val="783"/>
        </w:trPr>
        <w:tc>
          <w:tcPr>
            <w:tcW w:w="2460" w:type="dxa"/>
            <w:vAlign w:val="bottom"/>
          </w:tcPr>
          <w:p>
            <w:pPr>
              <w:jc w:val="right"/>
              <w:ind w:right="1396"/>
              <w:spacing w:after="0"/>
              <w:rPr>
                <w:sz w:val="20"/>
                <w:szCs w:val="20"/>
                <w:color w:val="auto"/>
              </w:rPr>
            </w:pPr>
            <w:r>
              <w:rPr>
                <w:rFonts w:ascii="Arial" w:cs="Arial" w:eastAsia="Arial" w:hAnsi="Arial"/>
                <w:sz w:val="18"/>
                <w:szCs w:val="18"/>
                <w:color w:val="auto"/>
              </w:rPr>
              <w:t>2.5%</w:t>
            </w:r>
          </w:p>
        </w:tc>
        <w:tc>
          <w:tcPr>
            <w:tcW w:w="2900" w:type="dxa"/>
            <w:vAlign w:val="bottom"/>
          </w:tcPr>
          <w:p>
            <w:pPr>
              <w:jc w:val="right"/>
              <w:ind w:right="1236"/>
              <w:spacing w:after="0"/>
              <w:rPr>
                <w:sz w:val="20"/>
                <w:szCs w:val="20"/>
                <w:color w:val="auto"/>
              </w:rPr>
            </w:pPr>
            <w:r>
              <w:rPr>
                <w:rFonts w:ascii="Arial" w:cs="Arial" w:eastAsia="Arial" w:hAnsi="Arial"/>
                <w:sz w:val="18"/>
                <w:szCs w:val="18"/>
                <w:color w:val="auto"/>
              </w:rPr>
              <w:t>4.7%</w:t>
            </w:r>
          </w:p>
        </w:tc>
        <w:tc>
          <w:tcPr>
            <w:tcW w:w="1580" w:type="dxa"/>
            <w:vAlign w:val="bottom"/>
          </w:tcPr>
          <w:p>
            <w:pPr>
              <w:jc w:val="right"/>
              <w:ind w:right="56"/>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257175</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-334010</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-762635</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531495</wp:posOffset>
            </wp:positionV>
            <wp:extent cx="6997700" cy="951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180" w:type="dxa"/>
            <w:vAlign w:val="bottom"/>
            <w:vMerge w:val="restart"/>
          </w:tcPr>
          <w:p>
            <w:pPr>
              <w:jc w:val="center"/>
              <w:ind w:right="730"/>
              <w:spacing w:after="0"/>
              <w:rPr>
                <w:sz w:val="20"/>
                <w:szCs w:val="20"/>
                <w:color w:val="auto"/>
              </w:rPr>
            </w:pPr>
            <w:r>
              <w:rPr>
                <w:rFonts w:ascii="Arial" w:cs="Arial" w:eastAsia="Arial" w:hAnsi="Arial"/>
                <w:sz w:val="18"/>
                <w:szCs w:val="18"/>
                <w:color w:val="auto"/>
                <w:w w:val="88"/>
              </w:rPr>
              <w:t>Indoor bags</w:t>
            </w: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9"/>
              </w:rPr>
              <w:t>Aluminum foil</w:t>
            </w: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89"/>
              </w:rPr>
              <w:t>Party cups</w:t>
            </w:r>
          </w:p>
        </w:tc>
        <w:tc>
          <w:tcPr>
            <w:tcW w:w="0" w:type="dxa"/>
            <w:vAlign w:val="bottom"/>
          </w:tcPr>
          <w:p>
            <w:pPr>
              <w:spacing w:after="0"/>
              <w:rPr>
                <w:sz w:val="1"/>
                <w:szCs w:val="1"/>
                <w:color w:val="auto"/>
              </w:rPr>
            </w:pPr>
          </w:p>
        </w:tc>
      </w:tr>
      <w:tr>
        <w:trPr>
          <w:trHeight w:val="135"/>
        </w:trPr>
        <w:tc>
          <w:tcPr>
            <w:tcW w:w="2180" w:type="dxa"/>
            <w:vAlign w:val="bottom"/>
            <w:vMerge w:val="continue"/>
          </w:tcPr>
          <w:p>
            <w:pPr>
              <w:spacing w:after="0"/>
              <w:rPr>
                <w:sz w:val="11"/>
                <w:szCs w:val="11"/>
                <w:color w:val="auto"/>
              </w:rPr>
            </w:pPr>
          </w:p>
        </w:tc>
        <w:tc>
          <w:tcPr>
            <w:tcW w:w="292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2180" w:type="dxa"/>
            <w:vAlign w:val="bottom"/>
            <w:vMerge w:val="restart"/>
          </w:tcPr>
          <w:p>
            <w:pPr>
              <w:jc w:val="center"/>
              <w:ind w:right="730"/>
              <w:spacing w:after="0"/>
              <w:rPr>
                <w:sz w:val="20"/>
                <w:szCs w:val="20"/>
                <w:color w:val="auto"/>
              </w:rPr>
            </w:pPr>
            <w:r>
              <w:rPr>
                <w:rFonts w:ascii="Arial" w:cs="Arial" w:eastAsia="Arial" w:hAnsi="Arial"/>
                <w:sz w:val="18"/>
                <w:szCs w:val="18"/>
                <w:color w:val="auto"/>
                <w:w w:val="87"/>
              </w:rPr>
              <w:t>Outdoor bags</w:t>
            </w: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3"/>
              </w:rPr>
              <w:t>Aluminum bakeware</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8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90"/>
              </w:rPr>
              <w:t>Tableware</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86"/>
              </w:rPr>
              <w:t>Parchment paper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8"/>
              </w:rPr>
              <w:t>Sustainable tableware</w:t>
            </w:r>
          </w:p>
        </w:tc>
        <w:tc>
          <w:tcPr>
            <w:tcW w:w="0" w:type="dxa"/>
            <w:vAlign w:val="bottom"/>
          </w:tcPr>
          <w:p>
            <w:pPr>
              <w:spacing w:after="0"/>
              <w:rPr>
                <w:sz w:val="1"/>
                <w:szCs w:val="1"/>
                <w:color w:val="auto"/>
              </w:rPr>
            </w:pPr>
          </w:p>
        </w:tc>
      </w:tr>
      <w:tr>
        <w:trPr>
          <w:trHeight w:val="608"/>
        </w:trPr>
        <w:tc>
          <w:tcPr>
            <w:tcW w:w="218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3"/>
              </w:rPr>
              <w:t>Slow cooker liners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80" w:type="dxa"/>
            <w:vAlign w:val="bottom"/>
          </w:tcPr>
          <w:p>
            <w:pPr>
              <w:jc w:val="center"/>
              <w:ind w:right="730"/>
              <w:spacing w:after="0"/>
              <w:rPr>
                <w:sz w:val="20"/>
                <w:szCs w:val="20"/>
                <w:color w:val="auto"/>
              </w:rPr>
            </w:pPr>
            <w:r>
              <w:rPr>
                <w:rFonts w:ascii="Arial" w:cs="Arial" w:eastAsia="Arial" w:hAnsi="Arial"/>
                <w:sz w:val="18"/>
                <w:szCs w:val="18"/>
                <w:color w:val="auto"/>
                <w:w w:val="86"/>
              </w:rPr>
              <w:t>Sustainable bags</w:t>
            </w:r>
          </w:p>
        </w:tc>
        <w:tc>
          <w:tcPr>
            <w:tcW w:w="2920" w:type="dxa"/>
            <w:vAlign w:val="bottom"/>
          </w:tcPr>
          <w:p>
            <w:pPr>
              <w:spacing w:after="0"/>
              <w:rPr>
                <w:sz w:val="22"/>
                <w:szCs w:val="22"/>
                <w:color w:val="auto"/>
              </w:rPr>
            </w:pPr>
          </w:p>
        </w:tc>
        <w:tc>
          <w:tcPr>
            <w:tcW w:w="2180" w:type="dxa"/>
            <w:vAlign w:val="bottom"/>
            <w:vMerge w:val="restart"/>
          </w:tcPr>
          <w:p>
            <w:pPr>
              <w:jc w:val="center"/>
              <w:ind w:left="550"/>
              <w:spacing w:after="0"/>
              <w:rPr>
                <w:sz w:val="20"/>
                <w:szCs w:val="20"/>
                <w:color w:val="auto"/>
              </w:rPr>
            </w:pPr>
            <w:r>
              <w:rPr>
                <w:rFonts w:ascii="Arial" w:cs="Arial" w:eastAsia="Arial" w:hAnsi="Arial"/>
                <w:sz w:val="18"/>
                <w:szCs w:val="18"/>
                <w:color w:val="auto"/>
                <w:w w:val="88"/>
              </w:rPr>
              <w:t>Platters</w:t>
            </w: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218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87"/>
              </w:rPr>
              <w:t>Oven bags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80" w:type="dxa"/>
            <w:vAlign w:val="bottom"/>
          </w:tcPr>
          <w:p>
            <w:pPr>
              <w:jc w:val="center"/>
              <w:ind w:right="730"/>
              <w:spacing w:after="0"/>
              <w:rPr>
                <w:sz w:val="20"/>
                <w:szCs w:val="20"/>
                <w:color w:val="auto"/>
              </w:rPr>
            </w:pPr>
            <w:r>
              <w:rPr>
                <w:rFonts w:ascii="Arial" w:cs="Arial" w:eastAsia="Arial" w:hAnsi="Arial"/>
                <w:sz w:val="18"/>
                <w:szCs w:val="18"/>
                <w:color w:val="auto"/>
                <w:w w:val="87"/>
              </w:rPr>
              <w:t>Slider storage bags</w:t>
            </w:r>
          </w:p>
        </w:tc>
        <w:tc>
          <w:tcPr>
            <w:tcW w:w="2920" w:type="dxa"/>
            <w:vAlign w:val="bottom"/>
          </w:tcPr>
          <w:p>
            <w:pPr>
              <w:spacing w:after="0"/>
              <w:rPr>
                <w:sz w:val="24"/>
                <w:szCs w:val="24"/>
                <w:color w:val="auto"/>
              </w:rPr>
            </w:pPr>
          </w:p>
        </w:tc>
        <w:tc>
          <w:tcPr>
            <w:tcW w:w="2180" w:type="dxa"/>
            <w:vAlign w:val="bottom"/>
          </w:tcPr>
          <w:p>
            <w:pPr>
              <w:jc w:val="center"/>
              <w:ind w:left="550"/>
              <w:spacing w:after="0"/>
              <w:rPr>
                <w:sz w:val="20"/>
                <w:szCs w:val="20"/>
                <w:color w:val="auto"/>
              </w:rPr>
            </w:pPr>
            <w:r>
              <w:rPr>
                <w:rFonts w:ascii="Arial" w:cs="Arial" w:eastAsia="Arial" w:hAnsi="Arial"/>
                <w:sz w:val="18"/>
                <w:szCs w:val="18"/>
                <w:color w:val="auto"/>
                <w:w w:val="94"/>
              </w:rPr>
              <w:t>Cutlery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-2083435</wp:posOffset>
            </wp:positionV>
            <wp:extent cx="857885" cy="2317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885" cy="231775"/>
                    </a:xfrm>
                    <a:prstGeom prst="rect">
                      <a:avLst/>
                    </a:prstGeom>
                    <a:noFill/>
                  </pic:spPr>
                </pic:pic>
              </a:graphicData>
            </a:graphic>
          </wp:anchor>
        </w:drawing>
        <w:drawing>
          <wp:anchor simplePos="0" relativeHeight="251657728" behindDoc="1" locked="0" layoutInCell="0" allowOverlap="1">
            <wp:simplePos x="0" y="0"/>
            <wp:positionH relativeFrom="column">
              <wp:posOffset>147320</wp:posOffset>
            </wp:positionH>
            <wp:positionV relativeFrom="paragraph">
              <wp:posOffset>-1517015</wp:posOffset>
            </wp:positionV>
            <wp:extent cx="960755" cy="8058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60755" cy="80581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-376555</wp:posOffset>
            </wp:positionV>
            <wp:extent cx="428625"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8625" cy="24003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154305</wp:posOffset>
            </wp:positionV>
            <wp:extent cx="617220" cy="746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 cy="74612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-2134870</wp:posOffset>
            </wp:positionV>
            <wp:extent cx="300355"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0355" cy="205740"/>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-1714500</wp:posOffset>
            </wp:positionV>
            <wp:extent cx="14605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-1071245</wp:posOffset>
            </wp:positionV>
            <wp:extent cx="291465" cy="1974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1465" cy="19748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-659765</wp:posOffset>
            </wp:positionV>
            <wp:extent cx="668655"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8655" cy="24003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34290</wp:posOffset>
            </wp:positionV>
            <wp:extent cx="883285"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3285" cy="163195"/>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-2049145</wp:posOffset>
            </wp:positionV>
            <wp:extent cx="548640" cy="308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8640" cy="30861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-1525905</wp:posOffset>
            </wp:positionV>
            <wp:extent cx="428625" cy="2660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8625" cy="26606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-805180</wp:posOffset>
            </wp:positionV>
            <wp:extent cx="274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4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-436880</wp:posOffset>
            </wp:positionV>
            <wp:extent cx="33464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4645" cy="205740"/>
                    </a:xfrm>
                    <a:prstGeom prst="rect">
                      <a:avLst/>
                    </a:prstGeom>
                    <a:noFill/>
                  </pic:spPr>
                </pic:pic>
              </a:graphicData>
            </a:graphic>
          </wp:anchor>
        </w:drawing>
      </w:r>
    </w:p>
    <w:p>
      <w:pPr>
        <w:spacing w:after="0" w:line="276"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92075</wp:posOffset>
            </wp:positionV>
            <wp:extent cx="737235"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pacing w:after="0" w:line="34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Wax paper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Press-to-close storage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92075</wp:posOffset>
            </wp:positionV>
            <wp:extent cx="291465" cy="283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91465" cy="28321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Reusable storage</w:t>
      </w:r>
    </w:p>
    <w:p>
      <w:pPr>
        <w:spacing w:after="0" w:line="23"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14605</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98</w:t>
      </w:r>
    </w:p>
    <w:p>
      <w:pPr>
        <w:sectPr>
          <w:pgSz w:w="11900" w:h="16838" w:orient="portrait"/>
          <w:cols w:equalWidth="0" w:num="2">
            <w:col w:w="2500" w:space="720"/>
            <w:col w:w="7960"/>
          </w:cols>
          <w:pgMar w:left="240" w:top="459" w:right="47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Leading market positions in attractive consumer categories reinforced by well-recognized, iconic brands that resonate with consumers</w:t>
      </w:r>
    </w:p>
    <w:p>
      <w:pPr>
        <w:spacing w:after="0" w:line="13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hold the #1 or #2 market position by revenue in virtually all of our product categories and are well positioned to capitalize on their growth. Over 65% of our revenue comes from products that are #1 in their respective categories. We invest in both our branded and store brand products, which allows us to focus on growing the entire product category. We have preeminent market positions across both branded and store brand products with total market share of 44% across all of our major product categories for the 52 weeks ended September 28, 2019.</w:t>
      </w:r>
    </w:p>
    <w:p>
      <w:pPr>
        <w:spacing w:after="0" w:line="194" w:lineRule="exact"/>
        <w:rPr>
          <w:sz w:val="20"/>
          <w:szCs w:val="20"/>
          <w:color w:val="auto"/>
        </w:rPr>
      </w:pPr>
    </w:p>
    <w:p>
      <w:pPr>
        <w:jc w:val="both"/>
        <w:ind w:left="2760" w:right="2540" w:hanging="31"/>
        <w:spacing w:after="0" w:line="347" w:lineRule="auto"/>
        <w:rPr>
          <w:sz w:val="20"/>
          <w:szCs w:val="20"/>
          <w:color w:val="auto"/>
        </w:rPr>
      </w:pPr>
      <w:r>
        <w:rPr>
          <w:rFonts w:ascii="Arial" w:cs="Arial" w:eastAsia="Arial" w:hAnsi="Arial"/>
          <w:sz w:val="16"/>
          <w:szCs w:val="16"/>
          <w:b w:val="1"/>
          <w:bCs w:val="1"/>
          <w:color w:val="auto"/>
        </w:rPr>
        <w:t>Leading market share in core categories across both branded and store brand (% total combined market share for the 52 weeks ended September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3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96"/>
              </w:rPr>
              <w:t>Aluminum foil</w:t>
            </w:r>
          </w:p>
        </w:tc>
        <w:tc>
          <w:tcPr>
            <w:tcW w:w="68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89"/>
              </w:rPr>
              <w:t>Convenience cooking</w:t>
            </w:r>
          </w:p>
        </w:tc>
        <w:tc>
          <w:tcPr>
            <w:tcW w:w="64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90"/>
              </w:rPr>
              <w:t>Trash bags</w:t>
            </w:r>
          </w:p>
        </w:tc>
      </w:tr>
      <w:tr>
        <w:trPr>
          <w:trHeight w:val="126"/>
        </w:trPr>
        <w:tc>
          <w:tcPr>
            <w:tcW w:w="3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(Total category: $809 million)</w:t>
            </w:r>
          </w:p>
        </w:tc>
        <w:tc>
          <w:tcPr>
            <w:tcW w:w="680" w:type="dxa"/>
            <w:vAlign w:val="bottom"/>
          </w:tcPr>
          <w:p>
            <w:pPr>
              <w:spacing w:after="0"/>
              <w:rPr>
                <w:sz w:val="10"/>
                <w:szCs w:val="10"/>
                <w:color w:val="auto"/>
              </w:rPr>
            </w:pPr>
          </w:p>
        </w:tc>
        <w:tc>
          <w:tcPr>
            <w:tcW w:w="3200" w:type="dxa"/>
            <w:vAlign w:val="bottom"/>
          </w:tcPr>
          <w:p>
            <w:pPr>
              <w:jc w:val="center"/>
              <w:ind w:left="28"/>
              <w:spacing w:after="0" w:line="126" w:lineRule="exact"/>
              <w:rPr>
                <w:sz w:val="20"/>
                <w:szCs w:val="20"/>
                <w:color w:val="auto"/>
              </w:rPr>
            </w:pPr>
            <w:r>
              <w:rPr>
                <w:rFonts w:ascii="Arial" w:cs="Arial" w:eastAsia="Arial" w:hAnsi="Arial"/>
                <w:sz w:val="14"/>
                <w:szCs w:val="14"/>
                <w:b w:val="1"/>
                <w:bCs w:val="1"/>
                <w:color w:val="auto"/>
                <w:w w:val="92"/>
              </w:rPr>
              <w:t>(Parchment, wax and freezer paper,</w:t>
            </w:r>
          </w:p>
        </w:tc>
        <w:tc>
          <w:tcPr>
            <w:tcW w:w="640" w:type="dxa"/>
            <w:vAlign w:val="bottom"/>
          </w:tcPr>
          <w:p>
            <w:pPr>
              <w:spacing w:after="0"/>
              <w:rPr>
                <w:sz w:val="10"/>
                <w:szCs w:val="10"/>
                <w:color w:val="auto"/>
              </w:rPr>
            </w:pPr>
          </w:p>
        </w:tc>
        <w:tc>
          <w:tcPr>
            <w:tcW w:w="3200" w:type="dxa"/>
            <w:vAlign w:val="bottom"/>
          </w:tcPr>
          <w:p>
            <w:pPr>
              <w:jc w:val="center"/>
              <w:ind w:left="8"/>
              <w:spacing w:after="0" w:line="126" w:lineRule="exact"/>
              <w:rPr>
                <w:sz w:val="20"/>
                <w:szCs w:val="20"/>
                <w:color w:val="auto"/>
              </w:rPr>
            </w:pPr>
            <w:r>
              <w:rPr>
                <w:rFonts w:ascii="Arial" w:cs="Arial" w:eastAsia="Arial" w:hAnsi="Arial"/>
                <w:sz w:val="14"/>
                <w:szCs w:val="14"/>
                <w:b w:val="1"/>
                <w:bCs w:val="1"/>
                <w:color w:val="auto"/>
                <w:w w:val="93"/>
              </w:rPr>
              <w:t>(Total category: $2,675 million)</w:t>
            </w:r>
          </w:p>
        </w:tc>
      </w:tr>
      <w:tr>
        <w:trPr>
          <w:trHeight w:val="149"/>
        </w:trPr>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slow cooker liners, oven bags</w:t>
            </w:r>
          </w:p>
        </w:tc>
        <w:tc>
          <w:tcPr>
            <w:tcW w:w="6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and baking cups)</w:t>
            </w:r>
          </w:p>
        </w:tc>
        <w:tc>
          <w:tcPr>
            <w:tcW w:w="6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category: $264 million)</w:t>
            </w:r>
          </w:p>
        </w:tc>
        <w:tc>
          <w:tcPr>
            <w:tcW w:w="640" w:type="dxa"/>
            <w:vAlign w:val="bottom"/>
          </w:tcPr>
          <w:p>
            <w:pPr>
              <w:spacing w:after="0"/>
              <w:rPr>
                <w:sz w:val="16"/>
                <w:szCs w:val="16"/>
                <w:color w:val="auto"/>
              </w:rPr>
            </w:pPr>
          </w:p>
        </w:tc>
        <w:tc>
          <w:tcPr>
            <w:tcW w:w="3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76200</wp:posOffset>
            </wp:positionV>
            <wp:extent cx="848995" cy="8489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48995" cy="84899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76200</wp:posOffset>
            </wp:positionV>
            <wp:extent cx="848995" cy="848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48995" cy="84899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76200</wp:posOffset>
            </wp:positionV>
            <wp:extent cx="848995" cy="8489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489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3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89"/>
              </w:rPr>
              <w:t>Food storage bags</w:t>
            </w:r>
          </w:p>
        </w:tc>
        <w:tc>
          <w:tcPr>
            <w:tcW w:w="68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1"/>
              </w:rPr>
              <w:t>Foam dishes</w:t>
            </w:r>
          </w:p>
        </w:tc>
        <w:tc>
          <w:tcPr>
            <w:tcW w:w="64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88"/>
              </w:rPr>
              <w:t>Plastic cups</w:t>
            </w:r>
          </w:p>
        </w:tc>
      </w:tr>
      <w:tr>
        <w:trPr>
          <w:trHeight w:val="186"/>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3"/>
              </w:rPr>
              <w:t>(Total category: $1,638 million)</w:t>
            </w:r>
          </w:p>
        </w:tc>
        <w:tc>
          <w:tcPr>
            <w:tcW w:w="68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category: $741 million)</w:t>
            </w:r>
          </w:p>
        </w:tc>
        <w:tc>
          <w:tcPr>
            <w:tcW w:w="64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category: $595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996315</wp:posOffset>
            </wp:positionV>
            <wp:extent cx="18180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53340</wp:posOffset>
            </wp:positionV>
            <wp:extent cx="857885" cy="8489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53340</wp:posOffset>
            </wp:positionV>
            <wp:extent cx="857885" cy="8489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53340</wp:posOffset>
            </wp:positionV>
            <wp:extent cx="848995" cy="8489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489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participate in large and growing consumer product categories, with an average growth rate of 3.4% year-over-year from the 52 weeks ended September 29, 2018 to the 52 weeks ended September 28, 2019. Our categories continue to experience consistent growth, with foil and food storage bags growing at 4.6% and 2.0%, respectively, year-over-year from the 52 weeks ended September 29, 2018 to the 52 weeks ended September 28, 2019. Our categories are supported by strong demographic profiles, consumer demand for convenience and evolving consumer needs. We continue to drive category growth through our innovation driven new product development and relationships with leading retailers.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iconic brands, such as Reynolds and Hefty, have developed strong brand recognition within their categories. Our brands are recognized across all demographics and generations for their quality, strength and reliability. Reynolds Wrap has been one of the top trusted household brands in the United States since 1947. According to a 2015 brand awareness study, Reynolds Wrap has aided brand awareness of 98%. Additionally, Hefty has aided brand awareness of 95%, according to a 2017 brand awareness study.</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Our brands have #1 positions across nearly all our categories</w:t>
      </w:r>
    </w:p>
    <w:p>
      <w:pPr>
        <w:spacing w:after="0" w:line="25" w:lineRule="exact"/>
        <w:rPr>
          <w:sz w:val="20"/>
          <w:szCs w:val="20"/>
          <w:color w:val="auto"/>
        </w:rPr>
      </w:pPr>
    </w:p>
    <w:tbl>
      <w:tblPr>
        <w:tblLayout w:type="fixed"/>
        <w:tblInd w:w="220" w:type="dxa"/>
        <w:tblCellMar>
          <w:top w:w="0" w:type="dxa"/>
          <w:left w:w="0" w:type="dxa"/>
          <w:bottom w:w="0" w:type="dxa"/>
          <w:right w:w="0" w:type="dxa"/>
        </w:tblCellMar>
      </w:tblPr>
      <w:tr>
        <w:trPr>
          <w:trHeight w:val="181"/>
        </w:trPr>
        <w:tc>
          <w:tcPr>
            <w:tcW w:w="3140" w:type="dxa"/>
            <w:vAlign w:val="bottom"/>
            <w:tcBorders>
              <w:top w:val="single" w:sz="8" w:color="auto"/>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w w:val="95"/>
              </w:rPr>
              <w:t>Category</w:t>
            </w:r>
          </w:p>
        </w:tc>
        <w:tc>
          <w:tcPr>
            <w:tcW w:w="25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b w:val="1"/>
                <w:bCs w:val="1"/>
                <w:color w:val="auto"/>
              </w:rPr>
              <w:t>Brand</w:t>
            </w:r>
          </w:p>
        </w:tc>
        <w:tc>
          <w:tcPr>
            <w:tcW w:w="2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Position</w:t>
            </w:r>
          </w:p>
        </w:tc>
        <w:tc>
          <w:tcPr>
            <w:tcW w:w="2900" w:type="dxa"/>
            <w:vAlign w:val="bottom"/>
            <w:tcBorders>
              <w:top w:val="single" w:sz="8" w:color="auto"/>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2"/>
              </w:rPr>
              <w:t>Brand share of total category</w:t>
            </w:r>
          </w:p>
        </w:tc>
      </w:tr>
      <w:tr>
        <w:trPr>
          <w:trHeight w:val="399"/>
        </w:trPr>
        <w:tc>
          <w:tcPr>
            <w:tcW w:w="3140" w:type="dxa"/>
            <w:vAlign w:val="bottom"/>
          </w:tcPr>
          <w:p>
            <w:pPr>
              <w:jc w:val="center"/>
              <w:ind w:right="331"/>
              <w:spacing w:after="0"/>
              <w:rPr>
                <w:sz w:val="20"/>
                <w:szCs w:val="20"/>
                <w:color w:val="auto"/>
              </w:rPr>
            </w:pPr>
            <w:r>
              <w:rPr>
                <w:rFonts w:ascii="Arial" w:cs="Arial" w:eastAsia="Arial" w:hAnsi="Arial"/>
                <w:sz w:val="18"/>
                <w:szCs w:val="18"/>
                <w:color w:val="auto"/>
                <w:w w:val="97"/>
              </w:rPr>
              <w:t>Aluminum foil (U.S.)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64%</w:t>
            </w:r>
          </w:p>
        </w:tc>
      </w:tr>
      <w:tr>
        <w:trPr>
          <w:trHeight w:val="554"/>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94"/>
              </w:rPr>
              <w:t>Aluminum foil (Canada)</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72%</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8"/>
              </w:rPr>
              <w:t>Parchment paper</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51%</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9"/>
              </w:rPr>
              <w:t>Wax paper</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59%</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91"/>
              </w:rPr>
              <w:t>Slow cooker liners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77%</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9"/>
              </w:rPr>
              <w:t>Oven bags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93%</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6"/>
              </w:rPr>
              <w:t>Freezer paper</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94%</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91"/>
              </w:rPr>
              <w:t>Slider bags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34%</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6"/>
              </w:rPr>
              <w:t>Party cups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22%</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7"/>
              </w:rPr>
              <w:t>Foam dishes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43%</w:t>
            </w:r>
          </w:p>
        </w:tc>
      </w:tr>
      <w:tr>
        <w:trPr>
          <w:trHeight w:val="527"/>
        </w:trPr>
        <w:tc>
          <w:tcPr>
            <w:tcW w:w="3140" w:type="dxa"/>
            <w:vAlign w:val="bottom"/>
          </w:tcPr>
          <w:p>
            <w:pPr>
              <w:jc w:val="center"/>
              <w:ind w:right="311"/>
              <w:spacing w:after="0"/>
              <w:rPr>
                <w:sz w:val="20"/>
                <w:szCs w:val="20"/>
                <w:color w:val="auto"/>
              </w:rPr>
            </w:pPr>
            <w:r>
              <w:rPr>
                <w:rFonts w:ascii="Arial" w:cs="Arial" w:eastAsia="Arial" w:hAnsi="Arial"/>
                <w:sz w:val="18"/>
                <w:szCs w:val="18"/>
                <w:color w:val="auto"/>
                <w:w w:val="86"/>
              </w:rPr>
              <w:t>Trash bags</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center"/>
              <w:ind w:left="371"/>
              <w:spacing w:after="0"/>
              <w:rPr>
                <w:sz w:val="20"/>
                <w:szCs w:val="20"/>
                <w:color w:val="auto"/>
              </w:rPr>
            </w:pPr>
            <w:r>
              <w:rPr>
                <w:rFonts w:ascii="Arial" w:cs="Arial" w:eastAsia="Arial" w:hAnsi="Arial"/>
                <w:sz w:val="18"/>
                <w:szCs w:val="18"/>
                <w:color w:val="auto"/>
                <w:w w:val="88"/>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188595</wp:posOffset>
            </wp:positionV>
            <wp:extent cx="18180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-3481070</wp:posOffset>
            </wp:positionV>
            <wp:extent cx="60007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0075" cy="18859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-3575685</wp:posOffset>
            </wp:positionV>
            <wp:extent cx="2255520" cy="3627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55520" cy="36277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-3575685</wp:posOffset>
            </wp:positionV>
            <wp:extent cx="2255520" cy="36277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55520" cy="3627755"/>
                    </a:xfrm>
                    <a:prstGeom prst="rect">
                      <a:avLst/>
                    </a:prstGeom>
                    <a:noFill/>
                  </pic:spPr>
                </pic:pic>
              </a:graphicData>
            </a:graphic>
          </wp:anchor>
        </w:drawing>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strategic relationships with a diverse set of leading customers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customer relationships across leading grocery stores, mass merchants, warehouse clubs, discount chains, drug stores, home improvement stores, military outlets and eCommerce retailers are based on a long history of trust. With many of our customers, we have maintained an ongoing relationship since the inception of our Reynolds brand over 70 years ago. Our experienced sales force, which averages over 10 years of experience at RCP, and the superb service we provide our customers drive our superior levels of ongoing customer satisfaction. The majority of our products are made in the United States, and our strategically located national manufacturing footprint provides logistics advantages and certainty of supply for our retail partners. Our short supply chain relative to competitors and the vendor-managed inventory we offer our major customers are highly valued by our customers because it reduces the inventory they have to carry and limits product shortages.</w:t>
      </w:r>
    </w:p>
    <w:p>
      <w:pPr>
        <w:spacing w:after="0" w:line="17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have over 70 years of technical knowledge about our products. We deploy this experience across our business segments to deliver custom innovation solutions. This, together with our low cost manufacturing capabilities and consistent product quality, enables us to provide our customers with a compelling value proposition. For example, in addition to our renowned branded products, our store brand products are subject to the same high degree of quality control as branded products and as a result consistently receive a “Pass” rating when tested against the national brands at third-party laboratories.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work to make not only our individual products successful but also to provide our retail partners with the insights and recommendations they need to grow entire product categories. We provide our retailers with category management expertise that is supported by innovation and consumer focused insights and includes assortment and promotion strategies. Our ability to provide best-in-class shopper insights directly results in stronger customer loyalty.</w:t>
      </w:r>
    </w:p>
    <w:p>
      <w:pPr>
        <w:spacing w:after="0" w:line="18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We believe these value-added services differentiate us from our competitors and strengthen our customer relationships. This is evidenced by our relationships with our largest retail customers, who we partner with to sell our branded products and to produce their store brand products.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Demonstrated track record of new product development</w:t>
      </w:r>
    </w:p>
    <w:p>
      <w:pPr>
        <w:spacing w:after="0" w:line="12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We have a strong track record of innovation, focused on the addition of innovative features to our existing products and the development of new products that address consumers’ unmet needs. Additionally, we strive to further enhance our core product portfolio. We are able to identify emerging consumer trends through our extensive consumer insights, allowing us to develop products with the features and functions that consumers are looking for. We believe we were the first to introduce a food storage bag, the first to introduce a slider closure on food storage bags, the first to introduce the drawstring trash bag, the first to introduce the “gripper” feature on trash bags, the first to add an unscented odor block feature to trash bags and the first to add non-stick coating to aluminum foil. We have a robust track record of developing and launching successful new products.</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20" w:type="dxa"/>
            <w:vAlign w:val="bottom"/>
            <w:vMerge w:val="restart"/>
            <w:shd w:val="clear" w:color="auto" w:fill="02237A"/>
          </w:tcPr>
          <w:p>
            <w:pPr>
              <w:ind w:left="1180"/>
              <w:spacing w:after="0"/>
              <w:rPr>
                <w:sz w:val="20"/>
                <w:szCs w:val="20"/>
                <w:color w:val="auto"/>
              </w:rPr>
            </w:pPr>
            <w:r>
              <w:rPr>
                <w:rFonts w:ascii="Arial" w:cs="Arial" w:eastAsia="Arial" w:hAnsi="Arial"/>
                <w:sz w:val="14"/>
                <w:szCs w:val="14"/>
                <w:b w:val="1"/>
                <w:bCs w:val="1"/>
                <w:color w:val="FFFFFF"/>
              </w:rPr>
              <w:t>Hefty Ultra Strong</w:t>
            </w:r>
          </w:p>
        </w:tc>
        <w:tc>
          <w:tcPr>
            <w:tcW w:w="360" w:type="dxa"/>
            <w:vAlign w:val="bottom"/>
          </w:tcPr>
          <w:p>
            <w:pPr>
              <w:spacing w:after="0"/>
              <w:rPr>
                <w:sz w:val="16"/>
                <w:szCs w:val="16"/>
                <w:color w:val="auto"/>
              </w:rPr>
            </w:pPr>
          </w:p>
        </w:tc>
        <w:tc>
          <w:tcPr>
            <w:tcW w:w="3400" w:type="dxa"/>
            <w:vAlign w:val="bottom"/>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7"/>
              </w:rPr>
              <w:t>Reynolds KITCHENS Slow</w:t>
            </w:r>
          </w:p>
        </w:tc>
        <w:tc>
          <w:tcPr>
            <w:tcW w:w="320" w:type="dxa"/>
            <w:vAlign w:val="bottom"/>
          </w:tcPr>
          <w:p>
            <w:pPr>
              <w:spacing w:after="0"/>
              <w:rPr>
                <w:sz w:val="16"/>
                <w:szCs w:val="16"/>
                <w:color w:val="auto"/>
              </w:rPr>
            </w:pPr>
          </w:p>
        </w:tc>
        <w:tc>
          <w:tcPr>
            <w:tcW w:w="3420" w:type="dxa"/>
            <w:vAlign w:val="bottom"/>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91"/>
              </w:rPr>
              <w:t>Store brand square</w:t>
            </w:r>
          </w:p>
        </w:tc>
        <w:tc>
          <w:tcPr>
            <w:tcW w:w="0" w:type="dxa"/>
            <w:vAlign w:val="bottom"/>
          </w:tcPr>
          <w:p>
            <w:pPr>
              <w:spacing w:after="0"/>
              <w:rPr>
                <w:sz w:val="1"/>
                <w:szCs w:val="1"/>
                <w:color w:val="auto"/>
              </w:rPr>
            </w:pPr>
          </w:p>
        </w:tc>
      </w:tr>
      <w:tr>
        <w:trPr>
          <w:trHeight w:val="119"/>
        </w:trPr>
        <w:tc>
          <w:tcPr>
            <w:tcW w:w="3520" w:type="dxa"/>
            <w:vAlign w:val="bottom"/>
            <w:vMerge w:val="continue"/>
            <w:shd w:val="clear" w:color="auto" w:fill="02237A"/>
          </w:tcPr>
          <w:p>
            <w:pPr>
              <w:spacing w:after="0"/>
              <w:rPr>
                <w:sz w:val="10"/>
                <w:szCs w:val="10"/>
                <w:color w:val="auto"/>
              </w:rPr>
            </w:pPr>
          </w:p>
        </w:tc>
        <w:tc>
          <w:tcPr>
            <w:tcW w:w="360" w:type="dxa"/>
            <w:vAlign w:val="bottom"/>
          </w:tcPr>
          <w:p>
            <w:pPr>
              <w:spacing w:after="0"/>
              <w:rPr>
                <w:sz w:val="10"/>
                <w:szCs w:val="10"/>
                <w:color w:val="auto"/>
              </w:rPr>
            </w:pPr>
          </w:p>
        </w:tc>
        <w:tc>
          <w:tcPr>
            <w:tcW w:w="3400" w:type="dxa"/>
            <w:vAlign w:val="bottom"/>
            <w:vMerge w:val="restart"/>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5"/>
              </w:rPr>
              <w:t>Cooker Liners</w:t>
            </w:r>
          </w:p>
        </w:tc>
        <w:tc>
          <w:tcPr>
            <w:tcW w:w="320" w:type="dxa"/>
            <w:vAlign w:val="bottom"/>
          </w:tcPr>
          <w:p>
            <w:pPr>
              <w:spacing w:after="0"/>
              <w:rPr>
                <w:sz w:val="10"/>
                <w:szCs w:val="10"/>
                <w:color w:val="auto"/>
              </w:rPr>
            </w:pPr>
          </w:p>
        </w:tc>
        <w:tc>
          <w:tcPr>
            <w:tcW w:w="3420" w:type="dxa"/>
            <w:vAlign w:val="bottom"/>
            <w:vMerge w:val="restart"/>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89"/>
              </w:rPr>
              <w:t>snack bags</w:t>
            </w:r>
          </w:p>
        </w:tc>
        <w:tc>
          <w:tcPr>
            <w:tcW w:w="0" w:type="dxa"/>
            <w:vAlign w:val="bottom"/>
          </w:tcPr>
          <w:p>
            <w:pPr>
              <w:spacing w:after="0"/>
              <w:rPr>
                <w:sz w:val="1"/>
                <w:szCs w:val="1"/>
                <w:color w:val="auto"/>
              </w:rPr>
            </w:pPr>
          </w:p>
        </w:tc>
      </w:tr>
      <w:tr>
        <w:trPr>
          <w:trHeight w:val="68"/>
        </w:trPr>
        <w:tc>
          <w:tcPr>
            <w:tcW w:w="3520" w:type="dxa"/>
            <w:vAlign w:val="bottom"/>
            <w:shd w:val="clear" w:color="auto" w:fill="02237A"/>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vMerge w:val="continue"/>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vMerge w:val="continue"/>
            <w:shd w:val="clear" w:color="auto" w:fill="02237A"/>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520" w:type="dxa"/>
            <w:vAlign w:val="bottom"/>
            <w:shd w:val="clear" w:color="auto" w:fill="02237A"/>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shd w:val="clear" w:color="auto" w:fill="02237A"/>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274320</wp:posOffset>
            </wp:positionV>
            <wp:extent cx="1097915" cy="5060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97915" cy="50609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342900</wp:posOffset>
            </wp:positionV>
            <wp:extent cx="1097915" cy="4457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97915" cy="44577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0</wp:posOffset>
            </wp:positionV>
            <wp:extent cx="617220" cy="7886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7220" cy="7886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224"/>
        <w:spacing w:after="0" w:line="253" w:lineRule="auto"/>
        <w:tabs>
          <w:tab w:leader="none" w:pos="479"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Addresses top consumer dissatisfactions such as odors, drawstring breaks and bag tears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7" w:hanging="207"/>
        <w:spacing w:after="0" w:line="253" w:lineRule="auto"/>
        <w:tabs>
          <w:tab w:leader="none" w:pos="186" w:val="left"/>
        </w:tabs>
        <w:numPr>
          <w:ilvl w:val="0"/>
          <w:numId w:val="61"/>
        </w:numPr>
        <w:rPr>
          <w:rFonts w:ascii="Arial" w:cs="Arial" w:eastAsia="Arial" w:hAnsi="Arial"/>
          <w:sz w:val="14"/>
          <w:szCs w:val="14"/>
          <w:color w:val="auto"/>
        </w:rPr>
      </w:pPr>
      <w:r>
        <w:rPr>
          <w:rFonts w:ascii="Arial" w:cs="Arial" w:eastAsia="Arial" w:hAnsi="Arial"/>
          <w:sz w:val="14"/>
          <w:szCs w:val="14"/>
          <w:color w:val="auto"/>
        </w:rPr>
        <w:t>Addresses key pain point of soaking/scrubbing the slow cooker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9" w:right="60" w:hanging="219"/>
        <w:spacing w:after="0" w:line="238" w:lineRule="auto"/>
        <w:tabs>
          <w:tab w:leader="none" w:pos="199"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Addresses consumer need for taller bags that can fit a larger assortment of snacks in terms of size and shape</w:t>
      </w:r>
    </w:p>
    <w:p>
      <w:pPr>
        <w:spacing w:after="0" w:line="62" w:lineRule="exact"/>
        <w:rPr>
          <w:sz w:val="20"/>
          <w:szCs w:val="20"/>
          <w:color w:val="auto"/>
        </w:rPr>
      </w:pPr>
    </w:p>
    <w:p>
      <w:pPr>
        <w:sectPr>
          <w:pgSz w:w="11900" w:h="16838" w:orient="portrait"/>
          <w:cols w:equalWidth="0" w:num="3">
            <w:col w:w="3640" w:space="633"/>
            <w:col w:w="3107" w:space="621"/>
            <w:col w:w="3239"/>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161"/>
        </w:trPr>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3540" w:type="dxa"/>
            <w:vAlign w:val="bottom"/>
          </w:tcPr>
          <w:p>
            <w:pPr>
              <w:ind w:left="80"/>
              <w:spacing w:after="0"/>
              <w:rPr>
                <w:sz w:val="20"/>
                <w:szCs w:val="20"/>
                <w:color w:val="auto"/>
              </w:rPr>
            </w:pPr>
            <w:r>
              <w:rPr>
                <w:rFonts w:ascii="Arial" w:cs="Arial" w:eastAsia="Arial" w:hAnsi="Arial"/>
                <w:sz w:val="14"/>
                <w:szCs w:val="14"/>
                <w:color w:val="auto"/>
              </w:rPr>
              <w:t>Utilizes Arm &amp; Hammer patented odor neutralizer for</w:t>
            </w:r>
          </w:p>
        </w:tc>
        <w:tc>
          <w:tcPr>
            <w:tcW w:w="460" w:type="dxa"/>
            <w:vAlign w:val="bottom"/>
          </w:tcPr>
          <w:p>
            <w:pPr>
              <w:ind w:left="34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BPA-free product that offers convenience for</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3120" w:type="dxa"/>
            <w:vAlign w:val="bottom"/>
          </w:tcPr>
          <w:p>
            <w:pPr>
              <w:ind w:left="80"/>
              <w:spacing w:after="0"/>
              <w:rPr>
                <w:sz w:val="20"/>
                <w:szCs w:val="20"/>
                <w:color w:val="auto"/>
              </w:rPr>
            </w:pPr>
            <w:r>
              <w:rPr>
                <w:rFonts w:ascii="Arial" w:cs="Arial" w:eastAsia="Arial" w:hAnsi="Arial"/>
                <w:sz w:val="14"/>
                <w:szCs w:val="14"/>
                <w:color w:val="auto"/>
                <w:w w:val="96"/>
              </w:rPr>
              <w:t>Unique square shape that is easier to fill and close</w:t>
            </w:r>
          </w:p>
        </w:tc>
      </w:tr>
      <w:tr>
        <w:trPr>
          <w:trHeight w:val="182"/>
        </w:trPr>
        <w:tc>
          <w:tcPr>
            <w:tcW w:w="180" w:type="dxa"/>
            <w:vAlign w:val="bottom"/>
          </w:tcPr>
          <w:p>
            <w:pPr>
              <w:spacing w:after="0"/>
              <w:rPr>
                <w:sz w:val="15"/>
                <w:szCs w:val="15"/>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revitalized scents</w:t>
            </w:r>
          </w:p>
        </w:tc>
        <w:tc>
          <w:tcPr>
            <w:tcW w:w="46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household meal preparation</w:t>
            </w:r>
          </w:p>
        </w:tc>
        <w:tc>
          <w:tcPr>
            <w:tcW w:w="5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w w:val="98"/>
              </w:rPr>
              <w:t>and offers more optionality than rectangular bags</w:t>
            </w:r>
          </w:p>
        </w:tc>
      </w:tr>
      <w:tr>
        <w:trPr>
          <w:trHeight w:val="223"/>
        </w:trPr>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3540" w:type="dxa"/>
            <w:vAlign w:val="bottom"/>
          </w:tcPr>
          <w:p>
            <w:pPr>
              <w:ind w:left="80"/>
              <w:spacing w:after="0"/>
              <w:rPr>
                <w:sz w:val="20"/>
                <w:szCs w:val="20"/>
                <w:color w:val="auto"/>
              </w:rPr>
            </w:pPr>
            <w:r>
              <w:rPr>
                <w:rFonts w:ascii="Arial" w:cs="Arial" w:eastAsia="Arial" w:hAnsi="Arial"/>
                <w:sz w:val="14"/>
                <w:szCs w:val="14"/>
                <w:color w:val="auto"/>
              </w:rPr>
              <w:t>Uses active tear-resistant technology and higher grade</w:t>
            </w:r>
          </w:p>
        </w:tc>
        <w:tc>
          <w:tcPr>
            <w:tcW w:w="460" w:type="dxa"/>
            <w:vAlign w:val="bottom"/>
          </w:tcPr>
          <w:p>
            <w:pPr>
              <w:ind w:left="34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Provides fast and easy clean up in seconds</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3120" w:type="dxa"/>
            <w:vAlign w:val="bottom"/>
          </w:tcPr>
          <w:p>
            <w:pPr>
              <w:ind w:left="80"/>
              <w:spacing w:after="0"/>
              <w:rPr>
                <w:sz w:val="20"/>
                <w:szCs w:val="20"/>
                <w:color w:val="auto"/>
              </w:rPr>
            </w:pPr>
            <w:r>
              <w:rPr>
                <w:rFonts w:ascii="Arial" w:cs="Arial" w:eastAsia="Arial" w:hAnsi="Arial"/>
                <w:sz w:val="14"/>
                <w:szCs w:val="14"/>
                <w:color w:val="auto"/>
              </w:rPr>
              <w:t>Multipurpose storage that seals in flavor and</w:t>
            </w:r>
          </w:p>
        </w:tc>
      </w:tr>
      <w:tr>
        <w:trPr>
          <w:trHeight w:val="167"/>
        </w:trPr>
        <w:tc>
          <w:tcPr>
            <w:tcW w:w="1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resin for stronger bags and improved performance</w:t>
            </w:r>
          </w:p>
        </w:tc>
        <w:tc>
          <w:tcPr>
            <w:tcW w:w="4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freshness for food items</w:t>
            </w:r>
          </w:p>
        </w:tc>
      </w:tr>
    </w:tbl>
    <w:p>
      <w:pPr>
        <w:spacing w:after="0" w:line="202" w:lineRule="exact"/>
        <w:rPr>
          <w:sz w:val="20"/>
          <w:szCs w:val="20"/>
          <w:color w:val="auto"/>
        </w:rPr>
      </w:pPr>
    </w:p>
    <w:p>
      <w:pPr>
        <w:jc w:val="both"/>
        <w:ind w:left="200" w:right="320" w:firstLine="441"/>
        <w:spacing w:after="0" w:line="302" w:lineRule="auto"/>
        <w:rPr>
          <w:sz w:val="20"/>
          <w:szCs w:val="20"/>
          <w:color w:val="auto"/>
        </w:rPr>
      </w:pPr>
      <w:r>
        <w:rPr>
          <w:rFonts w:ascii="Arial" w:cs="Arial" w:eastAsia="Arial" w:hAnsi="Arial"/>
          <w:sz w:val="16"/>
          <w:szCs w:val="16"/>
          <w:color w:val="auto"/>
        </w:rPr>
        <w:t>We have invested considerable resources to develop proprietary products and efficient manufacturing capabilities and we actively protect our intellectual property. 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also look to partner with both our suppliers and customers to drive innovation through the entire supply chain.</w:t>
      </w:r>
    </w:p>
    <w:p>
      <w:pPr>
        <w:spacing w:after="0" w:line="15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sustainability becomes more central to the consumer’s purchasing decision, we remain focused on developing new eco-friendly products, and we are continuously investing in our capabilities to improve our ability to utilize recycled materials. We currently have environmentally friendly options across the vast majority of our product categories, such as compostable trash bags and store brand bags made from plant-based resins and recyclable materials. We believe we are well positioned to capitalize on these trends as aluminum, one of our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core inputs, is infinitely recyclable and is supported as a green, recoverable material. We have, for example, launched Reynolds Wrap 100% Recycled Foil into retail distribution and we have recently launched 75% Unbleached Compostable Parchment Paper. We have a strong pipeline of new products in development, many of which are part of our broader sustainability initiatives.</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Innovation is a significant component of our culture and is further instilled through Reyvolution. We have devoted significant resources towards this endeavor and believe that our highly experienced R&amp;D teams will remain on the cutting edge.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Well-invested manufacturing footprint that serves as a competitive moat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a robust and well invested manufacturing footprint which includes 17 manufacturing facilities and over 5,000 employees. Our facilities are strategically located across the United States and Canada, and the majority of our products are proudly made in the United States. Our low-cost and efficient manufacturing facilities enable us to optimize distribution, minimize lead times and reduce freight costs. This significant production base, built over decades, positions us well versus our competitive peer set. We estimate that it would require more than $2.5 billion to replicate our manufacturing assets, and we believe it would be exceedingly difficult to replicate our proprietary manufacturing know-how and in-house developed technology that enable us to run our facilities faster, with greater automation and with higher quality control. Our unique manufacturing capabilities enable us to produce a broad selection of differentiated products that help drive growth while providing a substantial barrier to entry.</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Through Reyvolution, we are focused on lean manufacturing initiatives to reduce material usage, improve uptime and increase productivity across every site. We are heavily automated today and are committed to further investments in automation, including recent initiatives focused on the automation of repetitive manual tasks to increase operating efficiency and consistency, while protecting ourselves from labor fluctuations. Our automation processes and proprietary manufacturing technologies are difficult for competitors to replicate.</w:t>
      </w:r>
    </w:p>
    <w:p>
      <w:pPr>
        <w:spacing w:after="0" w:line="17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operations have significant scale and substantial vertical integration, which provides us with competitive advantages. Our substantial vertical integration gives us increased independence from suppliers and the ability to control costs more efficiently. It also partially insulates us from import volatility. We have a robust network of suppliers allowing us to be nimble in our input material purchasing.</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Attractive financial performance with strong free cash flow generation</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have an attractive financial profile with steady organic revenue growth, strong margins and disciplined capital expenditures. These attributes allow us to generate robust free cash flow.</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Since 2014, our income from operations margin and Adjusted EBITDA margin have grown by 364 and 242 basis points to 16% and 21%, respectively, in the year ended December 31, 2018. We have driven margin expansion mainly by managing costs, increasing our volumes and manufacturing efficiency and driving innovation. We are able to deliver attractive Adjusted EBITDA margins due to the high value-added nature of our products. We defend our margin position through innovation driven growth, cost savings and effective purchasing. The vertically integrated nature of our business provides further insulation for our margin profile.</w:t>
      </w:r>
    </w:p>
    <w:p>
      <w:pPr>
        <w:spacing w:after="0" w:line="188"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We plan to continue leveraging Reyvolution to deliver incremental operational productivity savings, improve our business mix and increase the effectiveness of our sales force. Historically our business has relatively low capital expenditure requirements, averaging $60 million per year over the past three fiscal years, which drives our high rate of free cash flow conversion. We plan to continue to manage our costs, working capital and capital expenditures to deliver strong free cash flow.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 to sustainability and values</w:t>
      </w:r>
    </w:p>
    <w:p>
      <w:pPr>
        <w:spacing w:after="0" w:line="121"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We put safety first, treat people with respect and operate ethically to help ensure that we manage our business on a sound long-term foundation. We never compromise our values, regardless of market forces, and we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remain committed to strong rules of governance. We manage our business for long-term results, as evidenced by the robust Reyvolution initiative pipeline across all facets of our business. We believe corporate responsibility is the obligation of all employees. Our management team is committed to maintaining our culture, which has been an important component of our success.</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strive to operate with respect for the environment and are committed to sustainability across three key areas: our product portfolio, supply chain and communities. We engage with our employees and partner with our customers to explore sustainability topics like plant and distribution route efficiency. We participate at the forefront of emerging municipal programs that generate new community based solutions and also end-to-end recycling solutions with our Hefty EnergyBag Program in partnership with a key supplier. We are longstanding members of the Sustainable Packaging Coalition, an industry working group dedicated to a more robust environmental vision for packaging, and the Forest Stewardship Council through their voluntary program for responsible forest management. We are committed to using recycled, renewable, recyclable, compostable and other sustainable materials in our products, which drives our product-oriented sustainability initiatives. Currently, 33% of the products that we sell in the United States are recyclable.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team with a strong track record of innovation-driven growth</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a deep bench of talented managers led by Lance Mitchell, our President and Chief Executive Officer, who has over 35 years of industry experience. Both our CEO and CFO have played a pivotal role in the successful integration of the Reynolds and Hefty businesses. We have continued to assemble a leading team through strategic hires and have expanded our organizational capabilities in new product development. Through the lens of Reyvolution, our management team is focused on their vision for RCP, which includes a culture of innovation, excelling at quality and service, creating products people love and constantly evolving the business. Our management team’s key accomplishments include integrating, developing and growing a company with a strong ethics-driven and safety-focused culture while still achieving best-in-class market share and strong financial results. In addition, we attribute our lower than industry standard turnover rates to our collaborative, trustworthy company culture and our unwavering commitment to safety and to our people. Our strong management team is well positioned to effectively manage the business into the future with a depth of talented and dedicated employees already primed to lead the next generation of RCP.</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 Strategies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elements of our business strategy include: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Champion our categories and grow with our customers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participate in large consumer categories with strong household penetration. Our combined branded and store brand share is significant in our categories. Our products appeal to consumers of all demographics and have a multitude of usage occasions. Our scale across household aisles and ability to offer trusted branded and store brand products enable us to grow the overall category and has earned us the opportunity to provide category captain level advisor insights at the majority of our retail partners. Our respected and trusted category managers provide our customers with category management expertise, insight and analytics to help them drive consumer traffic and spending. Through marketing and consumer education strategies, both inside the store and out, we expand usage occasions and stimulate consumption. Our new product innovation drives incremental growth within our categories. These factors and our focus on offering a high quality portfolio of branded and store brand products provide tremendous value to our retailers versus our competition.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Continued investment behind our market-leading brand portfolio</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iconic brands and a proven ability to innovate, which enable us to approach adjacencies strategically and enhance our brand relevance with consumers. We plan to continue our investment in marketing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and advertising to grow the revenues of our product offerings and the categories in which they participate. Our innovative approach to advertising, and early adoption of new channels such as digital, social media and experiential events, have addressed the full range of consumer constituents and resulted in powerful penetration growth, market share growth and increased usage occasions, even in some of our more mature categories. For example, we have worked closely with advertisers to integrate aluminum foil, parchment paper, slow cooker liners and oven bags into recipes, which has resulted in over 40,000 integrated online recipes which offer simplified solutions in the kitchen. Additionally, our successful Hefty advertising campaigns have driven a 5% market share growth in the trash bag category over the last four years. We have a strong competency in measuring, monitoring and improving the efficiency of our marketing spending through internal proprietary analytical techniques. We believe there is a significant opportunity to use our existing brand equity and expand into adjacent categories.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Strengthen presence across distribution channels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to traditional grocery, we believe there is significant opportunity to expand within the club, home improvement, dollar-store and eCommerce channels across our full product portfolio. Building on Hefty’s brand dominance in large trash bags, we have provided new consumer insights to the home improvement and club channels, which have generated growth and new distribution. For example, the introduction of the new Hefty Load ‘n Carry product in the home improvement channel has energized Hefty’s relationships with DIYers and generated significant interest from these retail partners. Additionally, we see opportunity for our Reynolds products in the home improvement and club channels, with recent new customer wins and SKU expansion driving future growth.</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eCommerce penetration is expected to increase, due to the convenience of online ordering and subscription delivery, particularly for easy-to-ship household product categories. Given our strong relationship with online retailers, we are well-positioned to compete profitably and gain share in this growing channel. We provide both branded and private brand products through this channel, to address the consumer’s need for convenience and value. Furthering our eCommerce strategy, we recently launched a full line of store brand aluminum foil, trash bags and food storage bags as the exclusive supplier to the eCommerce leader. Additionally, most of our products are compatible with the eCommerce channel because they are shelf stable and efficient to transport. The recurring nature of consumer purchase cycles for our products positions us well to capitalize on continued growth of grocery pickup and subscription services.</w:t>
      </w:r>
    </w:p>
    <w:p>
      <w:pPr>
        <w:spacing w:after="0" w:line="189"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Finally, given our brand strength, technical expertise and the extensive use of products within our categories around the world, we see opportunities to selectively expand internationally. We currently sell to 54 countries around the world; however, this currently represents a small percentage of our annual revenue. During fiscal year 2018, North America represented 99% of our total sales. We estimate our addressable market outside the United States and Canada to be approximately $7.3 billion.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Drive growth through new and innovative products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an innovation driven company, and through Reyvolution, new product development plays a significant role in our growth strategy. Our innovation capabilities, combined with our investments in consumer-focused market research, will allow us to continue our track record of successful new product launches. We proactively collaborate with our retail partners on customized product innovation. Our product innovation pipeline focuses on use occasions including meals and snacks on-the-go as well as sustainability and the needs of the millennial consumer. Our objective is to generate 20% of our revenue each year from new products introduced within the prior three years. In fiscal year 2018, 21% of our revenue was generated from products that were less than three years old.</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More recently, through Hefty, we launched a new Ultra Strong product line that takes advantage of our triple action technology, which Nielsen awarded the 2018 Innovation Award (one of only 25 nationally).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Reynolds KITCHENS Parchment Pop Up Sheets and Presto store brand square-shaped snack bags have been great successes with consumers, providing products better aligned with usage needs than the existing options on the shelf. Furthermore, Hefty sliders storage bags with the Stand &amp; Fill feature, launched in 2019, are preferred over the competition by 73% of consumers.</w:t>
      </w:r>
    </w:p>
    <w:p>
      <w:pPr>
        <w:spacing w:after="0" w:line="181"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have focused much of our innovation efforts around sustainability, and we offer a broad line of products that are better for the planet. We are focusing on products made with recycled, renewable, recyclable and compostable materials. For example, we recently launched 75% Unbleached Compostable Parchment Paper and redesigned our Hefty party cups to reduce the plastic by 10% while maintaining strength.</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Systematically improve operational efficiency and reduce cost</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cultivated a continuous improvement mindset oriented towards cost reduction, productivity improvements and lean manufacturing. We are focused on improving the ways in which we develop and manufacture products with data-driven decision making and robust lean business principles. Deep manufacturing expertise across our portfolio provides us with trade secret manufacturing know-how that delivers technical advantages and a low-cost competitive position. Our scale enables us to purchase inputs efficiently and increases our purchasing flexibility. We have implemented a simplified go-to-market strategy that fully leverages our customer relationships and scale and reduces overhead. We also continue to invest in automating repetitive manual tasks to increase operating efficiency and consistency, while reducing our exposure to labor fluctuations. We use digital capabilities to significantly improve our operational efficiency and effectiveness. We have launched an “intelligent factory program” to establish an integrated, data-driven culture that transforms our operations through digitally-connected people, assets and processes.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Drive shareholder returns through balanced capital allocation</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believe our strong free cash flow enables us to invest in and grow our business organically, reduce our indebtedness and pursue strategic M&amp;A to create value for our stockholders. We also expect to return capital to our stockholders through regular dividend payments. We expect to pay a regular</w:t>
      </w:r>
    </w:p>
    <w:p>
      <w:pPr>
        <w:ind w:left="200" w:right="140"/>
        <w:spacing w:after="0" w:line="261" w:lineRule="auto"/>
        <w:rPr>
          <w:sz w:val="20"/>
          <w:szCs w:val="20"/>
          <w:color w:val="auto"/>
        </w:rPr>
      </w:pPr>
      <w:r>
        <w:rPr>
          <w:rFonts w:ascii="Arial" w:cs="Arial" w:eastAsia="Arial" w:hAnsi="Arial"/>
          <w:sz w:val="18"/>
          <w:szCs w:val="18"/>
          <w:color w:val="auto"/>
        </w:rPr>
        <w:t>quarterly cash dividend on our common stock of $ per share beginning in the quarter of fiscal year 20 , subject to declaration by our board of directors. See “Dividend Policy” for additional details.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Industry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Waste &amp; Storage Products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U.S. waste and storage products category generated $4.3 billion of sales across Nielsen tracked channels in the last 52 weeks ended September 28, 2019. Waste and storage products include branded and store brand trash bags and food storage bags sold through our Hefty and Presto segments. The table below shows overall category size, recent growth and category share of store brand and branded in the waste and storage products category within the United States.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Category size</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Category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8"/>
              </w:rPr>
              <w:t>CAGR ‘16-last</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 million)</w:t>
            </w:r>
          </w:p>
        </w:tc>
        <w:tc>
          <w:tcPr>
            <w:tcW w:w="8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560" w:type="dxa"/>
            <w:vAlign w:val="bottom"/>
            <w:gridSpan w:val="3"/>
          </w:tcPr>
          <w:p>
            <w:pPr>
              <w:ind w:left="1340"/>
              <w:spacing w:after="0" w:line="149" w:lineRule="exact"/>
              <w:rPr>
                <w:sz w:val="20"/>
                <w:szCs w:val="20"/>
                <w:color w:val="auto"/>
              </w:rPr>
            </w:pPr>
            <w:r>
              <w:rPr>
                <w:rFonts w:ascii="Arial" w:cs="Arial" w:eastAsia="Arial" w:hAnsi="Arial"/>
                <w:sz w:val="14"/>
                <w:szCs w:val="14"/>
                <w:b w:val="1"/>
                <w:bCs w:val="1"/>
                <w:color w:val="auto"/>
                <w:w w:val="89"/>
              </w:rPr>
              <w:t>last 52 weeks ended</w:t>
            </w:r>
          </w:p>
        </w:tc>
        <w:tc>
          <w:tcPr>
            <w:tcW w:w="80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52 weeks ended</w:t>
            </w:r>
          </w:p>
        </w:tc>
        <w:tc>
          <w:tcPr>
            <w:tcW w:w="2200" w:type="dxa"/>
            <w:vAlign w:val="bottom"/>
            <w:gridSpan w:val="3"/>
            <w:vMerge w:val="restart"/>
          </w:tcPr>
          <w:p>
            <w:pPr>
              <w:jc w:val="right"/>
              <w:ind w:right="880"/>
              <w:spacing w:after="0"/>
              <w:rPr>
                <w:sz w:val="20"/>
                <w:szCs w:val="20"/>
                <w:color w:val="auto"/>
              </w:rPr>
            </w:pPr>
            <w:r>
              <w:rPr>
                <w:rFonts w:ascii="Arial" w:cs="Arial" w:eastAsia="Arial" w:hAnsi="Arial"/>
                <w:sz w:val="14"/>
                <w:szCs w:val="14"/>
                <w:b w:val="1"/>
                <w:bCs w:val="1"/>
                <w:color w:val="auto"/>
              </w:rPr>
              <w:t>% Store Brand</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28, 2019</w:t>
            </w:r>
          </w:p>
        </w:tc>
        <w:tc>
          <w:tcPr>
            <w:tcW w:w="254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91"/>
              </w:rPr>
              <w:t>September 28, 2019</w:t>
            </w:r>
          </w:p>
        </w:tc>
        <w:tc>
          <w:tcPr>
            <w:tcW w:w="22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Trash bags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2,675</w:t>
            </w:r>
          </w:p>
        </w:tc>
        <w:tc>
          <w:tcPr>
            <w:tcW w:w="2540" w:type="dxa"/>
            <w:vAlign w:val="bottom"/>
            <w:gridSpan w:val="3"/>
          </w:tcPr>
          <w:p>
            <w:pPr>
              <w:jc w:val="right"/>
              <w:ind w:right="400"/>
              <w:spacing w:after="0"/>
              <w:rPr>
                <w:sz w:val="20"/>
                <w:szCs w:val="20"/>
                <w:color w:val="auto"/>
              </w:rPr>
            </w:pPr>
            <w:r>
              <w:rPr>
                <w:rFonts w:ascii="Arial" w:cs="Arial" w:eastAsia="Arial" w:hAnsi="Arial"/>
                <w:sz w:val="18"/>
                <w:szCs w:val="18"/>
                <w:color w:val="auto"/>
              </w:rPr>
              <w:t>0.7%</w:t>
            </w:r>
          </w:p>
        </w:tc>
        <w:tc>
          <w:tcPr>
            <w:tcW w:w="2200" w:type="dxa"/>
            <w:vAlign w:val="bottom"/>
            <w:gridSpan w:val="3"/>
          </w:tcPr>
          <w:p>
            <w:pPr>
              <w:jc w:val="right"/>
              <w:ind w:right="720"/>
              <w:spacing w:after="0"/>
              <w:rPr>
                <w:sz w:val="20"/>
                <w:szCs w:val="20"/>
                <w:color w:val="auto"/>
              </w:rPr>
            </w:pPr>
            <w:r>
              <w:rPr>
                <w:rFonts w:ascii="Arial" w:cs="Arial" w:eastAsia="Arial" w:hAnsi="Arial"/>
                <w:sz w:val="18"/>
                <w:szCs w:val="18"/>
                <w:color w:val="auto"/>
              </w:rPr>
              <w:t>47%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Food storage bags</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2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2016-last 52 weeks ended September 28, 2019.</w:t>
      </w:r>
    </w:p>
    <w:p>
      <w:pPr>
        <w:spacing w:after="0" w:line="22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leading market shares across the full suite of our trash and food storage bag products. Hefty trash bags can be found in 59% of all U.S. households. Through our Presto segment, we are the largest supplier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store brand food storage bags in the United States with a 57% share of the store brand market. Additionally, we have a 35% share of the overall branded and store brand market. Hefty led the slider bag segment with a 34% share. The table below shows our market share across the waste and storage products category.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14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and Store</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8"/>
              </w:rPr>
              <w:t>Brand</w:t>
            </w:r>
          </w:p>
        </w:tc>
        <w:tc>
          <w:tcPr>
            <w:tcW w:w="1380" w:type="dxa"/>
            <w:vAlign w:val="bottom"/>
            <w:gridSpan w:val="3"/>
            <w:vMerge w:val="continue"/>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40" w:type="dxa"/>
            <w:vAlign w:val="bottom"/>
            <w:gridSpan w:val="3"/>
          </w:tcPr>
          <w:p>
            <w:pPr>
              <w:ind w:left="20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80" w:type="dxa"/>
            <w:vAlign w:val="bottom"/>
            <w:gridSpan w:val="3"/>
          </w:tcPr>
          <w:p>
            <w:pPr>
              <w:ind w:left="42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Trash bags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522</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1,008</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Food storage bags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Within the trash bags category there is limited shelf space for multiple brands and significant investment is required to build brand equity with consumers. Our cost competitive manufacturing and effective marketing enable us to succeed in our product categories. In trash bags, consumers are increasingly purchasing bags with added features such as flex, drawstring and various scent choices. We deliver on these consumer trends and the consumer’s desire for value and quality with our high performing product portfolio. “Better Bag, Better Value” is our operating philosophy and our competitive advantage.</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Within food storage bags, consumers are migrating to higher-count pack sizes while seeking a right-sized bag to avoid waste. Additionally, consumers are trading up from traditional non-reclosable bags to products with more convenient closures such as press-to-close and sliders. Our success in this category is a result of high quality, scale, significant technical know-how and a competitive cost position.</w:t>
      </w:r>
    </w:p>
    <w:p>
      <w:pPr>
        <w:spacing w:after="0" w:line="166"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We offer a wide range of sustainable solutions, including compostable bags and products made from plant-based and recycled materials. Our Hefty EnergyBag Program continues to expand, helping communities increase recycling rates and unlock the value of hard-to-recycle plastics by converting them into useful resources such as energy, fuel or durable building materials.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Cooking Products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Cooking products includes branded and store brand aluminum foil, aluminum bakeware and convenience cooking products, primarily sold through our Reynolds Cooking &amp; Baking segment. Within the convenience cooking category, we sell parchment paper, slow cooker liners, oven bags, wax paper, freezer paper and baking cups. The overall cooking products category generated approximately $1.1 billion of sales in the U.S. across Nielsen tracked channels in the last 52 weeks ended September 28, 2019. The table below shows overall category size, recent growth and category share of store brand and branded in the cooking products category within the United States.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0"/>
              </w:rPr>
              <w:t>Category size</w:t>
            </w: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Category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40" w:type="dxa"/>
            <w:vAlign w:val="bottom"/>
            <w:gridSpan w:val="3"/>
            <w:vMerge w:val="restart"/>
          </w:tcPr>
          <w:p>
            <w:pPr>
              <w:jc w:val="center"/>
              <w:ind w:left="179"/>
              <w:spacing w:after="0"/>
              <w:rPr>
                <w:sz w:val="20"/>
                <w:szCs w:val="20"/>
                <w:color w:val="auto"/>
              </w:rPr>
            </w:pPr>
            <w:r>
              <w:rPr>
                <w:rFonts w:ascii="Arial" w:cs="Arial" w:eastAsia="Arial" w:hAnsi="Arial"/>
                <w:sz w:val="14"/>
                <w:szCs w:val="14"/>
                <w:b w:val="1"/>
                <w:bCs w:val="1"/>
                <w:color w:val="auto"/>
                <w:w w:val="94"/>
              </w:rPr>
              <w:t>CAGR ‘16-last 52 weeks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380" w:type="dxa"/>
            <w:vAlign w:val="bottom"/>
            <w:gridSpan w:val="3"/>
          </w:tcPr>
          <w:p>
            <w:pPr>
              <w:jc w:val="center"/>
              <w:ind w:left="816"/>
              <w:spacing w:after="0" w:line="149" w:lineRule="exact"/>
              <w:rPr>
                <w:sz w:val="20"/>
                <w:szCs w:val="20"/>
                <w:color w:val="auto"/>
              </w:rPr>
            </w:pPr>
            <w:r>
              <w:rPr>
                <w:rFonts w:ascii="Arial" w:cs="Arial" w:eastAsia="Arial" w:hAnsi="Arial"/>
                <w:sz w:val="14"/>
                <w:szCs w:val="14"/>
                <w:b w:val="1"/>
                <w:bCs w:val="1"/>
                <w:color w:val="auto"/>
                <w:w w:val="92"/>
              </w:rPr>
              <w:t>($ million) last 52 weeks</w:t>
            </w:r>
          </w:p>
        </w:tc>
        <w:tc>
          <w:tcPr>
            <w:tcW w:w="28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ended September 28,</w:t>
            </w:r>
          </w:p>
        </w:tc>
        <w:tc>
          <w:tcPr>
            <w:tcW w:w="800" w:type="dxa"/>
            <w:vAlign w:val="bottom"/>
          </w:tcPr>
          <w:p>
            <w:pPr>
              <w:spacing w:after="0"/>
              <w:rPr>
                <w:sz w:val="12"/>
                <w:szCs w:val="12"/>
                <w:color w:val="auto"/>
              </w:rPr>
            </w:pPr>
          </w:p>
        </w:tc>
        <w:tc>
          <w:tcPr>
            <w:tcW w:w="2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ended September 28,</w:t>
            </w:r>
          </w:p>
        </w:tc>
        <w:tc>
          <w:tcPr>
            <w:tcW w:w="2200" w:type="dxa"/>
            <w:vAlign w:val="bottom"/>
            <w:gridSpan w:val="3"/>
            <w:vMerge w:val="restart"/>
          </w:tcPr>
          <w:p>
            <w:pPr>
              <w:jc w:val="right"/>
              <w:ind w:right="880"/>
              <w:spacing w:after="0"/>
              <w:rPr>
                <w:sz w:val="20"/>
                <w:szCs w:val="20"/>
                <w:color w:val="auto"/>
              </w:rPr>
            </w:pPr>
            <w:r>
              <w:rPr>
                <w:rFonts w:ascii="Arial" w:cs="Arial" w:eastAsia="Arial" w:hAnsi="Arial"/>
                <w:sz w:val="14"/>
                <w:szCs w:val="14"/>
                <w:b w:val="1"/>
                <w:bCs w:val="1"/>
                <w:color w:val="auto"/>
              </w:rPr>
              <w:t>% Store Brand</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2019</w:t>
            </w:r>
          </w:p>
        </w:tc>
        <w:tc>
          <w:tcPr>
            <w:tcW w:w="2300" w:type="dxa"/>
            <w:vAlign w:val="bottom"/>
            <w:gridSpan w:val="2"/>
          </w:tcPr>
          <w:p>
            <w:pPr>
              <w:jc w:val="center"/>
              <w:ind w:left="719"/>
              <w:spacing w:after="0"/>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Foil (excl. foodservice)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809</w:t>
            </w:r>
          </w:p>
        </w:tc>
        <w:tc>
          <w:tcPr>
            <w:tcW w:w="2840" w:type="dxa"/>
            <w:vAlign w:val="bottom"/>
            <w:gridSpan w:val="3"/>
          </w:tcPr>
          <w:p>
            <w:pPr>
              <w:jc w:val="right"/>
              <w:ind w:right="400"/>
              <w:spacing w:after="0"/>
              <w:rPr>
                <w:sz w:val="20"/>
                <w:szCs w:val="20"/>
                <w:color w:val="auto"/>
              </w:rPr>
            </w:pPr>
            <w:r>
              <w:rPr>
                <w:rFonts w:ascii="Arial" w:cs="Arial" w:eastAsia="Arial" w:hAnsi="Arial"/>
                <w:sz w:val="18"/>
                <w:szCs w:val="18"/>
                <w:color w:val="auto"/>
              </w:rPr>
              <w:t>1.6%</w:t>
            </w:r>
          </w:p>
        </w:tc>
        <w:tc>
          <w:tcPr>
            <w:tcW w:w="2200" w:type="dxa"/>
            <w:vAlign w:val="bottom"/>
            <w:gridSpan w:val="3"/>
          </w:tcPr>
          <w:p>
            <w:pPr>
              <w:jc w:val="right"/>
              <w:ind w:right="720"/>
              <w:spacing w:after="0"/>
              <w:rPr>
                <w:sz w:val="20"/>
                <w:szCs w:val="20"/>
                <w:color w:val="auto"/>
              </w:rPr>
            </w:pPr>
            <w:r>
              <w:rPr>
                <w:rFonts w:ascii="Arial" w:cs="Arial" w:eastAsia="Arial" w:hAnsi="Arial"/>
                <w:sz w:val="18"/>
                <w:szCs w:val="18"/>
                <w:color w:val="auto"/>
              </w:rPr>
              <w:t>35%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Convenience cooking</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2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2016 – last 52 weeks ended September 28, 2019.</w:t>
      </w:r>
    </w:p>
    <w:p>
      <w:pPr>
        <w:spacing w:after="0" w:line="225"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leading market shares in the U.S. across the cooking products category. Reynolds Wrap is the largest brand within the U.S. foil market and is nearly 50 times the size of all other foil brands combined. It is a renowned cooking aide, found in 82% of U.S. households according to a 1Q Panel survey fielded in July 2019. We have a leadership position within virtually all of our convenience cooking subcategories including a 93%</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share in branded oven bags, an 83% share in slow cooker liners, a 94% share in freezer paper and a 60% share in wax paper. Additionally, we compete on a limited basis in the growing $612 million bakeware category where we expect meaningful opportunities to grow. The table below shows our market share across the cooking products category.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and Store</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3"/>
              </w:rPr>
              <w:t>Brand</w:t>
            </w:r>
          </w:p>
        </w:tc>
        <w:tc>
          <w:tcPr>
            <w:tcW w:w="138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gridSpan w:val="3"/>
          </w:tcPr>
          <w:p>
            <w:pPr>
              <w:ind w:left="186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Foil (excl. foodservice)</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515</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564</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Convenience cooking</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solve key kitchen pain points for consumers by enabling speed and ease, eliminating mess, and enhancing the quality of meals. We foster a love for cooking by serving as a trusted “kitchen assistant”, which gives consumers confidence in the kitchen. Consumers are gravitating towards meals with simple ingredients and this trend aligns well with foil usage in single sheet pan meals and foil pouch cooking. Many consumers, including millennials, are avid grillers and desire high quality foil products that can withstand heat and enhance their cooking. Aluminum foil is infinitely recyclable and is supported as a green material. We have introduced Reynolds Wrap 100% Recycled Foil to meet consumers’ growing demand for sustainable products. We have approximately 80 new product ideas in the pipeline to further capitalize on this and other emerging consumer needs and preferences.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Tableware</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Tableware products include branded and store brand disposable plates, cups, bowls, platters and cutlery. The disposable tableware category generated $4.5 billion of sales in the U.S. across Nielsen tracked channels in the last 52 weeks ended September 28, 2019 across disposable dishes, cups and cutlery. Within this group, we have leading market shares in plastic cups and foam dishes, which together accounted for $1.3 billion of sales in this category in the last 52 weeks ended September 28, 2019. We have significant space to grow in this category, and our strong brand equity in foam plates and plastic cups positions us well to grow in other category adjacencies by leveraging our customer relationships and innovation, as demonstrated by our recent launches of hot cup and compostable molded fiber products. The table below shows overall category size, recent growth and category share of store brand and branded in the tableware products category within the United States.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Category size</w:t>
            </w:r>
          </w:p>
        </w:tc>
        <w:tc>
          <w:tcPr>
            <w:tcW w:w="2240" w:type="dxa"/>
            <w:vAlign w:val="bottom"/>
            <w:gridSpan w:val="3"/>
            <w:vMerge w:val="restart"/>
          </w:tcPr>
          <w:p>
            <w:pPr>
              <w:jc w:val="center"/>
              <w:ind w:left="75"/>
              <w:spacing w:after="0"/>
              <w:rPr>
                <w:sz w:val="20"/>
                <w:szCs w:val="20"/>
                <w:color w:val="auto"/>
              </w:rPr>
            </w:pPr>
            <w:r>
              <w:rPr>
                <w:rFonts w:ascii="Arial" w:cs="Arial" w:eastAsia="Arial" w:hAnsi="Arial"/>
                <w:sz w:val="14"/>
                <w:szCs w:val="14"/>
                <w:b w:val="1"/>
                <w:bCs w:val="1"/>
                <w:color w:val="auto"/>
                <w:w w:val="98"/>
              </w:rPr>
              <w:t>CAGR ‘16-last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Category share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 million) last</w:t>
            </w:r>
          </w:p>
        </w:tc>
        <w:tc>
          <w:tcPr>
            <w:tcW w:w="7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52 weeks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80" w:type="dxa"/>
            <w:vAlign w:val="bottom"/>
            <w:gridSpan w:val="3"/>
          </w:tcPr>
          <w:p>
            <w:pPr>
              <w:ind w:left="1820"/>
              <w:spacing w:after="0" w:line="149" w:lineRule="exact"/>
              <w:rPr>
                <w:sz w:val="20"/>
                <w:szCs w:val="20"/>
                <w:color w:val="auto"/>
              </w:rPr>
            </w:pPr>
            <w:r>
              <w:rPr>
                <w:rFonts w:ascii="Arial" w:cs="Arial" w:eastAsia="Arial" w:hAnsi="Arial"/>
                <w:sz w:val="14"/>
                <w:szCs w:val="14"/>
                <w:b w:val="1"/>
                <w:bCs w:val="1"/>
                <w:color w:val="auto"/>
                <w:w w:val="88"/>
              </w:rPr>
              <w:t>52 weeks ended</w:t>
            </w:r>
          </w:p>
        </w:tc>
        <w:tc>
          <w:tcPr>
            <w:tcW w:w="7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ended</w:t>
            </w:r>
          </w:p>
        </w:tc>
        <w:tc>
          <w:tcPr>
            <w:tcW w:w="138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 Store</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28,</w:t>
            </w:r>
          </w:p>
        </w:tc>
        <w:tc>
          <w:tcPr>
            <w:tcW w:w="7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September 28,</w:t>
            </w:r>
          </w:p>
        </w:tc>
        <w:tc>
          <w:tcPr>
            <w:tcW w:w="138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660" w:type="dxa"/>
            <w:vAlign w:val="bottom"/>
            <w:gridSpan w:val="2"/>
          </w:tcPr>
          <w:p>
            <w:pPr>
              <w:jc w:val="center"/>
              <w:ind w:left="65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Brand</w:t>
            </w: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Disposable dishes</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2,987</w:t>
            </w:r>
          </w:p>
        </w:tc>
        <w:tc>
          <w:tcPr>
            <w:tcW w:w="2240" w:type="dxa"/>
            <w:vAlign w:val="bottom"/>
            <w:gridSpan w:val="3"/>
          </w:tcPr>
          <w:p>
            <w:pPr>
              <w:jc w:val="right"/>
              <w:ind w:right="420"/>
              <w:spacing w:after="0"/>
              <w:rPr>
                <w:sz w:val="20"/>
                <w:szCs w:val="20"/>
                <w:color w:val="auto"/>
              </w:rPr>
            </w:pPr>
            <w:r>
              <w:rPr>
                <w:rFonts w:ascii="Arial" w:cs="Arial" w:eastAsia="Arial" w:hAnsi="Arial"/>
                <w:sz w:val="18"/>
                <w:szCs w:val="18"/>
                <w:color w:val="auto"/>
              </w:rPr>
              <w:t>3.5%</w:t>
            </w:r>
          </w:p>
        </w:tc>
        <w:tc>
          <w:tcPr>
            <w:tcW w:w="1380" w:type="dxa"/>
            <w:vAlign w:val="bottom"/>
            <w:gridSpan w:val="3"/>
          </w:tcPr>
          <w:p>
            <w:pPr>
              <w:jc w:val="right"/>
              <w:ind w:right="288"/>
              <w:spacing w:after="0"/>
              <w:rPr>
                <w:sz w:val="20"/>
                <w:szCs w:val="20"/>
                <w:color w:val="auto"/>
              </w:rPr>
            </w:pPr>
            <w:r>
              <w:rPr>
                <w:rFonts w:ascii="Arial" w:cs="Arial" w:eastAsia="Arial" w:hAnsi="Arial"/>
                <w:sz w:val="18"/>
                <w:szCs w:val="18"/>
                <w:color w:val="auto"/>
              </w:rPr>
              <w:t>59%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Foam dishes</w:t>
            </w: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Disposable cups</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963</w:t>
            </w:r>
          </w:p>
        </w:tc>
        <w:tc>
          <w:tcPr>
            <w:tcW w:w="2240" w:type="dxa"/>
            <w:vAlign w:val="bottom"/>
            <w:gridSpan w:val="3"/>
          </w:tcPr>
          <w:p>
            <w:pPr>
              <w:jc w:val="right"/>
              <w:ind w:right="360"/>
              <w:spacing w:after="0"/>
              <w:rPr>
                <w:sz w:val="20"/>
                <w:szCs w:val="20"/>
                <w:color w:val="auto"/>
              </w:rPr>
            </w:pPr>
            <w:r>
              <w:rPr>
                <w:rFonts w:ascii="Arial" w:cs="Arial" w:eastAsia="Arial" w:hAnsi="Arial"/>
                <w:sz w:val="18"/>
                <w:szCs w:val="18"/>
                <w:color w:val="auto"/>
              </w:rPr>
              <w:t>(0.2%)</w:t>
            </w:r>
          </w:p>
        </w:tc>
        <w:tc>
          <w:tcPr>
            <w:tcW w:w="1380" w:type="dxa"/>
            <w:vAlign w:val="bottom"/>
            <w:gridSpan w:val="3"/>
          </w:tcPr>
          <w:p>
            <w:pPr>
              <w:jc w:val="right"/>
              <w:ind w:right="288"/>
              <w:spacing w:after="0"/>
              <w:rPr>
                <w:sz w:val="20"/>
                <w:szCs w:val="20"/>
                <w:color w:val="auto"/>
              </w:rPr>
            </w:pPr>
            <w:r>
              <w:rPr>
                <w:rFonts w:ascii="Arial" w:cs="Arial" w:eastAsia="Arial" w:hAnsi="Arial"/>
                <w:sz w:val="18"/>
                <w:szCs w:val="18"/>
                <w:color w:val="auto"/>
              </w:rPr>
              <w:t>60%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Plastic cups</w:t>
            </w: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68%</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700"/>
              <w:spacing w:after="0"/>
              <w:rPr>
                <w:sz w:val="20"/>
                <w:szCs w:val="20"/>
                <w:color w:val="auto"/>
              </w:rPr>
            </w:pPr>
            <w:r>
              <w:rPr>
                <w:rFonts w:ascii="Arial" w:cs="Arial" w:eastAsia="Arial" w:hAnsi="Arial"/>
                <w:sz w:val="18"/>
                <w:szCs w:val="18"/>
                <w:i w:val="1"/>
                <w:iCs w:val="1"/>
                <w:color w:val="auto"/>
              </w:rPr>
              <w:t>Party cups</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2240" w:type="dxa"/>
            <w:vAlign w:val="bottom"/>
            <w:gridSpan w:val="3"/>
          </w:tcPr>
          <w:p>
            <w:pPr>
              <w:jc w:val="right"/>
              <w:ind w:right="420"/>
              <w:spacing w:after="0"/>
              <w:rPr>
                <w:sz w:val="20"/>
                <w:szCs w:val="20"/>
                <w:color w:val="auto"/>
              </w:rPr>
            </w:pPr>
            <w:r>
              <w:rPr>
                <w:rFonts w:ascii="Arial" w:cs="Arial" w:eastAsia="Arial" w:hAnsi="Arial"/>
                <w:sz w:val="18"/>
                <w:szCs w:val="18"/>
                <w:color w:val="auto"/>
              </w:rPr>
              <w:t>0.3%</w:t>
            </w:r>
          </w:p>
        </w:tc>
        <w:tc>
          <w:tcPr>
            <w:tcW w:w="1380" w:type="dxa"/>
            <w:vAlign w:val="bottom"/>
            <w:gridSpan w:val="3"/>
          </w:tcPr>
          <w:p>
            <w:pPr>
              <w:jc w:val="right"/>
              <w:ind w:right="288"/>
              <w:spacing w:after="0"/>
              <w:rPr>
                <w:sz w:val="20"/>
                <w:szCs w:val="20"/>
                <w:color w:val="auto"/>
              </w:rPr>
            </w:pPr>
            <w:r>
              <w:rPr>
                <w:rFonts w:ascii="Arial" w:cs="Arial" w:eastAsia="Arial" w:hAnsi="Arial"/>
                <w:sz w:val="18"/>
                <w:szCs w:val="18"/>
                <w:color w:val="auto"/>
              </w:rPr>
              <w:t>63%</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2016 last 52 weeks ended September 28, 2019.</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Hefty Party Cup was the #1 branded party cup in America with 22% market share, driven both by the iconic red party cup as well as our seasonal color cups for summer and holiday entertaining. Within this category, everyday occasions account for the largest percentage of disposable tableware use as time-starved consumers seek to alleviate the daily stress of washing the dishes, while sharing meals with friends and family, at home or</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on-the-go. Consumer satisfaction among heavy users of our products is very high. In addition to our strong Hefty branded portfolio we also collaborate with our customers as a full service store brand supplier across the disposable tableware aisle. The table below shows our market share across the tableware category.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Revenues</w:t>
            </w:r>
          </w:p>
        </w:tc>
        <w:tc>
          <w:tcPr>
            <w:tcW w:w="13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and Store</w:t>
            </w: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Brand</w:t>
            </w:r>
          </w:p>
        </w:tc>
        <w:tc>
          <w:tcPr>
            <w:tcW w:w="136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40" w:type="dxa"/>
            <w:vAlign w:val="bottom"/>
            <w:gridSpan w:val="3"/>
          </w:tcPr>
          <w:p>
            <w:pPr>
              <w:ind w:left="198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Disposable dishes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529</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Foam dishes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Disposable cups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Plastic cups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700"/>
              <w:spacing w:after="0"/>
              <w:rPr>
                <w:sz w:val="20"/>
                <w:szCs w:val="20"/>
                <w:color w:val="auto"/>
              </w:rPr>
            </w:pPr>
            <w:r>
              <w:rPr>
                <w:rFonts w:ascii="Arial" w:cs="Arial" w:eastAsia="Arial" w:hAnsi="Arial"/>
                <w:sz w:val="18"/>
                <w:szCs w:val="18"/>
                <w:i w:val="1"/>
                <w:iCs w:val="1"/>
                <w:color w:val="auto"/>
              </w:rPr>
              <w:t>Party cups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Nielsen xAOC last 52 weeks ended September 28, 2019.</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ability to compete across both branded and store brand products allows us to grow with the category and deliver a differentiated suite of category management insights, product development leadership and innovation to our customers. We continue to see opportunities for growth within tableware by expanding penetration of existing channels and capitalizing on our strong brand equity to expand into adjacent growth categories, such as hot cups, compostable molded fiber dishes and Elegantware</w:t>
      </w:r>
      <w:r>
        <w:rPr>
          <w:rFonts w:ascii="Arial" w:cs="Arial" w:eastAsia="Arial" w:hAnsi="Arial"/>
          <w:sz w:val="14"/>
          <w:szCs w:val="14"/>
          <w:color w:val="auto"/>
        </w:rPr>
        <w:t>®</w:t>
      </w:r>
      <w:r>
        <w:rPr>
          <w:rFonts w:ascii="Arial" w:cs="Arial" w:eastAsia="Arial" w:hAnsi="Arial"/>
          <w:sz w:val="17"/>
          <w:szCs w:val="17"/>
          <w:color w:val="auto"/>
        </w:rPr>
        <w:t xml:space="preserve"> tableware for home entertainment.</w:t>
      </w:r>
    </w:p>
    <w:p>
      <w:pPr>
        <w:spacing w:after="0" w:line="171"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Our product innovation pipeline focuses on usage occasions, including meals and snacks on-the-go, as well as the needs of the millennial consumer. We offer eco-friendly options across our portfolio, such as our compostable Hefty paper plates and our plastic cups made with 30% post-consumer recycled PET. We have redesigned cups to decrease the amount of material by 10% in each cup while maintaining functionality and are expanding our offering of renewable and compostable products as part of our broader sustainability initiatives.</w:t>
      </w: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Sustainability</w:t>
      </w:r>
    </w:p>
    <w:p>
      <w:pPr>
        <w:spacing w:after="0" w:line="22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committed to corporate responsibility and strive to maintain strong and transparent environmental, social and governance practices. Our sustainability efforts are led by a sustainability committee, which is comprised of a cross functional group of employees who receive senior-level input. This committee is responsible for promoting RCP initiatives across segments and engaging with our employee base. We strive to bring the best sustainability solutions to our customers by partnering with them to support their initiatives through our innovative portfolio of products, industry-leading insights, and state-of-the-art manufacturing facilities. RCP has a comprehensive approach to sustainability that is focused on the following three key areas.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Portfolio</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offer sustainable and eco-friendly products across our portfolio. We are focused on sustainable innovation and offer a broad line of eco-friendly products made with recycled, renewable and compostable materials. We have launched several eco-friendly products including recycled aluminum foil and unbleached compostable parchment paper, compostable tableware, and plant-based resin food storage bags. We continue to devote resources towards sustainability research and believe this will allow us to stay on the cutting edge. For example, we have found ways to expand aluminum scrap utilization and have developed unique foam alternatives. In addition, through operational initiatives, we reduced the amount of plastic in each Hefty party cup by 10%, saving 2.7 million pounds of plastic annually while maintaining product strength and quality. Furthermore, our products provide efficient food storage solutions that preserve leftovers and reduce food waste.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have developed an end-to-end approach to reduce our carbon footprint and support increased use of renewable and recycled materials across our supply chain. Our sustainable supply chain strategy is centered on the utilization of better materials through proprietary development, better product design, efficient shipments of products and continuous process improvement. Through our Reyvolution program we have developed projects focused on using recycled aluminum in our Hot Springs, Arkansas aluminum casting facility. We have also developed plant and office initiatives focused on material recycling, collection and after-life usage of, for example, oil, metal, corrugate and resin. Additionally, we have long-standing programs focused on energy efficiency, emission reduction, waste water management and landfill minimization. For instance, we have recently invested heavily in air compressor energy efficiency and LED lighting. We were one of the first to switch to more compact packaging from cut-and-fold to bag-on-a-roll technology, which reduced packaging materials by 45%, decreased shipping cube per order by 30% and increased shelf display capacity by 25%. We also partner with key suppliers to identify renewable and recyclable materials, develop sustainable capabilities, and identify end markets that facilitate the recycling process overall. We work with our suppliers to develop closed loop resin recycling paths and with municipalities to increase recycling.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Communities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seek to promote sustainable communities through our products. We encourage employees to identify sustainable solutions, support community outreach especially in the communities near our facilities, lead by example and educate themselves and others about sustainability overall. Our efforts to expand these programs are focused on adding communities to the program and developing demand for post-consumer recycled plastics. We also continue to expand our Hefty EnergyBag Program which now serves over 500,000 households, turning hard to recycle plastics into useful items such as AgFuel, railroad ties and park benches.</w:t>
      </w:r>
    </w:p>
    <w:p>
      <w:pPr>
        <w:spacing w:after="0" w:line="18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are also proud members of the Sustainable Packaging Coalition, an industry working group dedicated to a more robust environmental vision for packaging. We have included the How2Recycle labelling on our packaging since 2016, which helps encourage recycling behavior of consumers through clear, concise labelling. We also support the Forest Stewardship Council (“FSC”) by participating in their voluntary program for responsible forest management. The FSC is supported by the World Wildlife Fund, the Sierra Club, Greenpeace, the Resources Defense Council and the National Wildlife Federation. We have the FSC certification on all of our parchment items, as well as wax paper sandwich bags.</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Sales to our top ten customers accounted for 69%, 68% and 67% of our total revenue in fiscal years 2018, 2017 and 2016, respectively. Walmart accounted for 28%, 27% and 26% and Sam’s Club accounted for 12%, 12% and 12% of our total revenue in fiscal years 2018, 2017 and 2016, respectively. Sales to Walmart are concentrated more heavily in our Hefty Waste &amp; Storage segment, and sales to Sam’s Club are concentrated more heavily in our Tableware segment.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fiscal year 2018, North America and the United States represented 99% and 98% of our total sales, respectively.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Sales, Category Management and Marketing</w:t>
      </w:r>
    </w:p>
    <w:p>
      <w:pPr>
        <w:spacing w:after="0" w:line="229"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direct sales force organized by customer type, including national accounts, regional accounts and eCommerce. Our sales force is responsible for sales across each of our segments and our portfolio of branded and store brand products. We have a best-in-class sales organization comprised of approximately 100 experienced professionals who are committed to providing exceptional service to our customers. We take pride in the average tenure of our sales force of over 10 years at RCP, low turnover rate, relevant industry experience and data-driven sales process. We complement our internal sales platform by selectively utilizing third-party brokers for certain products and customers. In addition to sales professionals, each of our top 20 customers has a dedicated customer support team, including customer service representatives, category management teams and a logistics and transportation team.</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Category Management</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provide our customers with category management expertise across household aisles, including merchandising, assortment, pricing, promotion strategies, points of distribution and on-shelf placement, supported by market intelligence and consumer-focused insights. Category managers act as advisors to customers, providing support to retailers on overall SKU strategy and brand/product selection. We implemented this strategy upon creation of the combined Reynolds Consumer Products business in 2010 and have since achieved this premier category captain level advisor position at 29 retailers. These 29 retailers represent 73% of ACV across total U.S. retailers (xAOC), as defined by Nielsen. We believe this value-added service differentiates us from our competitors and strengthens our customer relationships. In addition, this service lends us credibility as an unbiased advisor to customers and leverages our focus on category growth. Today we have 23 category managers serving all of our customers.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Each of our segments has its own marketing team, focused on growth through product development, innovation, promotion, pricing and advertising. We apply our marketing expertise to both our brands and store brand products. We engage with consumers across nearly every marketing channel, including experiential, social media platforms, sports marketing and public relations in addition to traditional media advertising. Our marketing teams also lead insightful consumer market research, which fuels our innovation process. We have an in-house visual branding team that executes rapid graphics changes across both our branded and store brand products. These in-house capabilities allow us to serve our customers better and bring new products to market more efficiently.</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New Product Development</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fiscal year 2018, we generated 21% of our revenue from new products that were launched in the prior three years. Our new product development is an integrated, continual process, with collaboration across teams, including research and development, marketing, category management and engineering. Through our investments, we have generated increased revenue and a portfolio of intellectual property assets including approximately 750 patents globally. Research and development costs were $29 million, $27 million and $30 million for the fiscal years 2018, 2017 and 2016, respectively. Our new product development process is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59" w:lineRule="auto"/>
        <w:rPr>
          <w:sz w:val="20"/>
          <w:szCs w:val="20"/>
          <w:color w:val="auto"/>
        </w:rPr>
      </w:pPr>
      <w:r>
        <w:rPr>
          <w:rFonts w:ascii="Arial" w:cs="Arial" w:eastAsia="Arial" w:hAnsi="Arial"/>
          <w:sz w:val="18"/>
          <w:szCs w:val="18"/>
          <w:color w:val="auto"/>
        </w:rPr>
        <w:t>customer centric and profit-driven. Our new product development team leverages extensive work and data from our marketing team. We believe that innovation should be centered on consumer needs and wants, identified through extensive market research and testing. Our continuous reinvention of our core products, development of new products, expansion into adjacent categories and consistent collaboration and partnership with our customers enable us to remain a leader in our categories.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200" w:right="100" w:firstLine="441"/>
        <w:spacing w:after="0" w:line="257" w:lineRule="auto"/>
        <w:rPr>
          <w:sz w:val="20"/>
          <w:szCs w:val="20"/>
          <w:color w:val="auto"/>
        </w:rPr>
      </w:pPr>
      <w:r>
        <w:rPr>
          <w:rFonts w:ascii="Arial" w:cs="Arial" w:eastAsia="Arial" w:hAnsi="Arial"/>
          <w:sz w:val="18"/>
          <w:szCs w:val="18"/>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Sons, Inc., Poly-America, Handi-Foil Corporation, Republic Plastics, Ltd., Trinidad Benham Corporation, Inteplast Group, Ltd. and Dart Container Corporation. Within each product category, most of our products compete with other widely advertised brands and store brand products.</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Competition in our categories is based on a number of factors including price, quality and brand recognition.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Manufacturing and Distribution</w:t>
      </w:r>
    </w:p>
    <w:p>
      <w:pPr>
        <w:spacing w:after="0" w:line="229"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have demonstrated manufacturing expertise in casting, spooling, converting, resin extrusion, injection molding, machining, joining and thermoforming. We operate 16 manufacturing facilities strategically located across the United States and one manufacturing facility located in Canada. This allows us to optimize distribution and minimize lead times and freight costs. Virtually all of our manufacturing plants are dedicated to one of our segments. We are the only integrated aluminum foil manufacturer in North America, processing aluminum from ingot to the finished good. Our manufacturing processes in cooking and waste and storage products are also vertically integrated from resin pellets to the finished goods. We utilize third party manufacturers for certain products for which we do not have in-house manufacturing expertise. We also maximize our manufacturing facilities by contracting out excess capacity, for example by selling rolled aluminum from our Malvern facility to third parties.</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utilize two routes of distribution to deliver our products to our customers. In many cases, we ship directly from our warehouses to the customer distribution center. Given the breadth of our product offerings, we are also able to optimize truckloads and reduce inventory for our retail partners by shipping trucks from third-party mixing centers filled with SKUs across all of our product categories. Approximately 60% of all orders are delivered from a mixing center and our remaining orders are shipped directly from our manufacturing facilities.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24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We have a diverse supplier base, and are not reliant on any single supplier for our primary raw materials, including polyethylene, polystyrene and aluminum. In fiscal year 2018, the total value of raw materials we consumed was $1,489 million and represented 64% of our total cost of sales, excluding depreciation and amortization. Plastic resins accounted for 39% of raw material costs for the year, while aluminum and other metal-related components collectively accounted for 29%. We also purchase raw material additives, secondary packaging materials and finished products for resale. We source a significant majority of our resin requirements from domestic suppliers. We have a track record of actively managing and/or successfully passing along to customers raw material price fluctuations. We also enter into hedging agreements at the request of certain customers who want to mitigate the risk of changes in raw material costs in their product pricing.</w:t>
      </w:r>
    </w:p>
    <w:p>
      <w:pPr>
        <w:spacing w:after="0" w:line="17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Centralized purchasing enables us to leverage the global purchasing power of our operations and reduces our dependence on any one supplier. We generally have one to two year contracts with resin suppliers and multi-year contracts with aluminum suppliers, which have historically provided us with a steady supply of raw materials. In certain instances, we purchase selected finished goods from third-party suppliers to supplement capacity and source specialty items. We have not historically experienced any significant interruptions of key raw material supplies.</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Quality Management</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segments each maintain end-to-end quality procedures through strong corporate leadership, comprehensive integrated quality controls across manufacturing operations, collaboration with suppliers and contract manufacturers, analytical capabilities and physical property testing. We have continuous improvement programs focused on cost reduction, productivity enhancements and improving product quality. Our store brand products are subject to the same degree of quality control as our branded products and many have “national brand equivalent” certification from third parties. Ensuring product quality is essential to brand equity and consumer trust. We use a six sigma methodology to measure the quality of our products, as well as receiving customer feedback through in home tests, interviews and complaint monitoring. Our commitment to quality has driven reductions in year-over-year consumer complaint rates across all of our segments, including a 38% reduction in Reynolds Wrap and store brand aluminum foil, an 18% reduction in our ALCAN aluminum foil, a 49% reduction in our bakeware products and a 35% reduction in Hefty party cups.</w:t>
      </w:r>
    </w:p>
    <w:p>
      <w:pPr>
        <w:spacing w:after="0" w:line="166"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Furthermore, our manufacturing operations are designed to achieve the highest degree of product safety through disciplined control of primary materials and retail traceability of products. Supplier controls that are in place throughout our facilities aim to ensure product and process controls, a safe and healthy work environment, environmental compliance and product safety. We review our facilities at least annually for full compliance, and appropriate remediation procedures are taken if necessary. Our high workforce engagement and industry leading safety rates at plants reflect our commitment to the safety and well-being of our employees. Safety is a top priority in all aspects of our business, and we continue to make steady improvements in safety metrics. For instance, we had an Occupational Health and Safety Administration Recordable Incident Rate of under 1.00 for the last three years (as compared to an industry average of 3.5), with a 20% improvement from prior years.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Other than licenses for commercially available software, we do not believe that any of our licenses from third parties are material to us taken as a whole. We do not believe that any of our licenses to intellectual property rights granted to third parties are material to us taken as a whole.</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200" w:right="720" w:firstLine="441"/>
        <w:spacing w:after="0" w:line="286" w:lineRule="auto"/>
        <w:rPr>
          <w:sz w:val="20"/>
          <w:szCs w:val="20"/>
          <w:color w:val="auto"/>
        </w:rPr>
      </w:pPr>
      <w:r>
        <w:rPr>
          <w:rFonts w:ascii="Arial" w:cs="Arial" w:eastAsia="Arial" w:hAnsi="Arial"/>
          <w:sz w:val="17"/>
          <w:szCs w:val="17"/>
          <w:color w:val="auto"/>
        </w:rPr>
        <w:t>As of September 30, 2019, we employed approximately 5,000 people located primarily in our U.S. and Canada manufacturing facilities. Approximately 24% of our employees are covered by collective labor agreements. We have not experienced any significant union-related work stoppages over the last ten years. We believe our relationships with our employees and labor unions are satisfactory.</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Systems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utilize predominantly commonplace commercially available third-party technology and systems to support our operations, including for financial reporting, inventory management, customer and supply chain management and category management.</w:t>
      </w:r>
    </w:p>
    <w:p>
      <w:pPr>
        <w:spacing w:after="0" w:line="17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 single enterprise resource planning (“ERP”) ecosystem is used by all of our facilities for operations, procurement, receiving, warehousing, inventory management and order processing. Our ERP environment provides us with the ability to transact with customers and vendors in real time, optimize manufacturing in support of our demand signals and order cycles, efficiently process orders and shipments and manage inventory. We also use targeted information technology systems and analytics to support business intelligence and processes across our sales channels, including in relation to trade management, industry trends, demand forecasting and segment planning and reporting.</w:t>
      </w:r>
    </w:p>
    <w:p>
      <w:pPr>
        <w:spacing w:after="0" w:line="17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continue to innovate and invest in information systems and technology to enhance the customer experience, drive sales and create operating efficiencies. Over the last five years, we have consolidated acquired facilities into our common ERP landscape, and added modern analysis systems that provide us additional functionality and scalability in order to better support operational and financial decision-making, using the latest data management technology. These investments also include a specific focus on in-plant real-time analysis in support of differentiated operational efficiency and production quality. We believe our existing systems are scalable to support future growth.</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Properties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corporate headquarters are located in Lake Forest, Illinois. In addition, our production and distribution network consists of 16 manufacturing facilities in the United States and one manufacturing facility in Canada, which are used to produce the products sold in all four of our business segments. The following table sets forth the location, use, size, whether owned or leased and lease expiration date, if applicable, of our principal properties: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2"/>
          </w:tcPr>
          <w:p>
            <w:pPr>
              <w:ind w:left="1060"/>
              <w:spacing w:after="0"/>
              <w:rPr>
                <w:sz w:val="20"/>
                <w:szCs w:val="20"/>
                <w:color w:val="auto"/>
              </w:rPr>
            </w:pPr>
            <w:r>
              <w:rPr>
                <w:rFonts w:ascii="Arial" w:cs="Arial" w:eastAsia="Arial" w:hAnsi="Arial"/>
                <w:sz w:val="14"/>
                <w:szCs w:val="14"/>
                <w:b w:val="1"/>
                <w:bCs w:val="1"/>
                <w:color w:val="auto"/>
              </w:rPr>
              <w:t>Location</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Use</w:t>
            </w:r>
          </w:p>
        </w:tc>
        <w:tc>
          <w:tcPr>
            <w:tcW w:w="2540" w:type="dxa"/>
            <w:vAlign w:val="bottom"/>
            <w:gridSpan w:val="2"/>
          </w:tcPr>
          <w:p>
            <w:pPr>
              <w:ind w:left="720"/>
              <w:spacing w:after="0"/>
              <w:rPr>
                <w:sz w:val="20"/>
                <w:szCs w:val="20"/>
                <w:color w:val="auto"/>
              </w:rPr>
            </w:pPr>
            <w:r>
              <w:rPr>
                <w:rFonts w:ascii="Arial" w:cs="Arial" w:eastAsia="Arial" w:hAnsi="Arial"/>
                <w:sz w:val="14"/>
                <w:szCs w:val="14"/>
                <w:b w:val="1"/>
                <w:bCs w:val="1"/>
                <w:color w:val="auto"/>
              </w:rPr>
              <w:t>Square Footage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Owned / Lease Expiration</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1900</w:t>
            </w:r>
          </w:p>
        </w:tc>
        <w:tc>
          <w:tcPr>
            <w:tcW w:w="30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 Field Court,</w:t>
            </w:r>
          </w:p>
        </w:tc>
        <w:tc>
          <w:tcPr>
            <w:tcW w:w="12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Headquarters</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70,400</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December 31, 2029</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Lake Forest,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6500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Tomken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67,757</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June 28, 2029</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Mississauga, Ontario</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1333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Highway 270,</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307,627</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Malvern, Arkansas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jc w:val="right"/>
              <w:spacing w:after="0"/>
              <w:rPr>
                <w:sz w:val="20"/>
                <w:szCs w:val="20"/>
                <w:color w:val="auto"/>
              </w:rPr>
            </w:pPr>
            <w:r>
              <w:rPr>
                <w:rFonts w:ascii="Arial" w:cs="Arial" w:eastAsia="Arial" w:hAnsi="Arial"/>
                <w:sz w:val="18"/>
                <w:szCs w:val="18"/>
                <w:color w:val="auto"/>
                <w:w w:val="84"/>
              </w:rPr>
              <w:t>1000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Diamond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260,551</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Red Bluff, California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jc w:val="right"/>
              <w:ind w:right="25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Use</w:t>
            </w:r>
          </w:p>
        </w:tc>
        <w:tc>
          <w:tcPr>
            <w:tcW w:w="100" w:type="dxa"/>
            <w:vAlign w:val="bottom"/>
          </w:tcPr>
          <w:p>
            <w:pPr>
              <w:spacing w:after="0"/>
              <w:rPr>
                <w:sz w:val="16"/>
                <w:szCs w:val="16"/>
                <w:color w:val="auto"/>
              </w:rPr>
            </w:pPr>
          </w:p>
        </w:tc>
        <w:tc>
          <w:tcPr>
            <w:tcW w:w="24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 / Lease Expiration</w:t>
            </w:r>
          </w:p>
        </w:tc>
      </w:tr>
      <w:tr>
        <w:trPr>
          <w:trHeight w:val="24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2226</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East Morton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319,506</w:t>
            </w:r>
          </w:p>
        </w:tc>
        <w:tc>
          <w:tcPr>
            <w:tcW w:w="12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2226</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East Morton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355,000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500 East Superior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490,000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777 Wheeling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460,336</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Wheeling, Illinois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3041</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Wilson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307,250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January 31, 2023</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Louisville, Kentucky</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2827</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Hale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650,000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Louisville, Kentucky</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3540" w:type="dxa"/>
            <w:vAlign w:val="bottom"/>
            <w:gridSpan w:val="4"/>
          </w:tcPr>
          <w:p>
            <w:pPr>
              <w:spacing w:after="0"/>
              <w:rPr>
                <w:sz w:val="20"/>
                <w:szCs w:val="20"/>
                <w:color w:val="auto"/>
              </w:rPr>
            </w:pPr>
            <w:r>
              <w:rPr>
                <w:rFonts w:ascii="Arial" w:cs="Arial" w:eastAsia="Arial" w:hAnsi="Arial"/>
                <w:sz w:val="18"/>
                <w:szCs w:val="18"/>
                <w:color w:val="auto"/>
              </w:rPr>
              <w:t>14201 Meacham Farm Drive,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Warehouse and 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582,980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November 30, 2027</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Huntersville, North Carolina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63 Green Mountain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205,622</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Hazelton, Pennsylvania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31 Progress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110,000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Tamaqua, Pennsylvania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2625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Beltline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410,000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Carrollton, Texas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3000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Pegasus Drive,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239,072</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Temple, Texas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2412</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Wilsonart Drive,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Temple, Texas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1110 East 200 Street,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182,200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Lewiston, Utah</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2001</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Reymet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470,000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Richmond, Virginia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2225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Philpott Road,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252,000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South Boston, Virginia</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670 North Perkins Street,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465,337</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Appleton,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1919</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West College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152,000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February 1, 2030</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Appleton,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80" w:type="dxa"/>
            <w:vAlign w:val="bottom"/>
            <w:gridSpan w:val="2"/>
          </w:tcPr>
          <w:p>
            <w:pPr>
              <w:spacing w:after="0"/>
              <w:rPr>
                <w:sz w:val="20"/>
                <w:szCs w:val="20"/>
                <w:color w:val="auto"/>
              </w:rPr>
            </w:pPr>
            <w:r>
              <w:rPr>
                <w:rFonts w:ascii="Arial" w:cs="Arial" w:eastAsia="Arial" w:hAnsi="Arial"/>
                <w:sz w:val="18"/>
                <w:szCs w:val="18"/>
                <w:color w:val="auto"/>
                <w:w w:val="89"/>
              </w:rPr>
              <w:t>1999</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Royalton Street,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45,000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Waupaca,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69"/>
        </w:trPr>
        <w:tc>
          <w:tcPr>
            <w:tcW w:w="3540" w:type="dxa"/>
            <w:vAlign w:val="bottom"/>
            <w:gridSpan w:val="4"/>
          </w:tcPr>
          <w:p>
            <w:pPr>
              <w:spacing w:after="0"/>
              <w:rPr>
                <w:sz w:val="20"/>
                <w:szCs w:val="20"/>
                <w:color w:val="auto"/>
              </w:rPr>
            </w:pPr>
            <w:r>
              <w:rPr>
                <w:rFonts w:ascii="Arial" w:cs="Arial" w:eastAsia="Arial" w:hAnsi="Arial"/>
                <w:sz w:val="18"/>
                <w:szCs w:val="18"/>
                <w:color w:val="auto"/>
              </w:rPr>
              <w:t>204 East Third Avenue,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178,850</w:t>
            </w:r>
          </w:p>
        </w:tc>
        <w:tc>
          <w:tcPr>
            <w:tcW w:w="12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Weyauwega, Wisconsin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all of our properties are in good operating condition and are suitable to adequately meet our current needs.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Regulatory</w:t>
      </w:r>
    </w:p>
    <w:p>
      <w:pPr>
        <w:spacing w:after="0" w:line="229"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As many of our products are used in food packaging, our business is subject to regulations governing products that may contact food in all the countries in which we have operations.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 and believe these programs and procedures are generally effective. However, because of the complexity of these laws and regulations and the multinational scope of our business, compliance cannot be guaranteed.</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 Compliance with these permits can require capital investment and, in some cases, could limit production.</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announced their intentions to implement their own programs to reduce greenhouses gases. These initiatives may cause us to incur additional direct costs in complying with any new environmental legislation or regulations, such as costs to upgrade or replace equipment, as well as increased indirect costs that could get passed through to us resulting from our suppliers and customers also incurring additional compliance costs.</w:t>
      </w: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September 30, 2019 and December 31, 2018 and 2017,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names of the current executive officers, directors and director nominees.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left="1111"/>
              <w:spacing w:after="0"/>
              <w:rPr>
                <w:sz w:val="20"/>
                <w:szCs w:val="20"/>
                <w:color w:val="auto"/>
              </w:rPr>
            </w:pPr>
            <w:r>
              <w:rPr>
                <w:rFonts w:ascii="Arial" w:cs="Arial" w:eastAsia="Arial" w:hAnsi="Arial"/>
                <w:sz w:val="14"/>
                <w:szCs w:val="14"/>
                <w:b w:val="1"/>
                <w:bCs w:val="1"/>
                <w:color w:val="auto"/>
                <w:w w:val="90"/>
              </w:rPr>
              <w:t>Age</w:t>
            </w:r>
          </w:p>
        </w:tc>
        <w:tc>
          <w:tcPr>
            <w:tcW w:w="706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60</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Graham</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57</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Francis Arseneault</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43</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Hefty Waste &amp; Storage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 Pace</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57</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 Walmart/Sam’s and eCommerce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48</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Reynolds Cooking &amp; Baking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Bishop</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45</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 Hefty Tableware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Judith Buckner</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50</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President, Presto Products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60</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Cole</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56</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Thomas Degnan</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71</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 Golding</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57</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Marla Gottschalk</w:t>
            </w:r>
          </w:p>
        </w:tc>
        <w:tc>
          <w:tcPr>
            <w:tcW w:w="1440" w:type="dxa"/>
            <w:vAlign w:val="bottom"/>
            <w:gridSpan w:val="2"/>
          </w:tcPr>
          <w:p>
            <w:pPr>
              <w:jc w:val="center"/>
              <w:ind w:left="1091"/>
              <w:spacing w:after="0"/>
              <w:rPr>
                <w:sz w:val="20"/>
                <w:szCs w:val="20"/>
                <w:color w:val="auto"/>
              </w:rPr>
            </w:pPr>
            <w:r>
              <w:rPr>
                <w:rFonts w:ascii="Arial" w:cs="Arial" w:eastAsia="Arial" w:hAnsi="Arial"/>
                <w:sz w:val="18"/>
                <w:szCs w:val="18"/>
                <w:color w:val="auto"/>
                <w:w w:val="89"/>
              </w:rPr>
              <w:t>59</w:t>
            </w:r>
          </w:p>
        </w:tc>
        <w:tc>
          <w:tcPr>
            <w:tcW w:w="7060" w:type="dxa"/>
            <w:vAlign w:val="bottom"/>
            <w:gridSpan w:val="3"/>
          </w:tcPr>
          <w:p>
            <w:pPr>
              <w:ind w:left="10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Noll</w:t>
            </w:r>
          </w:p>
        </w:tc>
        <w:tc>
          <w:tcPr>
            <w:tcW w:w="144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w w:val="89"/>
              </w:rPr>
              <w:t>62</w:t>
            </w:r>
          </w:p>
        </w:tc>
        <w:tc>
          <w:tcPr>
            <w:tcW w:w="7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 Nominee and Chairman of the Board of Directors</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Lance Mitchell (Class III Director)</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Mr. Mitchell has served as RCP’s President and Chief Executive Officer since 2011 and as a member of RCP’s board of directors since October 2019. From 2006 to 2011, Mr. Mitchell served as President of Closure Systems International (part of RGHL Group since 2008). Mr. Mitchell worked at Owens Corning Fiberglas Corporation from 1981 to 1986 in a variety of sales and marketing positions and from 1986 to 2005 he served in a variety of management positions at Avery Dennison Corporation, BF Goodrich, The Geon Company and PolyOne Corporation. Mr. Mitchell received a B.S. in Business from Bowling Green State University. Mr. Mitchell was selected to serve on our board of directors because of the perspective, management, leadership experience and operational expertise in our business that he has developed as our Chief Executive Officer.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Michael Graham</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Mr. Graham has served as RCP’s Chief Financial Officer since 2016. Mr. Graham joined RCP after serving as the CFO of Graham Packaging (part of RGHL Group) from 2011 to 2016. Prior to joining Graham Packaging, Mr. Graham led and managed several merger and integration activities for RGHL and served as CFO of Reynolds Packaging from 2008 to 2010, collaboratively leading the integration of Reynolds Packaging into RGHL. Mr. Graham served as Group Controller and CFO of Alcoa’s Flat Rolled &amp; Extruded Aluminum Group from 2004 to 2007. From 1986 to 2003</w:t>
      </w:r>
    </w:p>
    <w:p>
      <w:pPr>
        <w:spacing w:after="0" w:line="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Mr. Graham served in a variety of management positions at Honeywell International Inc. and AlliedSignal, Avaya Communications and General Mills, Inc. Mr. Graham received a B.A. in Finance from Howard University.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Francis Arseneault</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Mr. Arseneault has served as RCP’s President of Hefty Waste &amp; Storage since 2019. Prior to this role, he served as President of Presto Products from 2014 to 2019. Mr. Arseneault’s previous experience includes roles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increasing responsibility in sales and marketing in the Canadian division of Alcoa Reynolds from 2001 to 2004 and from 2006 to 2010, and as General Manager of RCP’s international business from 2010 until joining Presto Products in 2014. Mr. Arseneault received a B.Sc. in Marketing and International Business from the HEC Montreal business school of the University of Montreal.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Stephan Pace</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Mr. Pace has served as RCP’s President of Walmart/Sam’s and eCommerce since 2015. Prior to this role, Mr. Pace served as RCP’s Chief Customer Officer and Senior Vice President of Sales beginning in 2010. He served as Vice President of Sales for Pactiv’s Consumer Products Division prior to RGHL’s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 He serves on the Board of Advisors for Tierra Nueva Fine Cocoa, d/b/a The Whole Coffee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Craig Cappel</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Mr. Cappel has served as RCP’s President of Reynolds Cooking &amp; Baking since 2018. From 2015 to 2018, he served as President of Hefty Tableware. From 2013 to 2015, Mr. Cappel served as the Chief Procurement and Technology Officer for RGHL Group, leading global sourcing and technology across multiple businesses. From 1997 to 2013, Mr. Cappel was with Pactiv as Vice President of Business Development and Innovation and various other leadership roles across innovation, engineering technology, new business development and business management. From 1994 to 1997, he served as an engineer at TE Connectivity, Ltd. (formerly Amp Incorporated). Mr. Cappel received a B.S. from the College of Engineering Technology at the Rochester Institute of Technology and an M.S. in Product Design and Development Management from Northwestern University.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Rachel Bishop</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Ms. Bishop has served as RCP’s President of Hefty Tableware since 2019. Prior to joining RCP, she served as Chief Strategy Officer from 2014 to 2017 and President, Snacks from 2017 to 2019 at TreeHouse Foods, Inc. Ms. Bishop was at The Walgreen Company from 2009 to 2014 where she most recently served as Group Vice President of Retail Strategy. From 2001 to 2009, Ms. Bishop was at McKinsey &amp; Company, where she worked with consumer businesses on a broad range of sales, marketing, and operational topics with a focus on growth strategy development and implementation. Ms. Bishop earned a Ph.D in Materials Science and Engineering with a minor in Technology Management from Northwestern University. She holds B.S. degrees in Materials Science and Engineering and in Geophysics from Brown University.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Judith Buckner</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Ms. Buckner has served as RCP’s President of Presto Products since 2019. She previously served as Senior Vice President, Business Transformation of RCP from 2017 to 2019. Ms. Buckner first joined RCP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Directors and Director Nominees (who are not Executive Officers)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Gregory Cole (Class II Director)</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Mr. Cole has been a member of RCP’s board of directors since October 2019. He has served as a senior executive of Rank Group since 2004. From 1994 to 2004, Mr. Cole was a partner with Deloitte Touche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86" w:lineRule="auto"/>
        <w:rPr>
          <w:sz w:val="20"/>
          <w:szCs w:val="20"/>
          <w:color w:val="auto"/>
        </w:rPr>
      </w:pPr>
      <w:r>
        <w:rPr>
          <w:rFonts w:ascii="Arial" w:cs="Arial" w:eastAsia="Arial" w:hAnsi="Arial"/>
          <w:sz w:val="17"/>
          <w:szCs w:val="17"/>
          <w:color w:val="auto"/>
        </w:rPr>
        <w:t>Tohmatsu, which he joined in 1986. Mr. Cole is currently a director of RGHL, where he serves as the Chairman of its audit committee, Rank Group and other entities owned by Mr. Graeme Hart. Mr. Cole received a Bachelor of Commerce from the University of Auckland. Mr. Cole was selected to serve on our board of directors because of his current experience in our industry and extensive finance and board experience.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Thomas Degnan (Class I Director)</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Mr. Degnan has been a member of RCP’s board of directors since October 2019. He has served as a director and the Chief Executive Officer of RGHL since 2007. Mr. Degnan previously served as the President and Chief Executive Officer of UCI International LLC from 2012 to 2016. Mr. Degnan serves as a director of other entities owned by Mr. Graeme Hart. Mr. Degnan received a B.A. from Loyola University of Chicago. Mr. Degnan was selected to serve on our board of directors because of his current experience in our industry and extensive management and board experience.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Helen Golding (Class I Director)</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Ms. Golding has been a member of RCP’s board of directors since October 2019. She has served as Group Legal Counsel of Rank Group since 2006. Ms. Golding joined Rank Group from Burns, Philp &amp; Company Pty Limited where she served as Company Secretary and Group Legal Counsel from 1998 to 2006. Prior to that, she was a private practitioner in a Sydney-based law firm. Ms. Golding is currently a director of RGHL, where she serves as a member of its audit committee, Rank Group and other entities owned by Mr. Graeme Hart. Ms. Golding received a Bachelor of Economics and Master of Laws from the University of Sydney. Ms. Golding was selected to serve on our board of directors because of her current experience in our industry and extensive legal and board experience.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Marla Gottschalk (Class III Director)</w:t>
      </w:r>
    </w:p>
    <w:p>
      <w:pPr>
        <w:spacing w:after="0" w:line="12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Ms. Gottschalk is expected to join our board of directors upon the listing of our shares of common stock on Nasdaq. Ms. Gottschalk previously served as the Chief Executive Officer of The Pampered Chef Ltd. from 2006 to 2013 and as Chief Operating Officer from 2003 to 2006. Ms. Gottschalk joined Pampered Chef from Kraft Foods, Inc., where she worked for 14 years in various management positions, including as Senior Vice President of Financial Planning and Investor Relations for Kraft, Executive Vice President and General Manager of Post Cereal Division and Vice President of Marketing and Strategy of the Kraft Cheese Division. Ms. Gottschalk is currently a member of the board of directors of Potbelly Corporation and Big Lots, Inc., where she serves as the chair of their audit committees and as a member of their compensation committees. She also serves as a strategic board advisor for Ocean Spray Cranberries, Inc. and as a member of the board of directors of Underwriters Laboratories. Ms. Gottschalk previously served as a director of GATX Corporation from 2006 to 2008 and as a director of Visteon Corporation from 2003 to 2006. Ms. Gottschalk received a B.S. in Business from Indiana University and an M.S. in Management Studies from the J.L. Kellogg Graduate School of Management. Ms. Gottschalk served as a member of the Kelly School of Business Dean’s Advisory Council and a member of the Academy of Alumni Fellows. Ms. Gottschalk was selected to serve on our board of directors because of her significant service on public company boards and board committees and her valuable knowledge and experience in our industry.</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Richard Noll (Class III Director)</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Mr. Noll is expected to join and serve as chairman of our board of directors upon the listing of our shares of common stock on Nasdaq. Mr. Noll served as Chairman of the Board of Directors of Hanesbrands Inc. from 2009 to 2019, as Executive Chairman from 2016 to 2017 and Chief Executive Officer from 2006 to 2016. Mr. Noll joined Hanesbrands Inc. from Sara Lee Corporation where he worked for 14 years in various management positions, including President and Chief Operating Officer of Branded Apparel and Chief Executive Officer and Chief Operating Officer of Sara Lee Bakery Group, and led the turnarounds of several Sara Lee Corporation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bakery and apparel businesses. Mr. Noll is currently a member of the board of directors of Carter’s Inc., where he serves as a member of its compensation committee. Mr. Noll previously served as a director of Fresh Market Inc. from 2011 to 2016. Mr. Noll received a B.A. in Business Administration from Pennsylvania State University and an M.B.A. from Carnegie Mellon University. Mr. Noll was selected to serve on our board of directors because of his experience as a public company director and significant management experience.</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Structure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closing of this offering, our board of directors will consist of six members.</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In connection with this offering, we will enter into a stockholders agreement with PFL. Among other things, the stockholders agreement will provide PFL with the right to nominate a certain number of directors so long as the Hart Entities beneficially own at least 10% of the outstanding shares of our common stock. See “Certain Relationships and Related Party Transactions—Stockholders Agreement”.</w:t>
      </w:r>
    </w:p>
    <w:p>
      <w:pPr>
        <w:spacing w:after="0" w:line="16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Our board of directors will be divided into three classes serving staggered three-year terms, as set forth in our amended and restated certificate of incorporation and our amended and restated bylaws. Class I, Class II and Class III directors will serve until our annual meetings of stockholders in</w:t>
      </w:r>
    </w:p>
    <w:p>
      <w:pPr>
        <w:ind w:left="200" w:firstLine="900"/>
        <w:spacing w:after="0" w:line="254" w:lineRule="auto"/>
        <w:rPr>
          <w:sz w:val="20"/>
          <w:szCs w:val="20"/>
          <w:color w:val="auto"/>
        </w:rPr>
      </w:pPr>
      <w:r>
        <w:rPr>
          <w:rFonts w:ascii="Arial" w:cs="Arial" w:eastAsia="Arial" w:hAnsi="Arial"/>
          <w:sz w:val="18"/>
          <w:szCs w:val="18"/>
          <w:color w:val="auto"/>
        </w:rPr>
        <w:t>, and ,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are a “controlled company” under the rules of Nasdaq. As a result, we qualify for exemptions from, and have elected not to comply with, certain corporate governance requirements under the rules, including the requirements that within one year of the closing of this offering we have a board that is composed of a majority of “independent directors,” as defined under the rules, and a compensation,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disclosed below.</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rules of Nasdaq define a “controlled company” as a company of which more than 50% of the voting power for the election of directors is held</w:t>
      </w:r>
    </w:p>
    <w:p>
      <w:pPr>
        <w:spacing w:after="0" w:line="46" w:lineRule="exact"/>
        <w:rPr>
          <w:sz w:val="20"/>
          <w:szCs w:val="20"/>
          <w:color w:val="auto"/>
        </w:rPr>
      </w:pPr>
    </w:p>
    <w:p>
      <w:pPr>
        <w:ind w:left="200" w:right="100"/>
        <w:spacing w:after="0" w:line="268" w:lineRule="auto"/>
        <w:rPr>
          <w:sz w:val="20"/>
          <w:szCs w:val="20"/>
          <w:color w:val="auto"/>
        </w:rPr>
      </w:pPr>
      <w:r>
        <w:rPr>
          <w:rFonts w:ascii="Arial" w:cs="Arial" w:eastAsia="Arial" w:hAnsi="Arial"/>
          <w:sz w:val="17"/>
          <w:szCs w:val="17"/>
          <w:color w:val="auto"/>
        </w:rPr>
        <w:t>by an individual, a group or another company. Upon closing of this offering, PFL will own, and control the voting power of, shares of our common stock, representing % of the total outstanding shares of common stock (or approximately % if the underwriters exercise their option to purchase additional shares of common stock in full). Through its control of shares of common stock representing a majority of the votes entitled to be cast in the election of directors, PFL will control the vote to elect all of our directors. Accordingly, we will qualify as a “controlled company” and will be able to rely on the controlled company exemption from the director independence requirements of Nasdaq relating to the board of directors and the compensation, nominating and corporate governance committee. If we cease to be a controlled company and the common stock continues to be listed on Nasdaq, we will be required to comply with these requirements by the date our status as a controlled company changes or within specified transition periods applicable to certain provisions, as the case may be.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of directors has determined that Ms. Marla Gottschalk and Mr. Richard Noll are independent directors under Nasdaq rules.</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Role of Board of Directors in Risk Oversight</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Chief Executive Officer, other executive officers and other members of our management team regularly report to the non-executive directors and the audit committee to discuss any financial, legal, cybersecurity or regulatory risks, to ensure effective and efficient oversight of our activities and to assist in proper risk management and the ongoing evaluation of management controls. The internal audit department reports functionally and administratively to our Chief Financial Officer and directly to the audit committee. We believe that the leadership structure of our board of directors provides appropriate risk oversight of our activities given the controlling interests held by PFL.</w:t>
      </w: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Board Committees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members of our audit committee are Ms. Marla Gottschalk, Mr. Gregory Cole and Mr. Richard Noll. Ms. Gottschalk will serve as the chair of our audit committee. The composition of our audit committee meets the requirements for independence under the current Nasdaq listing standards and SEC rules and regulations. Each member of our audit committee is financially literate. In addition, our board of directors has determined that</w:t>
      </w:r>
    </w:p>
    <w:p>
      <w:pPr>
        <w:ind w:left="200"/>
        <w:spacing w:after="0" w:line="255" w:lineRule="auto"/>
        <w:rPr>
          <w:sz w:val="20"/>
          <w:szCs w:val="20"/>
          <w:color w:val="auto"/>
        </w:rPr>
      </w:pPr>
      <w:r>
        <w:rPr>
          <w:rFonts w:ascii="Arial" w:cs="Arial" w:eastAsia="Arial" w:hAnsi="Arial"/>
          <w:sz w:val="18"/>
          <w:szCs w:val="18"/>
          <w:color w:val="auto"/>
        </w:rPr>
        <w:t>Ms. Gottschalk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96" w:lineRule="exact"/>
        <w:rPr>
          <w:sz w:val="20"/>
          <w:szCs w:val="20"/>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60" w:right="20" w:hanging="324"/>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the planned scope and timing, and discussing the findings,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auditing matters;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 and those that require disclosure; and</w:t>
      </w:r>
    </w:p>
    <w:p>
      <w:pPr>
        <w:spacing w:after="0" w:line="130" w:lineRule="exact"/>
        <w:rPr>
          <w:rFonts w:ascii="Arial" w:cs="Arial" w:eastAsia="Arial" w:hAnsi="Arial"/>
          <w:sz w:val="18"/>
          <w:szCs w:val="18"/>
          <w:color w:val="auto"/>
        </w:rPr>
      </w:pPr>
    </w:p>
    <w:p>
      <w:pPr>
        <w:ind w:left="960" w:right="320" w:hanging="324"/>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provided by the independent registered public accounting firm.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Nominating and Corporate Governance Committee</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members of our compensation, nominating and corporate governance committee are Messrs. Gregory Cole, Richard Noll and Thomas Degnan. Mr. Cole will serve as the chair of our compensation, nominating and corporate governance committee. Our compensation, nominating and corporate governance committee is responsible for, among other things:</w:t>
      </w:r>
    </w:p>
    <w:p>
      <w:pPr>
        <w:spacing w:after="0" w:line="87" w:lineRule="exact"/>
        <w:rPr>
          <w:sz w:val="20"/>
          <w:szCs w:val="20"/>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recommending to our board of directors for determination, the compensation of our executive officers;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jc w:val="center"/>
        <w:ind w:left="5580" w:right="260" w:hanging="4944"/>
        <w:spacing w:after="0" w:line="449" w:lineRule="auto"/>
        <w:tabs>
          <w:tab w:leader="none" w:pos="9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evaluating, or making recommendations to our board of directors with respect to, incentive compensation and equity plans; 120</w:t>
      </w:r>
    </w:p>
    <w:p>
      <w:pPr>
        <w:sectPr>
          <w:pgSz w:w="11900" w:h="16838" w:orient="portrait"/>
          <w:cols w:equalWidth="0" w:num="1">
            <w:col w:w="11160"/>
          </w:cols>
          <w:pgMar w:left="24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considering proposed waivers of the code of conduct for directors and executive officers and making recommendations to our board of directors;</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closing of this offering, the full text of our codes of business conduct and ethics will be posted on the investor relations section of our website. We intend to disclose future amendments to our codes of business conduct and ethics, or any waivers of such code, on our website or in public filings.</w:t>
      </w: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240" w:top="459" w:right="5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 ended December 31, 2018. Our NEOs for 2018 were:</w:t>
      </w:r>
    </w:p>
    <w:p>
      <w:pPr>
        <w:spacing w:after="0" w:line="87" w:lineRule="exact"/>
        <w:rPr>
          <w:sz w:val="20"/>
          <w:szCs w:val="20"/>
          <w:color w:val="auto"/>
        </w:rPr>
      </w:pPr>
    </w:p>
    <w:p>
      <w:pPr>
        <w:ind w:left="960" w:hanging="3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Lance Mitchell, President and Chief Executive Officer;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Michael Graham, Chief Financial Officer;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David Bryla, President, Hefty Waste &amp; Storage;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Stephan Pace, President, Walmart/Sam’s &amp; eCommerce;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Craig Cappel, President, Reynolds Cooking &amp; Baking.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Mr. Cappel became the President of Reynolds Cooking &amp; Baking in October 2018. Prior to that, he served as the President of Hefty Tableware.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Bryla’s employment with RCP terminated in June 2019.</w:t>
      </w:r>
    </w:p>
    <w:p>
      <w:pPr>
        <w:spacing w:after="0" w:line="21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as well as the overall principles underlying our executive compensation policies as we move towards becoming a public company. Except as otherwise indicated below, the compensation objectives, strategy, and decisions that were applicable to us and our NEOs for 2018 were consistent with the compensation objectives, strategy, and decisions that were generally applicable to RGHL for 2018.</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Compensation Objectives and Philosophy</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wholly-owned business of RGHL Group, we have shared the compensation objectives of RGHL, including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have participated in compensation and benefits plans and programs which have included other businesses of RGHL, including as described below under “Other Compensation—Retirement and Welfare Benefits,” and a number of these plans and programs are being replicated as stand-alone plans in conjunction with this offering. These plans and programs are intended to align our compensation programs with our business objectives, promote good corporate governance and seek to achieve our compensation objectives.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The introduction of tools such as equity ownership and long-term equity-based incentive compensation programs, discussed below, in conjunction with this offering is important to ensure that the efforts of management are consistent with the objectives of our stockholders.</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Assessment of Compensation Programs</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RGHL does not believe that our compensation arrangements, including financial performance measures used to determine short-term and long-term incentive payout amounts, provide our executives with an incentive to engage in business activities or other behavior that would expose us or our stockholders to excessive risks that are reasonably likely to have a material adverse effect.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 Process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RGHL Executives and RCP’s Compensation, Nominating and Corporate Governance Committee Going Forward</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Prior to the Corporate Reorganization and the closing of this offering, we were a wholly-owned business of RGHL Group and executives of RGHL were primarily responsible for determining our compensation strategy and philosophy.</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connection with this offering, RGHL executives established our initial compensation and benefits programs and approved initial compensation for our executive officers and senior executives, including our NEOs. To assist in this task, RGHL has engaged Pearl Meyer, an independent compensation consultant, to provide an analysis of base salary, short-term incentive (“STI”) compensation and long-term incentive (“LTI”) compensation for senior executives with similar responsibilities, including positions within business groups, within the companies in the Benchmark Comparison Group. RGHL also directed Pearl Meyer to compare RCP executive officers’ compensation by percentile ranking to the compensation received by officers in comparable positions at Benchmark Comparison Group companies, discussed below.</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established a compensation, nominating and corporate governance committee of directors (“Compensation, Nominating and Corporate Governance Committee”) who, following the closing of this offering, will assume responsibility for determining our compensation philosophy, structuring our compensation and benefits programs and determining appropriate payments and awards to our executive officers, including our NEOs. The Compensation, Nominating and Corporate Governance Committee will also be responsible for implementing, monitoring and evaluating our executive compensation philosophy and objectives and overseeing the compensation program for senior executives. The Compensation, Nominating and Corporate Governance Committee’s responsibilities and authority are described fully in its charter.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Independent Compensation Consultant and Our Peer Group</w:t>
      </w:r>
    </w:p>
    <w:p>
      <w:pPr>
        <w:spacing w:after="0" w:line="121"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In conjunction with this offering, we have identified a group of peer companies which we will use as our benchmark for compensation matters (“Benchmark Comparison Group”). The Benchmark Comparison Group will be reviewed from time to time by our Compensation, Nominating and Corporate Governance Committee. The Benchmark Comparison Group includes the following companies:</w:t>
      </w:r>
    </w:p>
    <w:p>
      <w:pPr>
        <w:spacing w:after="0" w:line="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AptarGroup, Inc.</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Owens-Illinois, Inc.</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Church &amp; Dwight Co., Inc.</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Sealed Air Corporation</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Edgewell Personal Care Company</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w w:val="90"/>
              </w:rPr>
              <w:t>The Scotts Miracle-Gro Company</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Energizer Holdings, Inc.</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Silgan Holdings Inc.</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Greif, Inc.</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Snap-on Incorporated</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Hasbro, Inc.</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Spectrum Brands Holdings</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Helen of Troy Limited</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The Clorox Company</w:t>
            </w: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60"/>
              <w:spacing w:after="0"/>
              <w:rPr>
                <w:sz w:val="20"/>
                <w:szCs w:val="20"/>
                <w:color w:val="auto"/>
              </w:rPr>
            </w:pPr>
            <w:r>
              <w:rPr>
                <w:rFonts w:ascii="Arial" w:cs="Arial" w:eastAsia="Arial" w:hAnsi="Arial"/>
                <w:sz w:val="18"/>
                <w:szCs w:val="18"/>
                <w:color w:val="auto"/>
              </w:rPr>
              <w:t>Nu Skin Enterprises, Inc.</w:t>
            </w:r>
          </w:p>
        </w:tc>
        <w:tc>
          <w:tcPr>
            <w:tcW w:w="1560" w:type="dxa"/>
            <w:vAlign w:val="bottom"/>
          </w:tcPr>
          <w:p>
            <w:pPr>
              <w:ind w:left="146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Tupperware Brands Corporation</w:t>
            </w: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criteria considered in selecting peer companies for the Benchmark Comparison Group include the following:</w:t>
      </w:r>
    </w:p>
    <w:p>
      <w:pPr>
        <w:spacing w:after="0" w:line="131" w:lineRule="exact"/>
        <w:rPr>
          <w:sz w:val="20"/>
          <w:szCs w:val="20"/>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size, as measured by revenue, market capitalization and enterprise value;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industry category, including consumer household and personal products, household appliances, containers and packaging;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competition for sources of talent.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Role of Management</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Subsequent to this offering, our CEO will make recommendations to the Compensation, Nominating and Corporate Governance Committee for base salary, STI, LTI and any other elements of our compensation program for each NEO (other than the CEO, whose compensation is determined solely by the Compensation, Nominating and Corporate Governance Committee). Our CEO will also provide recommendations to the Compensation, Nominating and Corporate Governance Committee on other elements of our compensation program for senior executives, including, for example, the design and metrics under our STI and LTI programs. While the Compensation, Nominating and Corporate Governance Committee will consider the CEO’s recommendations with respect to the compensation of such NEOs, the Compensation, Nominating and Corporate Governance Committee independently evaluates the recommendations and makes all final compensation decisions relating to the NEOs.</w:t>
      </w:r>
    </w:p>
    <w:p>
      <w:pPr>
        <w:spacing w:after="0" w:line="16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the case of compensation for employees below the most senior level, the Compensation, Nominating and Corporate Governance Committee will delegate certain authority to our management to make determinations in accordance with guidelines established by the Compensation, Nominating and Corporate Governance Committee.</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executive compensation for our NEOs, and the primary objectives of each, are summarized in the chart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460" w:type="dxa"/>
            <w:vAlign w:val="bottom"/>
          </w:tcPr>
          <w:p>
            <w:pPr>
              <w:spacing w:after="0"/>
              <w:rPr>
                <w:sz w:val="20"/>
                <w:szCs w:val="20"/>
                <w:color w:val="auto"/>
              </w:rPr>
            </w:pPr>
            <w:r>
              <w:rPr>
                <w:rFonts w:ascii="Arial" w:cs="Arial" w:eastAsia="Arial" w:hAnsi="Arial"/>
                <w:sz w:val="14"/>
                <w:szCs w:val="14"/>
                <w:b w:val="1"/>
                <w:bCs w:val="1"/>
                <w:color w:val="auto"/>
                <w:w w:val="92"/>
              </w:rPr>
              <w:t>Compensation Element</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920" w:type="dxa"/>
            <w:vAlign w:val="bottom"/>
            <w:gridSpan w:val="3"/>
          </w:tcPr>
          <w:p>
            <w:pPr>
              <w:ind w:left="1340"/>
              <w:spacing w:after="0"/>
              <w:rPr>
                <w:sz w:val="20"/>
                <w:szCs w:val="20"/>
                <w:color w:val="auto"/>
              </w:rPr>
            </w:pPr>
            <w:r>
              <w:rPr>
                <w:rFonts w:ascii="Arial" w:cs="Arial" w:eastAsia="Arial" w:hAnsi="Arial"/>
                <w:sz w:val="14"/>
                <w:szCs w:val="14"/>
                <w:b w:val="1"/>
                <w:bCs w:val="1"/>
                <w:color w:val="auto"/>
              </w:rPr>
              <w:t>Form</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Objective</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60" w:type="dxa"/>
            <w:vAlign w:val="bottom"/>
          </w:tcPr>
          <w:p>
            <w:pPr>
              <w:spacing w:after="0" w:line="123" w:lineRule="exact"/>
              <w:rPr>
                <w:sz w:val="20"/>
                <w:szCs w:val="20"/>
                <w:color w:val="auto"/>
              </w:rPr>
            </w:pPr>
            <w:r>
              <w:rPr>
                <w:rFonts w:ascii="Arial" w:cs="Arial" w:eastAsia="Arial" w:hAnsi="Arial"/>
                <w:sz w:val="14"/>
                <w:szCs w:val="14"/>
                <w:b w:val="1"/>
                <w:bCs w:val="1"/>
                <w:color w:val="auto"/>
              </w:rPr>
              <w:t>Base salary</w:t>
            </w:r>
          </w:p>
        </w:tc>
        <w:tc>
          <w:tcPr>
            <w:tcW w:w="1360" w:type="dxa"/>
            <w:vAlign w:val="bottom"/>
            <w:vMerge w:val="continue"/>
          </w:tcPr>
          <w:p>
            <w:pPr>
              <w:spacing w:after="0"/>
              <w:rPr>
                <w:sz w:val="10"/>
                <w:szCs w:val="10"/>
                <w:color w:val="auto"/>
              </w:rPr>
            </w:pPr>
          </w:p>
        </w:tc>
        <w:tc>
          <w:tcPr>
            <w:tcW w:w="278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Fixed based on level of responsibility,</w:t>
            </w:r>
          </w:p>
        </w:tc>
        <w:tc>
          <w:tcPr>
            <w:tcW w:w="2920" w:type="dxa"/>
            <w:vAlign w:val="bottom"/>
            <w:gridSpan w:val="3"/>
          </w:tcPr>
          <w:p>
            <w:pPr>
              <w:ind w:left="140"/>
              <w:spacing w:after="0" w:line="123" w:lineRule="exact"/>
              <w:rPr>
                <w:sz w:val="20"/>
                <w:szCs w:val="20"/>
                <w:color w:val="auto"/>
              </w:rPr>
            </w:pPr>
            <w:r>
              <w:rPr>
                <w:rFonts w:ascii="Arial" w:cs="Arial" w:eastAsia="Arial" w:hAnsi="Arial"/>
                <w:sz w:val="14"/>
                <w:szCs w:val="14"/>
                <w:color w:val="auto"/>
              </w:rPr>
              <w:t>Cash</w:t>
            </w:r>
          </w:p>
        </w:tc>
        <w:tc>
          <w:tcPr>
            <w:tcW w:w="180" w:type="dxa"/>
            <w:vAlign w:val="bottom"/>
            <w:vMerge w:val="continue"/>
          </w:tcPr>
          <w:p>
            <w:pPr>
              <w:spacing w:after="0"/>
              <w:rPr>
                <w:sz w:val="10"/>
                <w:szCs w:val="10"/>
                <w:color w:val="auto"/>
              </w:rPr>
            </w:pPr>
          </w:p>
        </w:tc>
        <w:tc>
          <w:tcPr>
            <w:tcW w:w="2220" w:type="dxa"/>
            <w:vAlign w:val="bottom"/>
            <w:gridSpan w:val="3"/>
          </w:tcPr>
          <w:p>
            <w:pPr>
              <w:ind w:left="40"/>
              <w:spacing w:after="0" w:line="123" w:lineRule="exact"/>
              <w:rPr>
                <w:sz w:val="20"/>
                <w:szCs w:val="20"/>
                <w:color w:val="auto"/>
              </w:rPr>
            </w:pPr>
            <w:r>
              <w:rPr>
                <w:rFonts w:ascii="Arial" w:cs="Arial" w:eastAsia="Arial" w:hAnsi="Arial"/>
                <w:sz w:val="14"/>
                <w:szCs w:val="14"/>
                <w:color w:val="auto"/>
                <w:w w:val="92"/>
              </w:rPr>
              <w:t>Support talent attraction and retention</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experience, tenure and qualifications</w:t>
            </w: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5"/>
              </w:rPr>
              <w:t>STI Compensation in the Form of an Annual</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w w:val="96"/>
              </w:rPr>
              <w:t>Variable based on the achievement of annual</w:t>
            </w:r>
          </w:p>
        </w:tc>
        <w:tc>
          <w:tcPr>
            <w:tcW w:w="2920" w:type="dxa"/>
            <w:vAlign w:val="bottom"/>
            <w:gridSpan w:val="3"/>
          </w:tcPr>
          <w:p>
            <w:pPr>
              <w:ind w:left="140"/>
              <w:spacing w:after="0"/>
              <w:rPr>
                <w:sz w:val="20"/>
                <w:szCs w:val="20"/>
                <w:color w:val="auto"/>
              </w:rPr>
            </w:pPr>
            <w:r>
              <w:rPr>
                <w:rFonts w:ascii="Arial" w:cs="Arial" w:eastAsia="Arial" w:hAnsi="Arial"/>
                <w:sz w:val="14"/>
                <w:szCs w:val="14"/>
                <w:color w:val="auto"/>
              </w:rPr>
              <w:t>Cash</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220" w:type="dxa"/>
            <w:vAlign w:val="bottom"/>
            <w:gridSpan w:val="3"/>
          </w:tcPr>
          <w:p>
            <w:pPr>
              <w:ind w:left="40"/>
              <w:spacing w:after="0"/>
              <w:rPr>
                <w:sz w:val="20"/>
                <w:szCs w:val="20"/>
                <w:color w:val="auto"/>
              </w:rPr>
            </w:pPr>
            <w:r>
              <w:rPr>
                <w:rFonts w:ascii="Arial" w:cs="Arial" w:eastAsia="Arial" w:hAnsi="Arial"/>
                <w:sz w:val="14"/>
                <w:szCs w:val="14"/>
                <w:color w:val="auto"/>
              </w:rPr>
              <w:t>Link pay and performance</w:t>
            </w:r>
          </w:p>
        </w:tc>
        <w:tc>
          <w:tcPr>
            <w:tcW w:w="0" w:type="dxa"/>
            <w:vAlign w:val="bottom"/>
          </w:tcPr>
          <w:p>
            <w:pPr>
              <w:spacing w:after="0"/>
              <w:rPr>
                <w:sz w:val="1"/>
                <w:szCs w:val="1"/>
                <w:color w:val="auto"/>
              </w:rPr>
            </w:pPr>
          </w:p>
        </w:tc>
      </w:tr>
      <w:tr>
        <w:trPr>
          <w:trHeight w:val="18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Incentive Program</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financial metrics</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220" w:type="dxa"/>
            <w:vAlign w:val="bottom"/>
            <w:gridSpan w:val="3"/>
            <w:vMerge w:val="restart"/>
          </w:tcPr>
          <w:p>
            <w:pPr>
              <w:ind w:left="40"/>
              <w:spacing w:after="0"/>
              <w:rPr>
                <w:sz w:val="20"/>
                <w:szCs w:val="20"/>
                <w:color w:val="auto"/>
              </w:rPr>
            </w:pPr>
            <w:r>
              <w:rPr>
                <w:rFonts w:ascii="Arial" w:cs="Arial" w:eastAsia="Arial" w:hAnsi="Arial"/>
                <w:sz w:val="14"/>
                <w:szCs w:val="14"/>
                <w:color w:val="auto"/>
                <w:w w:val="97"/>
              </w:rPr>
              <w:t>Drive the achievement of short-term</w:t>
            </w: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ind w:left="60"/>
              <w:spacing w:after="0"/>
              <w:rPr>
                <w:sz w:val="20"/>
                <w:szCs w:val="20"/>
                <w:color w:val="auto"/>
              </w:rPr>
            </w:pPr>
            <w:r>
              <w:rPr>
                <w:rFonts w:ascii="Arial" w:cs="Arial" w:eastAsia="Arial" w:hAnsi="Arial"/>
                <w:sz w:val="14"/>
                <w:szCs w:val="14"/>
                <w:color w:val="auto"/>
              </w:rPr>
              <w:t>business objectives</w:t>
            </w:r>
          </w:p>
        </w:tc>
        <w:tc>
          <w:tcPr>
            <w:tcW w:w="0" w:type="dxa"/>
            <w:vAlign w:val="bottom"/>
          </w:tcPr>
          <w:p>
            <w:pPr>
              <w:spacing w:after="0"/>
              <w:rPr>
                <w:sz w:val="1"/>
                <w:szCs w:val="1"/>
                <w:color w:val="auto"/>
              </w:rPr>
            </w:pPr>
          </w:p>
        </w:tc>
      </w:tr>
      <w:tr>
        <w:trPr>
          <w:trHeight w:val="23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LTI Compensation</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w w:val="96"/>
              </w:rPr>
              <w:t>Variable based on the achievement of longer-</w:t>
            </w:r>
          </w:p>
        </w:tc>
        <w:tc>
          <w:tcPr>
            <w:tcW w:w="2920" w:type="dxa"/>
            <w:vAlign w:val="bottom"/>
            <w:gridSpan w:val="3"/>
          </w:tcPr>
          <w:p>
            <w:pPr>
              <w:ind w:left="140"/>
              <w:spacing w:after="0"/>
              <w:rPr>
                <w:sz w:val="20"/>
                <w:szCs w:val="20"/>
                <w:color w:val="auto"/>
              </w:rPr>
            </w:pPr>
            <w:r>
              <w:rPr>
                <w:rFonts w:ascii="Arial" w:cs="Arial" w:eastAsia="Arial" w:hAnsi="Arial"/>
                <w:sz w:val="14"/>
                <w:szCs w:val="14"/>
                <w:color w:val="auto"/>
              </w:rPr>
              <w:t>Cash</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220" w:type="dxa"/>
            <w:vAlign w:val="bottom"/>
            <w:gridSpan w:val="3"/>
          </w:tcPr>
          <w:p>
            <w:pPr>
              <w:ind w:left="40"/>
              <w:spacing w:after="0"/>
              <w:rPr>
                <w:sz w:val="20"/>
                <w:szCs w:val="20"/>
                <w:color w:val="auto"/>
              </w:rPr>
            </w:pPr>
            <w:r>
              <w:rPr>
                <w:rFonts w:ascii="Arial" w:cs="Arial" w:eastAsia="Arial" w:hAnsi="Arial"/>
                <w:sz w:val="14"/>
                <w:szCs w:val="14"/>
                <w:color w:val="auto"/>
                <w:w w:val="92"/>
              </w:rPr>
              <w:t>Support talent attraction and retention</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term goals and stockholder value creation</w:t>
            </w: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220" w:type="dxa"/>
            <w:vAlign w:val="bottom"/>
            <w:gridSpan w:val="3"/>
            <w:vMerge w:val="restart"/>
          </w:tcPr>
          <w:p>
            <w:pPr>
              <w:ind w:left="40"/>
              <w:spacing w:after="0"/>
              <w:rPr>
                <w:sz w:val="20"/>
                <w:szCs w:val="20"/>
                <w:color w:val="auto"/>
              </w:rPr>
            </w:pPr>
            <w:r>
              <w:rPr>
                <w:rFonts w:ascii="Arial" w:cs="Arial" w:eastAsia="Arial" w:hAnsi="Arial"/>
                <w:sz w:val="14"/>
                <w:szCs w:val="14"/>
                <w:color w:val="auto"/>
              </w:rPr>
              <w:t>Link pay and performance</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220" w:type="dxa"/>
            <w:vAlign w:val="bottom"/>
            <w:gridSpan w:val="3"/>
          </w:tcPr>
          <w:p>
            <w:pPr>
              <w:ind w:left="40"/>
              <w:spacing w:after="0"/>
              <w:rPr>
                <w:sz w:val="20"/>
                <w:szCs w:val="20"/>
                <w:color w:val="auto"/>
              </w:rPr>
            </w:pPr>
            <w:r>
              <w:rPr>
                <w:rFonts w:ascii="Arial" w:cs="Arial" w:eastAsia="Arial" w:hAnsi="Arial"/>
                <w:sz w:val="14"/>
                <w:szCs w:val="14"/>
                <w:color w:val="auto"/>
                <w:w w:val="93"/>
              </w:rPr>
              <w:t>Drive the achievement of longer-term</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ind w:left="60"/>
              <w:spacing w:after="0"/>
              <w:rPr>
                <w:sz w:val="20"/>
                <w:szCs w:val="20"/>
                <w:color w:val="auto"/>
              </w:rPr>
            </w:pPr>
            <w:r>
              <w:rPr>
                <w:rFonts w:ascii="Arial" w:cs="Arial" w:eastAsia="Arial" w:hAnsi="Arial"/>
                <w:sz w:val="14"/>
                <w:szCs w:val="14"/>
                <w:color w:val="auto"/>
              </w:rPr>
              <w:t>goals</w:t>
            </w:r>
          </w:p>
        </w:tc>
        <w:tc>
          <w:tcPr>
            <w:tcW w:w="0" w:type="dxa"/>
            <w:vAlign w:val="bottom"/>
          </w:tcPr>
          <w:p>
            <w:pPr>
              <w:spacing w:after="0"/>
              <w:rPr>
                <w:sz w:val="1"/>
                <w:szCs w:val="1"/>
                <w:color w:val="auto"/>
              </w:rPr>
            </w:pPr>
          </w:p>
        </w:tc>
      </w:tr>
      <w:tr>
        <w:trPr>
          <w:trHeight w:val="23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4"/>
              </w:rPr>
              <w:t>Other Compensation and Benefits Programs</w:t>
            </w: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Employee health, welfare and retirement</w:t>
            </w:r>
          </w:p>
        </w:tc>
        <w:tc>
          <w:tcPr>
            <w:tcW w:w="2920" w:type="dxa"/>
            <w:vAlign w:val="bottom"/>
            <w:gridSpan w:val="3"/>
          </w:tcPr>
          <w:p>
            <w:pPr>
              <w:ind w:left="140"/>
              <w:spacing w:after="0"/>
              <w:rPr>
                <w:sz w:val="20"/>
                <w:szCs w:val="20"/>
                <w:color w:val="auto"/>
              </w:rPr>
            </w:pPr>
            <w:r>
              <w:rPr>
                <w:rFonts w:ascii="Arial" w:cs="Arial" w:eastAsia="Arial" w:hAnsi="Arial"/>
                <w:sz w:val="14"/>
                <w:szCs w:val="14"/>
                <w:color w:val="auto"/>
              </w:rPr>
              <w:t>Group medical benefits</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220" w:type="dxa"/>
            <w:vAlign w:val="bottom"/>
            <w:gridSpan w:val="3"/>
          </w:tcPr>
          <w:p>
            <w:pPr>
              <w:ind w:left="40"/>
              <w:spacing w:after="0"/>
              <w:rPr>
                <w:sz w:val="20"/>
                <w:szCs w:val="20"/>
                <w:color w:val="auto"/>
              </w:rPr>
            </w:pPr>
            <w:r>
              <w:rPr>
                <w:rFonts w:ascii="Arial" w:cs="Arial" w:eastAsia="Arial" w:hAnsi="Arial"/>
                <w:sz w:val="14"/>
                <w:szCs w:val="14"/>
                <w:color w:val="auto"/>
                <w:w w:val="92"/>
              </w:rPr>
              <w:t>Support talent attraction and retention</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80" w:type="dxa"/>
            <w:vAlign w:val="bottom"/>
            <w:gridSpan w:val="3"/>
          </w:tcPr>
          <w:p>
            <w:pPr>
              <w:ind w:left="40"/>
              <w:spacing w:after="0"/>
              <w:rPr>
                <w:sz w:val="20"/>
                <w:szCs w:val="20"/>
                <w:color w:val="auto"/>
              </w:rPr>
            </w:pPr>
            <w:r>
              <w:rPr>
                <w:rFonts w:ascii="Arial" w:cs="Arial" w:eastAsia="Arial" w:hAnsi="Arial"/>
                <w:sz w:val="14"/>
                <w:szCs w:val="14"/>
                <w:color w:val="auto"/>
              </w:rPr>
              <w:t>benefits</w:t>
            </w:r>
          </w:p>
        </w:tc>
        <w:tc>
          <w:tcPr>
            <w:tcW w:w="2920" w:type="dxa"/>
            <w:vAlign w:val="bottom"/>
            <w:gridSpan w:val="3"/>
            <w:vMerge w:val="restart"/>
          </w:tcPr>
          <w:p>
            <w:pPr>
              <w:ind w:left="140"/>
              <w:spacing w:after="0"/>
              <w:rPr>
                <w:sz w:val="20"/>
                <w:szCs w:val="20"/>
                <w:color w:val="auto"/>
              </w:rPr>
            </w:pPr>
            <w:r>
              <w:rPr>
                <w:rFonts w:ascii="Arial" w:cs="Arial" w:eastAsia="Arial" w:hAnsi="Arial"/>
                <w:sz w:val="14"/>
                <w:szCs w:val="14"/>
                <w:color w:val="auto"/>
              </w:rPr>
              <w:t>Life and disability insurance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9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920" w:type="dxa"/>
            <w:vAlign w:val="bottom"/>
            <w:gridSpan w:val="3"/>
          </w:tcPr>
          <w:p>
            <w:pPr>
              <w:ind w:left="140"/>
              <w:spacing w:after="0"/>
              <w:rPr>
                <w:sz w:val="20"/>
                <w:szCs w:val="20"/>
                <w:color w:val="auto"/>
              </w:rPr>
            </w:pPr>
            <w:r>
              <w:rPr>
                <w:rFonts w:ascii="Arial" w:cs="Arial" w:eastAsia="Arial" w:hAnsi="Arial"/>
                <w:sz w:val="14"/>
                <w:szCs w:val="14"/>
                <w:color w:val="auto"/>
              </w:rPr>
              <w:t>401(k) plan participation</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20" w:type="dxa"/>
            <w:vAlign w:val="bottom"/>
            <w:gridSpan w:val="3"/>
          </w:tcPr>
          <w:p>
            <w:pPr>
              <w:ind w:left="140"/>
              <w:spacing w:after="0"/>
              <w:rPr>
                <w:sz w:val="20"/>
                <w:szCs w:val="20"/>
                <w:color w:val="auto"/>
              </w:rPr>
            </w:pPr>
            <w:r>
              <w:rPr>
                <w:rFonts w:ascii="Arial" w:cs="Arial" w:eastAsia="Arial" w:hAnsi="Arial"/>
                <w:sz w:val="14"/>
                <w:szCs w:val="14"/>
                <w:color w:val="auto"/>
                <w:w w:val="95"/>
              </w:rPr>
              <w:t>Nonqualified Deferred Compensation Plan and</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20" w:type="dxa"/>
            <w:vAlign w:val="bottom"/>
            <w:gridSpan w:val="3"/>
          </w:tcPr>
          <w:p>
            <w:pPr>
              <w:ind w:left="140"/>
              <w:spacing w:after="0"/>
              <w:rPr>
                <w:sz w:val="20"/>
                <w:szCs w:val="20"/>
                <w:color w:val="auto"/>
              </w:rPr>
            </w:pPr>
            <w:r>
              <w:rPr>
                <w:rFonts w:ascii="Arial" w:cs="Arial" w:eastAsia="Arial" w:hAnsi="Arial"/>
                <w:sz w:val="14"/>
                <w:szCs w:val="14"/>
                <w:color w:val="auto"/>
              </w:rPr>
              <w:t>the Pactiv Retirement Plan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RCP has been a wholly-owned business of RGHL Group, and executive compensation has been set with this in mind. RGHL recognizes that as a result of this offering, RCP will become a stand-alone organization and has adopted programs for RCP that it feels, considering the advice from its consultants, are appropriate for a stand-alone publicly-traded company. Comparisons with the Benchmark Comparison Group (and compensation survey data where applicable) have been undertaken to recognize the increased independence of the NEOs and to adopt compensation programs that are more consistent with the public company market.</w:t>
      </w:r>
    </w:p>
    <w:p>
      <w:pPr>
        <w:spacing w:after="0" w:line="188"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Because of the ability of our NEOs to directly influence our overall performance, and consistent with our philosophy of linking pay to performance, the compensation programs will allocate a significant portion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compensation paid to our NEOs to both short-term and long-term performance-based incentive programs. In addition, as an employee’s responsibility and ability to affect our financial results of RCP increases, base salary becomes a relatively smaller component of total compensation while long-term and at-risk incentive compensation becomes a larger component of total compensation. See “—2018 Summary Compensation Table.”</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Base salaries are set at competitive levels necessary to attract and retain top performing senior executives, including our NEOs, and are intended to compensate senior executives for their job responsibilities and level of experience. RGHL has set a total compensation goal at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the Benchmark Comparison Group (and, for our Business Unit Presidents, the overall general industry), adjusted to reflect each executive’s individual performance and contributions. Additionally, going forward the Compensation, Nominating and Corporate Governance Committee will attempt to set each of the elements of total compensation at or around the 50</w:t>
      </w:r>
      <w:r>
        <w:rPr>
          <w:rFonts w:ascii="Arial" w:cs="Arial" w:eastAsia="Arial" w:hAnsi="Arial"/>
          <w:sz w:val="13"/>
          <w:szCs w:val="13"/>
          <w:color w:val="auto"/>
        </w:rPr>
        <w:t>th</w:t>
      </w:r>
      <w:r>
        <w:rPr>
          <w:rFonts w:ascii="Arial" w:cs="Arial" w:eastAsia="Arial" w:hAnsi="Arial"/>
          <w:sz w:val="16"/>
          <w:szCs w:val="16"/>
          <w:color w:val="auto"/>
        </w:rPr>
        <w:t xml:space="preserve"> percentile of the Benchmark Comparison Group. However, as there were certain elements of compensation not available to RCP when it was wholly-owned by RGHL, such as equity-based compensation, the Compensation, Nominating and Corporate Governance Committee recognizes that it will take time before all of the individual elements of total compensation can reach the 50</w:t>
      </w:r>
      <w:r>
        <w:rPr>
          <w:rFonts w:ascii="Arial" w:cs="Arial" w:eastAsia="Arial" w:hAnsi="Arial"/>
          <w:sz w:val="13"/>
          <w:szCs w:val="13"/>
          <w:color w:val="auto"/>
        </w:rPr>
        <w:t>th</w:t>
      </w:r>
      <w:r>
        <w:rPr>
          <w:rFonts w:ascii="Arial" w:cs="Arial" w:eastAsia="Arial" w:hAnsi="Arial"/>
          <w:sz w:val="16"/>
          <w:szCs w:val="16"/>
          <w:color w:val="auto"/>
        </w:rPr>
        <w:t xml:space="preserve"> percentile goal.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Annual Incentive Compensation</w:t>
      </w:r>
    </w:p>
    <w:p>
      <w:pPr>
        <w:spacing w:after="0" w:line="22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2018 annual incentive program (“2018 AIP”) provided an opportunity for our senior executives, including our NEOs, to earn an annual incentive, paid in cash, based on the achievement of certain financial targets and strategic priorities.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discloses the annual incentive targets for each NEO under the 2018 AIP.</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Incentive Target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5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566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5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566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5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AIP Design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2018 AIP was designed to motivate our senior executives to achieve annual financial and other business goals based on our strategic, financial, and operating performance objectives. For our senior executives, including our NEOs, 90% of the payout under the 2018 AIP was determined by Adjusted EBITDA year over year growth (“Adjusted EBITDA Growth”). The remaining 10% was measured by working capital achievements. Based on the combined Adjusted EBITDA Growth and working capital results, a participant could earn up to 200% of the target value. Additionally, an individual’s calculated payout amount could be increased or decreased at management’s discretion to take into account their performance and contribution to RCP.</w:t>
      </w:r>
    </w:p>
    <w:p>
      <w:pPr>
        <w:spacing w:after="0" w:line="193"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Adjusted EBITDA Growth component was calculated on a scale where the threshold payout was 50% of the incentive target upon achievement of 95% Adjusted EBITDA Growth. The percentage payout increases on a non-linear scale with award payouts capped at 200% of target upon achievement of 108% Adjusted EBITDA Growth. The working capital achievements component was based on the achievement of discrete projects.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Based on Adjusted EBITDA Growth and achievement of working capital targets in 2018, the calculated payment was 89.6% of target, based on the following factors: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Metric</w:t>
            </w: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 EBITDA</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 EBITDA</w:t>
            </w:r>
          </w:p>
        </w:tc>
        <w:tc>
          <w:tcPr>
            <w:tcW w:w="222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93"/>
              </w:rPr>
              <w:t>Payout Attainment</w:t>
            </w: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Weight</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Final Payout</w:t>
            </w:r>
          </w:p>
        </w:tc>
        <w:tc>
          <w:tcPr>
            <w:tcW w:w="0" w:type="dxa"/>
            <w:vAlign w:val="bottom"/>
          </w:tcPr>
          <w:p>
            <w:pPr>
              <w:spacing w:after="0"/>
              <w:rPr>
                <w:sz w:val="1"/>
                <w:szCs w:val="1"/>
                <w:color w:val="auto"/>
              </w:rPr>
            </w:pPr>
          </w:p>
        </w:tc>
      </w:tr>
      <w:tr>
        <w:trPr>
          <w:trHeight w:val="158"/>
        </w:trPr>
        <w:tc>
          <w:tcPr>
            <w:tcW w:w="26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Actual ($m)</w:t>
            </w:r>
          </w:p>
        </w:tc>
        <w:tc>
          <w:tcPr>
            <w:tcW w:w="6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Actual ($m)</w:t>
            </w:r>
          </w:p>
        </w:tc>
        <w:tc>
          <w:tcPr>
            <w:tcW w:w="1780" w:type="dxa"/>
            <w:vAlign w:val="bottom"/>
            <w:gridSpan w:val="2"/>
          </w:tcPr>
          <w:p>
            <w:pPr>
              <w:jc w:val="right"/>
              <w:ind w:right="390"/>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0"/>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110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EBITDA Growth</w:t>
            </w:r>
          </w:p>
        </w:tc>
        <w:tc>
          <w:tcPr>
            <w:tcW w:w="1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652</w:t>
            </w:r>
          </w:p>
        </w:tc>
        <w:tc>
          <w:tcPr>
            <w:tcW w:w="6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91.2%</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75.0%</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actual payments made in respect of the year ended December 31, 2018 for the NEOs are disclosed below. Where an adjustment was made to the calculated result, the percentage adjustment is also included.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9"/>
              </w:rPr>
              <w:t>STI Target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Payment From Annual</w:t>
            </w:r>
          </w:p>
        </w:tc>
        <w:tc>
          <w:tcPr>
            <w:tcW w:w="2840" w:type="dxa"/>
            <w:vAlign w:val="bottom"/>
            <w:gridSpan w:val="3"/>
          </w:tcPr>
          <w:p>
            <w:pPr>
              <w:jc w:val="center"/>
              <w:ind w:left="656"/>
              <w:spacing w:after="0"/>
              <w:rPr>
                <w:sz w:val="20"/>
                <w:szCs w:val="20"/>
                <w:color w:val="auto"/>
              </w:rPr>
            </w:pPr>
            <w:r>
              <w:rPr>
                <w:rFonts w:ascii="Arial" w:cs="Arial" w:eastAsia="Arial" w:hAnsi="Arial"/>
                <w:sz w:val="14"/>
                <w:szCs w:val="14"/>
                <w:b w:val="1"/>
                <w:bCs w:val="1"/>
                <w:color w:val="auto"/>
                <w:w w:val="95"/>
              </w:rPr>
              <w:t>Variation From Calculated</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gridSpan w:val="3"/>
          </w:tcPr>
          <w:p>
            <w:pPr>
              <w:jc w:val="center"/>
              <w:ind w:left="676"/>
              <w:spacing w:after="0" w:line="149" w:lineRule="exact"/>
              <w:rPr>
                <w:sz w:val="20"/>
                <w:szCs w:val="20"/>
                <w:color w:val="auto"/>
              </w:rPr>
            </w:pPr>
            <w:r>
              <w:rPr>
                <w:rFonts w:ascii="Arial" w:cs="Arial" w:eastAsia="Arial" w:hAnsi="Arial"/>
                <w:sz w:val="14"/>
                <w:szCs w:val="14"/>
                <w:b w:val="1"/>
                <w:bCs w:val="1"/>
                <w:color w:val="auto"/>
                <w:w w:val="90"/>
              </w:rPr>
              <w:t>Percentage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6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8"/>
        </w:trPr>
        <w:tc>
          <w:tcPr>
            <w:tcW w:w="3100" w:type="dxa"/>
            <w:vAlign w:val="bottom"/>
            <w:gridSpan w:val="3"/>
            <w:vMerge w:val="continue"/>
          </w:tcPr>
          <w:p>
            <w:pPr>
              <w:spacing w:after="0"/>
              <w:rPr>
                <w:sz w:val="13"/>
                <w:szCs w:val="13"/>
                <w:color w:val="auto"/>
              </w:rPr>
            </w:pPr>
          </w:p>
        </w:tc>
        <w:tc>
          <w:tcPr>
            <w:tcW w:w="2560" w:type="dxa"/>
            <w:vAlign w:val="bottom"/>
            <w:gridSpan w:val="2"/>
          </w:tcPr>
          <w:p>
            <w:pPr>
              <w:jc w:val="center"/>
              <w:ind w:left="1796"/>
              <w:spacing w:after="0" w:line="158"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20" w:type="dxa"/>
            <w:vAlign w:val="bottom"/>
            <w:gridSpan w:val="2"/>
          </w:tcPr>
          <w:p>
            <w:pPr>
              <w:jc w:val="center"/>
              <w:ind w:left="89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8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rPr>
              <w:t>115%</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1,545,600</w:t>
            </w:r>
          </w:p>
        </w:tc>
        <w:tc>
          <w:tcPr>
            <w:tcW w:w="960" w:type="dxa"/>
            <w:vAlign w:val="bottom"/>
            <w:shd w:val="clear" w:color="auto" w:fill="CCEEFF"/>
          </w:tcPr>
          <w:p>
            <w:pPr>
              <w:spacing w:after="0"/>
              <w:rPr>
                <w:sz w:val="17"/>
                <w:szCs w:val="17"/>
                <w:color w:val="auto"/>
              </w:rPr>
            </w:pPr>
          </w:p>
        </w:tc>
        <w:tc>
          <w:tcPr>
            <w:tcW w:w="1660" w:type="dxa"/>
            <w:vAlign w:val="bottom"/>
            <w:shd w:val="clear" w:color="auto" w:fill="CCEEFF"/>
          </w:tcPr>
          <w:p>
            <w:pPr>
              <w:ind w:left="14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60%</w:t>
            </w:r>
          </w:p>
        </w:tc>
        <w:tc>
          <w:tcPr>
            <w:tcW w:w="1420" w:type="dxa"/>
            <w:vAlign w:val="bottom"/>
          </w:tcPr>
          <w:p>
            <w:pPr>
              <w:jc w:val="right"/>
              <w:spacing w:after="0"/>
              <w:rPr>
                <w:sz w:val="20"/>
                <w:szCs w:val="20"/>
                <w:color w:val="auto"/>
              </w:rPr>
            </w:pPr>
            <w:r>
              <w:rPr>
                <w:rFonts w:ascii="Arial" w:cs="Arial" w:eastAsia="Arial" w:hAnsi="Arial"/>
                <w:sz w:val="18"/>
                <w:szCs w:val="18"/>
                <w:color w:val="auto"/>
              </w:rPr>
              <w:t>512,482</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36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60%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322,945</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60%</w:t>
            </w:r>
          </w:p>
        </w:tc>
        <w:tc>
          <w:tcPr>
            <w:tcW w:w="1420" w:type="dxa"/>
            <w:vAlign w:val="bottom"/>
          </w:tcPr>
          <w:p>
            <w:pPr>
              <w:jc w:val="right"/>
              <w:spacing w:after="0"/>
              <w:rPr>
                <w:sz w:val="20"/>
                <w:szCs w:val="20"/>
                <w:color w:val="auto"/>
              </w:rPr>
            </w:pPr>
            <w:r>
              <w:rPr>
                <w:rFonts w:ascii="Arial" w:cs="Arial" w:eastAsia="Arial" w:hAnsi="Arial"/>
                <w:sz w:val="18"/>
                <w:szCs w:val="18"/>
                <w:color w:val="auto"/>
              </w:rPr>
              <w:t>288,865</w:t>
            </w:r>
          </w:p>
        </w:tc>
        <w:tc>
          <w:tcPr>
            <w:tcW w:w="28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36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50%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203,595</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Long-Term Incentive Compensation</w:t>
      </w:r>
    </w:p>
    <w:p>
      <w:pPr>
        <w:spacing w:after="0" w:line="229"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 small number of key executives, including the NEOs, participate in a cash-based long-term incentive program (“RGHL LTIP”). Pursuant to the RGHL LTIP, participants receive a grant at the beginning of a three-year performance period that can be earned over such period in annual instalments based upon the attainment of certain Adjusted EBITDA Growth metrics set at the beginning of the period. Each grant will provide for a “Target Opportunity Award” (based on a percentage of base salary) that can be achieved over the three-year period. The performance results achieved in the first year of the three-year period will establish the total amount of the award (which is expressed as a percentage of the Target Opportunity Award) that can be payable over the specified three-year period. If the business does not meet the performance threshold level in the first year, the participant is no longer eligible to earn any amount over the three-year period. If the business meets the threshold in the first year, the participant will receive the first payment, but the second and third payments may be withheld depending on business results in the second and third years.</w:t>
      </w:r>
    </w:p>
    <w:p>
      <w:pPr>
        <w:spacing w:after="0" w:line="166"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2018 grant was based on Adjusted EBITDA Growth and potential payouts ranged from an award of 25% of the target value for 95% Adjusted EBITDA Growth up to 125% of the target value for 108% Adjusted EBITDA Growth. The actual result of 99.24% Adjusted EBITDA Growth translated to a payout equal to 71.64% of the target value. The first of three instalments with respect to the 2018 grant was paid in early 2019. See the “—2018 Summary Compensation Table” section below for the amounts earned in 2018 under grants made in 2016, 2017 and 2018 under the RGHL LTIP.</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below table sets forth the potential payments remaining under the 2017, 2018 and 2019 grants for amounts that could be earned in fiscal year 2019, 2020 and 2021.</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2019 Grant</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2018 Grant</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2018 Grant</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2018 Grant</w:t>
            </w: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2017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Calculated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Calculated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2</w:t>
            </w:r>
            <w:r>
              <w:rPr>
                <w:rFonts w:ascii="Arial" w:cs="Arial" w:eastAsia="Arial" w:hAnsi="Arial"/>
                <w:sz w:val="12"/>
                <w:szCs w:val="12"/>
                <w:b w:val="1"/>
                <w:bCs w:val="1"/>
                <w:color w:val="auto"/>
                <w:w w:val="97"/>
              </w:rPr>
              <w:t>nd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3</w:t>
            </w:r>
            <w:r>
              <w:rPr>
                <w:rFonts w:ascii="Arial" w:cs="Arial" w:eastAsia="Arial" w:hAnsi="Arial"/>
                <w:sz w:val="12"/>
                <w:szCs w:val="12"/>
                <w:b w:val="1"/>
                <w:bCs w:val="1"/>
                <w:color w:val="auto"/>
                <w:w w:val="98"/>
              </w:rPr>
              <w:t>rd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3</w:t>
            </w:r>
            <w:r>
              <w:rPr>
                <w:rFonts w:ascii="Arial" w:cs="Arial" w:eastAsia="Arial" w:hAnsi="Arial"/>
                <w:sz w:val="12"/>
                <w:szCs w:val="12"/>
                <w:b w:val="1"/>
                <w:bCs w:val="1"/>
                <w:color w:val="auto"/>
                <w:w w:val="90"/>
              </w:rPr>
              <w:t>rd</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Target Value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Target Value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Instalment</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Instalment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Instalment</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00" w:type="dxa"/>
            <w:vAlign w:val="bottom"/>
          </w:tcPr>
          <w:p>
            <w:pPr>
              <w:jc w:val="right"/>
              <w:ind w:right="198"/>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00" w:type="dxa"/>
            <w:vAlign w:val="bottom"/>
          </w:tcPr>
          <w:p>
            <w:pPr>
              <w:jc w:val="right"/>
              <w:ind w:right="178"/>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1,550,000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1,400,000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1,002,960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334,320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334,320</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399,100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800" w:type="dxa"/>
            <w:vAlign w:val="bottom"/>
          </w:tcPr>
          <w:p>
            <w:pPr>
              <w:jc w:val="right"/>
              <w:spacing w:after="0"/>
              <w:rPr>
                <w:sz w:val="20"/>
                <w:szCs w:val="20"/>
                <w:color w:val="auto"/>
              </w:rPr>
            </w:pPr>
            <w:r>
              <w:rPr>
                <w:rFonts w:ascii="Arial" w:cs="Arial" w:eastAsia="Arial" w:hAnsi="Arial"/>
                <w:sz w:val="18"/>
                <w:szCs w:val="18"/>
                <w:color w:val="auto"/>
              </w:rPr>
              <w:t>581,590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564,650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404,515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800" w:type="dxa"/>
            <w:vAlign w:val="bottom"/>
          </w:tcPr>
          <w:p>
            <w:pPr>
              <w:jc w:val="right"/>
              <w:spacing w:after="0"/>
              <w:rPr>
                <w:sz w:val="20"/>
                <w:szCs w:val="20"/>
                <w:color w:val="auto"/>
              </w:rPr>
            </w:pPr>
            <w:r>
              <w:rPr>
                <w:rFonts w:ascii="Arial" w:cs="Arial" w:eastAsia="Arial" w:hAnsi="Arial"/>
                <w:sz w:val="18"/>
                <w:szCs w:val="18"/>
                <w:color w:val="auto"/>
              </w:rPr>
              <w:t>327,818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318,270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228,009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76,003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76,003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will not issue any new grants under the RGHL LTIP after this offering. A participant is not eligible to receive any award if they are not employed by RCP at the time the award is paid.</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Compensation—Retirement and Welfare Benefits</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specific contribution levels to these programs are adjusted annually to maintain a competitive position while considering costs.</w:t>
      </w:r>
    </w:p>
    <w:p>
      <w:pPr>
        <w:spacing w:after="0" w:line="131" w:lineRule="exact"/>
        <w:rPr>
          <w:sz w:val="20"/>
          <w:szCs w:val="20"/>
          <w:color w:val="auto"/>
        </w:rPr>
      </w:pPr>
    </w:p>
    <w:p>
      <w:pPr>
        <w:ind w:left="1180" w:right="260" w:hanging="436"/>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Savings Plan. All non-union employees in the United States, including our NEOs, are eligible to participate in a tax-qualified retirement savings plan under Section 401(k) of the Code. RGHL makes a 2% non-elective contribution and matching contributions of 100% of the first 6% of an employee’s elective deferral contribution.</w:t>
      </w:r>
    </w:p>
    <w:p>
      <w:pPr>
        <w:spacing w:after="0" w:line="86"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Pactiv Retirement Plan. Certain employees, including Mr. Bryla, Mr. Pace and Mr. Cappel, have frozen benefits under the Pactiv Retirement Plan, a defined benefit pension plan maintained by Pactiv.</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Benefits and Perquisites</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RCP employees who are at a designated salary grade or above may defer a portion of their salary and bonus each year into the Reynolds Services Inc. Nonqualified Deferred Compensation Plan, which is a tax deferred plan. RCP also makes contributions to this plan mirroring percentage contributions made to the 401(k) plan. This program is intended to promote retention by providing a long-term savings opportunity on a tax-efficient basis. In conjunction with this offering, an identical plan will be created for eligible RCP employees. The amounts deferred are unsecured obligations of RCP, receive no preferential standing, and are subject to the same risks as any of RCP’s other unsecured obligations.</w:t>
      </w:r>
    </w:p>
    <w:p>
      <w:pPr>
        <w:spacing w:after="0" w:line="173"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RGHL provides the NEOs with limited perquisites and other personal benefits, including reimbursement of relocation costs. Additionally, RCP purchases tickets to various cultural, charitable, civic, entertainment and sporting events for business development and relationship building purposes, and to maintain its involvement in communities in which RCP operates and its employees live. Occasionally, its employees, including its NEOs, make personal use of tickets that would not otherwise be used for business purposes. Following this offering, the Compensation, Nominating and Corporate Governance Committee will periodically review the levels of perquisites and other personal benefits provided to our NEOs. The Compensation, Nominating and Corporate Governance Committee intends to maintain only those perquisites and other benefits that it determines to be necessary components of total compensation and that are not inconsistent with stockholder interests.</w:t>
      </w:r>
    </w:p>
    <w:p>
      <w:pPr>
        <w:spacing w:after="0" w:line="17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Attributed costs of the personal benefits described above for our NEOs for the fiscal year ended December 31, 2018 are included in the column entitled “All Other Compensation” of the 2018 Summary Compensation Table.</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Compensation Programs Following this Offering</w:t>
      </w:r>
    </w:p>
    <w:p>
      <w:pPr>
        <w:spacing w:after="0" w:line="229"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RGHL has established STI and LTI programs for RCP for fiscal year 2020. The STI program will allow participants, including the NEOs, to earn cash awards (determined as a percentage of the participant’s base salary) based on RCP’s attainment of Adjusted EBITDA (90%) and working capital (10%) goals in fiscal year 2020. The targets and threshold levels for these performance metrics will be set by the Compensation, Nominating and</w:t>
      </w:r>
    </w:p>
    <w:p>
      <w:pPr>
        <w:ind w:left="200"/>
        <w:spacing w:after="0"/>
        <w:tabs>
          <w:tab w:leader="none" w:pos="4100" w:val="left"/>
          <w:tab w:leader="none" w:pos="5640" w:val="left"/>
        </w:tabs>
        <w:rPr>
          <w:sz w:val="20"/>
          <w:szCs w:val="20"/>
          <w:color w:val="auto"/>
        </w:rPr>
      </w:pPr>
      <w:r>
        <w:rPr>
          <w:rFonts w:ascii="Arial" w:cs="Arial" w:eastAsia="Arial" w:hAnsi="Arial"/>
          <w:sz w:val="18"/>
          <w:szCs w:val="18"/>
          <w:color w:val="auto"/>
        </w:rPr>
        <w:t>Corporate Governance Committee in the</w:t>
      </w:r>
      <w:r>
        <w:rPr>
          <w:sz w:val="20"/>
          <w:szCs w:val="20"/>
          <w:color w:val="auto"/>
        </w:rPr>
        <w:tab/>
      </w:r>
      <w:r>
        <w:rPr>
          <w:rFonts w:ascii="Arial" w:cs="Arial" w:eastAsia="Arial" w:hAnsi="Arial"/>
          <w:sz w:val="18"/>
          <w:szCs w:val="18"/>
          <w:color w:val="auto"/>
        </w:rPr>
        <w:t>fiscal quarter of 20</w:t>
        <w:tab/>
        <w:t>.</w:t>
      </w:r>
    </w:p>
    <w:p>
      <w:pPr>
        <w:spacing w:after="0" w:line="211"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color w:val="auto"/>
        </w:rPr>
        <w:t>We believe that a significant portion of each senior executive’s compensation should be dependent on long-term value created for our stockholders. In conjunction with this offering, RGHL implemented an LTI program,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6" w:lineRule="auto"/>
        <w:rPr>
          <w:sz w:val="20"/>
          <w:szCs w:val="20"/>
          <w:color w:val="auto"/>
        </w:rPr>
      </w:pPr>
      <w:r>
        <w:rPr>
          <w:rFonts w:ascii="Arial" w:cs="Arial" w:eastAsia="Arial" w:hAnsi="Arial"/>
          <w:sz w:val="16"/>
          <w:szCs w:val="16"/>
          <w:color w:val="auto"/>
        </w:rPr>
        <w:t>which is designed to align the awards for the senior executives with the results achieved for stockholders. The LTI program for 2020 consists of restricted stock or restricted stock unit awards and performance share awards. The restricted stock or restricted stock units will generally vest over a three-year period, with 1/3 vesting each year. The performance shares will be earned at the end of a three-year period based on the attainment of specified performance metrics, which include earnings per share and Adjusted EBITDA, over the three-year period. The target and threshold levels for</w:t>
      </w:r>
    </w:p>
    <w:p>
      <w:pPr>
        <w:spacing w:after="0" w:line="2"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these performance metrics will be set by the Compensation, Nominating and Corporate Governance Committee in the fiscal quarter of 20 .</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RCP has adopted the Reynolds Consumer Products Inc. Equity Incentive Plan (the “Incentive Plan”), which will be effective in connection with this offering. The purpose of the Incentive Plan is to motivate and reward our employees, directors, consultants and advisors to perform at the highest level and to further our best interests and those of our shareholders.</w:t>
      </w:r>
    </w:p>
    <w:p>
      <w:pPr>
        <w:spacing w:after="0" w:line="18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Subject to adjustment, the Incentive Plan permits us to make awards of up to 5% of our common stock issued and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this offering (assuming the underwriters’ option to purchase additional shares of common stock is exercised in full). Additionally, the number of shares of our common stock reserved for issuance under the Incentive Plan may increase automatically on the first day of each fiscal year following the effective date of the Incentive Plan by an amount equal to the lesser of (i) 1% of outstanding shares on December 31 of the immediately preceding fiscal year or (ii) such number of shares as determined by our board of directors in its discretion. If any award issued under the Incentive Plan is canceled, forfeited, or otherwise terminates or expires unexercised, such shares may again be issued under the Incentive Plan. In the event that an adjustment is necessary in order to prevent dilution or enlargement of the benefits or potential benefits intended to be made available under the Incentive Plan, as a result of any dividend (other than ordinary cash 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our Compensation, Nominating and Corporate Governance Committee shall, subject to compliance with Sections 409A and 457A of the Code, adjust equitably any or all of (i) the number and type of shares (or other securities) which thereafter may be made the subject of awards, (ii) the number and type of shares (or other securities) subject to outstanding awards, (iii) the grant, acquisition or exercise price of awards or, if deemed appropriate, make provision for a cash payment to the holder of an outstanding award or (iv) the terms and conditions of any outstanding awards, including the performance criteria of any performance awards.</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Compensation, Nominating and Corporate Governance Committee will administer the Incentive Plan and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items:</w:t>
      </w:r>
    </w:p>
    <w:p>
      <w:pPr>
        <w:spacing w:after="0" w:line="76" w:lineRule="exact"/>
        <w:rPr>
          <w:sz w:val="20"/>
          <w:szCs w:val="20"/>
          <w:color w:val="auto"/>
        </w:rPr>
      </w:pPr>
    </w:p>
    <w:p>
      <w:pPr>
        <w:ind w:left="960" w:hanging="3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select the participants to whom awards may be granted;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under the Incentive Plan;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the terms and conditions of any award and prescribe the form of award agreement;</w:t>
      </w:r>
    </w:p>
    <w:p>
      <w:pPr>
        <w:spacing w:after="0" w:line="130" w:lineRule="exact"/>
        <w:rPr>
          <w:rFonts w:ascii="Arial" w:cs="Arial" w:eastAsia="Arial" w:hAnsi="Arial"/>
          <w:sz w:val="18"/>
          <w:szCs w:val="18"/>
          <w:color w:val="auto"/>
        </w:rPr>
      </w:pPr>
    </w:p>
    <w:p>
      <w:pPr>
        <w:ind w:left="960" w:hanging="324"/>
        <w:spacing w:after="0" w:line="264"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w:t>
      </w:r>
    </w:p>
    <w:p>
      <w:pPr>
        <w:spacing w:after="0" w:line="86" w:lineRule="exact"/>
        <w:rPr>
          <w:rFonts w:ascii="Arial" w:cs="Arial" w:eastAsia="Arial" w:hAnsi="Arial"/>
          <w:sz w:val="18"/>
          <w:szCs w:val="18"/>
          <w:color w:val="auto"/>
        </w:rPr>
      </w:pPr>
    </w:p>
    <w:p>
      <w:pPr>
        <w:ind w:left="960" w:hanging="3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amounts payable with respect to an award shall be deferred;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or modify outstanding awards or award agreements;</w:t>
      </w:r>
    </w:p>
    <w:p>
      <w:pPr>
        <w:spacing w:after="0" w:line="130" w:lineRule="exact"/>
        <w:rPr>
          <w:rFonts w:ascii="Arial" w:cs="Arial" w:eastAsia="Arial" w:hAnsi="Arial"/>
          <w:sz w:val="18"/>
          <w:szCs w:val="18"/>
          <w:color w:val="auto"/>
        </w:rPr>
      </w:pPr>
    </w:p>
    <w:p>
      <w:pPr>
        <w:ind w:left="960" w:right="80" w:hanging="324"/>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Incentive Plan or any award, in the manner and to the extent it will deem desirable to carry the Incentive Plan into effect;</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interpret and administer the terms of the Incentive Plan, any award agreement and any agreement related to any award;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it deems necessary or desirable to administer the Incentive Plan.</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To the extent not inconsistent with applicable law, our Compensation, Nominating and Corporate Governance Committee may delegate to one or more of our officers some or all of the authority under the Incentive Plan, including the authority to grant all types of awards authorized under the Incentive Plan.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employees, directors, consultants or other advisors of RCP or any of our affiliates will be eligible to receive awards.</w:t>
      </w:r>
    </w:p>
    <w:p>
      <w:pPr>
        <w:spacing w:after="0" w:line="23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Forms of Awards</w:t>
      </w:r>
      <w:r>
        <w:rPr>
          <w:rFonts w:ascii="Arial" w:cs="Arial" w:eastAsia="Arial" w:hAnsi="Arial"/>
          <w:sz w:val="18"/>
          <w:szCs w:val="18"/>
          <w:color w:val="auto"/>
        </w:rPr>
        <w:t>. Awards under the Incentive Plan may include one or more of the following types: (i) stock options, (ii) share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(“SAR”), (iii) restricted stock awards, (iv) restricted stock unit (“RSU”) awards, (v) performance awards, (vi) other cash-based awards and (vii) other stock-based awards.</w:t>
      </w:r>
    </w:p>
    <w:p>
      <w:pPr>
        <w:spacing w:after="0" w:line="87" w:lineRule="exact"/>
        <w:rPr>
          <w:sz w:val="20"/>
          <w:szCs w:val="20"/>
          <w:color w:val="auto"/>
        </w:rPr>
      </w:pPr>
    </w:p>
    <w:p>
      <w:pPr>
        <w:ind w:left="960" w:right="220" w:hanging="324"/>
        <w:spacing w:after="0" w:line="259"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Options are rights to purchase a specified number of shares of our common stock at a price fixed by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but not less than the fair market value on the date of grant. Options generally expire no later than ten years after the date of grant. Options will become exercisable at such time and in such installments as our Compensation, Nominating and Corporate Governance Committee will determine.</w:t>
      </w:r>
    </w:p>
    <w:p>
      <w:pPr>
        <w:spacing w:after="0" w:line="92" w:lineRule="exact"/>
        <w:rPr>
          <w:rFonts w:ascii="Arial" w:cs="Arial" w:eastAsia="Arial" w:hAnsi="Arial"/>
          <w:sz w:val="18"/>
          <w:szCs w:val="18"/>
          <w:color w:val="auto"/>
        </w:rPr>
      </w:pPr>
    </w:p>
    <w:p>
      <w:pPr>
        <w:ind w:left="960" w:right="80" w:hanging="324"/>
        <w:spacing w:after="0" w:line="25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An SAR entitles the holder to receive, upon exercise, an amount equal to any positive difference between the fair market value of one</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our common stock on the date an SAR is exercised and the exercise price, multiplied by the number of shares of common stock with respect to which an SAR is exercised. Our Compensation, Nominating and Corporate Governance Committee will have the authority to determine whether the amount to be paid upon exercise of an SAR will be paid in cash, common stock or a combination of cash and common stock.</w:t>
      </w:r>
    </w:p>
    <w:p>
      <w:pPr>
        <w:spacing w:after="0" w:line="93" w:lineRule="exact"/>
        <w:rPr>
          <w:rFonts w:ascii="Arial" w:cs="Arial" w:eastAsia="Arial" w:hAnsi="Arial"/>
          <w:sz w:val="18"/>
          <w:szCs w:val="18"/>
          <w:color w:val="auto"/>
        </w:rPr>
      </w:pPr>
    </w:p>
    <w:p>
      <w:pPr>
        <w:ind w:left="960" w:hanging="324"/>
        <w:spacing w:after="0" w:line="272"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provide for a specified number of shares of our common stock subject to a restriction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transfer during a period of time or until performance measures are satisfied, as established by our Compensation, Nominating and Corporate Governance Committee. Unless otherwise set forth in the agreement relating to a restricted stock award, the holder has all the rights of a shareholder, including voting rights, the right to receive dividends and the right to participate in any capital adjustment applicable to all holders of common stock; provided, however, that our Compensation, Nominating and Corporate Governance Committee may determine that distributions with respect to shares of common stock will be reinvested in additional shares of common stock and will be subject to the same restrictions as the shares of common stock with respect to which such distribution was made.</w:t>
      </w:r>
    </w:p>
    <w:p>
      <w:pPr>
        <w:spacing w:after="0" w:line="83" w:lineRule="exact"/>
        <w:rPr>
          <w:rFonts w:ascii="Arial" w:cs="Arial" w:eastAsia="Arial" w:hAnsi="Arial"/>
          <w:sz w:val="17"/>
          <w:szCs w:val="17"/>
          <w:color w:val="auto"/>
        </w:rPr>
      </w:pPr>
    </w:p>
    <w:p>
      <w:pPr>
        <w:ind w:left="960" w:right="80" w:hanging="324"/>
        <w:spacing w:after="0" w:line="272"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RSUs</w:t>
      </w:r>
      <w:r>
        <w:rPr>
          <w:rFonts w:ascii="Arial" w:cs="Arial" w:eastAsia="Arial" w:hAnsi="Arial"/>
          <w:sz w:val="17"/>
          <w:szCs w:val="17"/>
          <w:color w:val="auto"/>
        </w:rPr>
        <w:t>. An RSU award is a right to receive a specified number of shares of our common stock (or the fair market value thereof in cash, or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our common stock and cash, as determined by our Compensation, Nominating and Corporate Governance Committee), subject to the expiration of a specified restriction period and/or the achievement of any performance measures selected by our Compensation, Nominating and Corporate Governance Committee, consistent with the terms of the Incentive Plan. The RSU award agreement will specify whether the award recipient is entitled to receive dividend equivalents with respect to the number of shares of our common stock subject to the award. Prior to the settlement of an RSU award in our common stock, the award recipient will have no rights as a shareholder of our Company with respect to our common stock subject to the award.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60" w:right="260" w:hanging="324"/>
        <w:spacing w:after="0" w:line="259"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are awards whose final value or amount, if any, is determined by the degree to which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have been achieved during a performance period set by our Compensation, Nominating and Corporate Governance Committee. Payment may be made in the form of cash, shares, other awards, or a combination thereof, as specified by our Compensation, Nominating and Corporate Governance Committee.</w:t>
      </w:r>
    </w:p>
    <w:p>
      <w:pPr>
        <w:spacing w:after="0" w:line="92" w:lineRule="exact"/>
        <w:rPr>
          <w:rFonts w:ascii="Arial" w:cs="Arial" w:eastAsia="Arial" w:hAnsi="Arial"/>
          <w:sz w:val="18"/>
          <w:szCs w:val="18"/>
          <w:color w:val="auto"/>
        </w:rPr>
      </w:pPr>
    </w:p>
    <w:p>
      <w:pPr>
        <w:ind w:left="960" w:right="40" w:hanging="324"/>
        <w:spacing w:after="0" w:line="312" w:lineRule="auto"/>
        <w:tabs>
          <w:tab w:leader="none" w:pos="9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Other Cash-Based Awards. </w:t>
      </w:r>
      <w:r>
        <w:rPr>
          <w:rFonts w:ascii="Arial" w:cs="Arial" w:eastAsia="Arial" w:hAnsi="Arial"/>
          <w:sz w:val="16"/>
          <w:szCs w:val="16"/>
          <w:color w:val="auto"/>
        </w:rPr>
        <w:t>Our Compensation, Nominating and Corporate Governance Committee is authorized, subject to limitations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to grant such other awards that may be denominated or payable in, valued in whole or in part by reference to, or otherwise based on, or related to, cash on such terms and conditions as set by our Compensation, Nominating and Corporate Governance Committee.</w:t>
      </w:r>
    </w:p>
    <w:p>
      <w:pPr>
        <w:spacing w:after="0" w:line="52" w:lineRule="exact"/>
        <w:rPr>
          <w:rFonts w:ascii="Arial" w:cs="Arial" w:eastAsia="Arial" w:hAnsi="Arial"/>
          <w:sz w:val="16"/>
          <w:szCs w:val="16"/>
          <w:color w:val="auto"/>
        </w:rPr>
      </w:pPr>
    </w:p>
    <w:p>
      <w:pPr>
        <w:jc w:val="both"/>
        <w:ind w:left="960" w:hanging="324"/>
        <w:spacing w:after="0" w:line="264"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Other Share-Based Awards</w:t>
      </w:r>
      <w:r>
        <w:rPr>
          <w:rFonts w:ascii="Arial" w:cs="Arial" w:eastAsia="Arial" w:hAnsi="Arial"/>
          <w:sz w:val="18"/>
          <w:szCs w:val="18"/>
          <w:color w:val="auto"/>
        </w:rPr>
        <w:t>. Our Compensation, Nominating and Corporate Governance Committee is authorized, subject to limitations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to grant other types of awards that may be denominated or payable in, valued in whole or in part by reference to, or otherwise based on, or related to, shares or factors that may influence the value of shares.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 award agreement may contain additional terms and restrictions, including vesting conditions, not inconsistent with the terms of the Incentive Plan, as our Compensation, Nominating and Corporate Governance Committee may determine.</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Except as provided in the adjustment provision of the Incentive Plan, no action will directly or indirectly, through cancellation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regrant or any other method, reduce, or have the effect of reducing, the exercise price of any option or an SAR established at the time of grant thereof without approval of our shareholders.</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i w:val="1"/>
          <w:iCs w:val="1"/>
          <w:color w:val="auto"/>
        </w:rPr>
        <w:t>Director Pay Cap</w:t>
      </w:r>
      <w:r>
        <w:rPr>
          <w:rFonts w:ascii="Arial" w:cs="Arial" w:eastAsia="Arial" w:hAnsi="Arial"/>
          <w:sz w:val="18"/>
          <w:szCs w:val="18"/>
          <w:color w:val="auto"/>
        </w:rPr>
        <w:t>. Subject to the adjustment provision of the Incentive Plan, an individual who is a non-employee director may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cash or otherwise, for any calendar year that total more than $750,000 in the aggregate.</w:t>
      </w:r>
    </w:p>
    <w:p>
      <w:pPr>
        <w:spacing w:after="0" w:line="17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i w:val="1"/>
          <w:iCs w:val="1"/>
          <w:color w:val="auto"/>
        </w:rPr>
        <w:t>Termination of Employment or Service and Change in Control</w:t>
      </w:r>
      <w:r>
        <w:rPr>
          <w:rFonts w:ascii="Arial" w:cs="Arial" w:eastAsia="Arial" w:hAnsi="Arial"/>
          <w:sz w:val="16"/>
          <w:szCs w:val="16"/>
          <w:color w:val="auto"/>
        </w:rPr>
        <w:t>. Our Compensation, Nominating and Corporate Governance Committee will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effect of a termination of employment or service on outstanding awards, including whether the awards will vest, become exercisable, settle, be paid or be forfeited. In the event of a change in control, all outstanding awards shall immediately vest and settle, and, with respect to options and SAR, shall become fully exercisable, and any performance criteria to which any such award is subject will be deemed to be satisfied at target.</w:t>
      </w:r>
    </w:p>
    <w:p>
      <w:pPr>
        <w:spacing w:after="0" w:line="154"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Subject to certain restrictions, our board of directors may amend, alter, suspend, discontinue or terminate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at any time. Our Compensation, Nominating and Corporate Governance Committee may also amend the related award documents. However, subject to the adjustment and change in control provisions of the Incentive Plan, any such action that would materially adversely affect the rights of a holder of an outstanding award may not be taken without the holder’s consent, except to the extent that such action is taken to cause the Incentive Plan to comply with applicable law, stock market or exchange rules and regulations, or accounting or tax rules and regulations, or to impose any “clawback” or recoupment provisions on any outstanding awards in accordance with the Incentive Plan.</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Executive Retention Plan</w:t>
      </w:r>
    </w:p>
    <w:p>
      <w:pPr>
        <w:spacing w:after="0" w:line="22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RGHL has approved a cash and equity retention plan applicable to RCP’s NEOs and certain other key executives. The retention plan was implemented to further ensure leadership continuity, and its objectives are to retain executives through this offering and beyond. Awards under the retention plan are payable in cash and equity based on the criteria set forth below.</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i w:val="1"/>
          <w:iCs w:val="1"/>
          <w:color w:val="auto"/>
        </w:rPr>
        <w:t xml:space="preserve">Cash Retention Plan: </w:t>
      </w:r>
      <w:r>
        <w:rPr>
          <w:rFonts w:ascii="Arial" w:cs="Arial" w:eastAsia="Arial" w:hAnsi="Arial"/>
          <w:sz w:val="18"/>
          <w:szCs w:val="18"/>
          <w:color w:val="auto"/>
        </w:rPr>
        <w:t>The retention plan is paid in one, two or three instalments. If the executive resigns or is terminated for cause before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retention period, the executive must repay any instalments which have already been paid to him or her.</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In conjunction with this offering, RCP will issue restricted stock units on the offer date to the NEOs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Contingent upon the closing of a successful offering, vesting for the restricted stock units will occur over a three year period with 1/3 vesting after 12 months, 1/3 vesting after 24 months and 1/3 vesting after 36 months. Each of these executives must be an employee of RCP or one of its affiliates on the applicable vesting date to receive these shares.</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Employment Agreements with the NEOs</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July 8, 2019 Reynolds Consumer Products LLC entered into an amended and restated employment agreement with Mr. Mitchell and employment agreements with Messrs. Cappel and Graham, and on July 18, 2019, an employment agreement with Mr. Pace. Such employment agreements generally provide for base salary, STI compensation opportunity and LTI compensation opportunity and certain other benefits, including severance entitlements. These agreements, along with any additional agreements with our NEOs, are described under the heading “—Employment and Other Agreements” below.</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Tax Considerations of Our Executive Compensation</w:t>
      </w:r>
      <w:r>
        <w:rPr>
          <w:rFonts w:ascii="Arial" w:cs="Arial" w:eastAsia="Arial" w:hAnsi="Arial"/>
          <w:sz w:val="17"/>
          <w:szCs w:val="17"/>
          <w:color w:val="auto"/>
        </w:rPr>
        <w:t>: Section 162(m) of the Code generally limits the tax deductibility of annual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paid by public companies for certain executive officers to $1 million. The existing regulations under Section 162(m) will provide us, as a new publicly-traded company, transition relief from the $1 million deduction limitation until our first stockholders meeting at which directors are elected in the year that is three years following the closing of this offering. However, the IRS has requested comments from interested stakeholders on the application of Section 162(m) to new publicly-traded companies in light of the Tax Cuts and Jobs Act, which was passed at the end of 2017, and which made significant changes to Section 162(m). It is possible that the IRS might narrow or eliminate the transition relief.</w:t>
      </w:r>
    </w:p>
    <w:p>
      <w:pPr>
        <w:spacing w:after="0" w:line="178"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color w:val="auto"/>
        </w:rPr>
        <w:t>Following this offering, our Compensation, Nominating and Corporate Governance Committee intends to monitor regulatory developments and consider the potential effects of Section 162(m) of the Code on the deductibility of compensation paid to our executives. Although our Compensation, Nominating and Corporate Governance Committee is mindful of the benefits of tax deductibility when determining executive compensation, we may approve compensation that will not be fully-deductible in order to ensure competitive levels of total compensation for our executive officers.</w:t>
      </w:r>
    </w:p>
    <w:p>
      <w:pPr>
        <w:spacing w:after="0" w:line="262"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i w:val="1"/>
          <w:iCs w:val="1"/>
          <w:color w:val="auto"/>
        </w:rPr>
        <w:t>Accounting for Our Stock-Based Compensation</w:t>
      </w:r>
      <w:r>
        <w:rPr>
          <w:rFonts w:ascii="Arial" w:cs="Arial" w:eastAsia="Arial" w:hAnsi="Arial"/>
          <w:sz w:val="18"/>
          <w:szCs w:val="18"/>
          <w:color w:val="auto"/>
        </w:rPr>
        <w:t>: We will account for stock-based payments, including grants under each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in accordance with the requirements of FASB ASC Topic 718.</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240" w:top="459"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Summary Compensation Table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concerning the compensation paid to our NEOs during our fiscal year ended December 31, 2018.</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gridSpan w:val="2"/>
          </w:tcPr>
          <w:p>
            <w:pPr>
              <w:jc w:val="center"/>
              <w:ind w:left="262"/>
              <w:spacing w:after="0"/>
              <w:rPr>
                <w:sz w:val="20"/>
                <w:szCs w:val="20"/>
                <w:color w:val="auto"/>
              </w:rPr>
            </w:pPr>
            <w:r>
              <w:rPr>
                <w:rFonts w:ascii="Arial" w:cs="Arial" w:eastAsia="Arial" w:hAnsi="Arial"/>
                <w:sz w:val="14"/>
                <w:szCs w:val="14"/>
                <w:b w:val="1"/>
                <w:bCs w:val="1"/>
                <w:color w:val="auto"/>
                <w:w w:val="89"/>
              </w:rPr>
              <w:t>Changes in Pension</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and</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2"/>
                <w:szCs w:val="12"/>
                <w:color w:val="auto"/>
              </w:rPr>
            </w:pPr>
          </w:p>
        </w:tc>
        <w:tc>
          <w:tcPr>
            <w:tcW w:w="14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780" w:type="dxa"/>
            <w:vAlign w:val="bottom"/>
            <w:vMerge w:val="continue"/>
          </w:tcPr>
          <w:p>
            <w:pPr>
              <w:spacing w:after="0"/>
              <w:rPr>
                <w:sz w:val="12"/>
                <w:szCs w:val="12"/>
                <w:color w:val="auto"/>
              </w:rPr>
            </w:pP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Compensation(1)</w:t>
            </w:r>
          </w:p>
        </w:tc>
        <w:tc>
          <w:tcPr>
            <w:tcW w:w="3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Earnings(2)</w:t>
            </w:r>
          </w:p>
        </w:tc>
        <w:tc>
          <w:tcPr>
            <w:tcW w:w="18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Compensation(3)</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276"/>
              <w:spacing w:after="0" w:line="158" w:lineRule="exact"/>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379"/>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78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1,458,333</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2,645,687</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ind w:left="94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122,322</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4,226,342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766,042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984,818</w:t>
            </w:r>
          </w:p>
        </w:tc>
        <w:tc>
          <w:tcPr>
            <w:tcW w:w="36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92,632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1,843,492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624,040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66,937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431,786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559,731</w:t>
            </w:r>
          </w:p>
        </w:tc>
        <w:tc>
          <w:tcPr>
            <w:tcW w:w="36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62,524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1,054,041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445,961</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50,230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342"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2018, RGHL Group operated an annual incentive plan and a long-term non-equity incentive compensation plan as described more fully above in the section entitled “—Elements of Compensation.” Awards under the annual incentive plan in respect of the 2018 year were as follows: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Payment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9"/>
        </w:trPr>
        <w:tc>
          <w:tcPr>
            <w:tcW w:w="9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58"/>
        </w:trPr>
        <w:tc>
          <w:tcPr>
            <w:tcW w:w="912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1,545,600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960" w:type="dxa"/>
            <w:vAlign w:val="bottom"/>
          </w:tcPr>
          <w:p>
            <w:pPr>
              <w:jc w:val="right"/>
              <w:spacing w:after="0"/>
              <w:rPr>
                <w:sz w:val="20"/>
                <w:szCs w:val="20"/>
                <w:color w:val="auto"/>
              </w:rPr>
            </w:pPr>
            <w:r>
              <w:rPr>
                <w:rFonts w:ascii="Arial" w:cs="Arial" w:eastAsia="Arial" w:hAnsi="Arial"/>
                <w:sz w:val="18"/>
                <w:szCs w:val="18"/>
                <w:color w:val="auto"/>
              </w:rPr>
              <w:t>512,482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960" w:type="dxa"/>
            <w:vAlign w:val="bottom"/>
          </w:tcPr>
          <w:p>
            <w:pPr>
              <w:jc w:val="right"/>
              <w:spacing w:after="0"/>
              <w:rPr>
                <w:sz w:val="20"/>
                <w:szCs w:val="20"/>
                <w:color w:val="auto"/>
              </w:rPr>
            </w:pPr>
            <w:r>
              <w:rPr>
                <w:rFonts w:ascii="Arial" w:cs="Arial" w:eastAsia="Arial" w:hAnsi="Arial"/>
                <w:sz w:val="18"/>
                <w:szCs w:val="18"/>
                <w:color w:val="auto"/>
              </w:rPr>
              <w:t>288,865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balance of the amounts reported under the Non-Equity Incentive Plan Compensation column represents amounts earned in 2018 under grants made in 2016, 2017 and 2018 under the LTIP. These amounts were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60" w:type="dxa"/>
            <w:vAlign w:val="bottom"/>
            <w:gridSpan w:val="2"/>
          </w:tcPr>
          <w:p>
            <w:pPr>
              <w:jc w:val="center"/>
              <w:ind w:left="1736"/>
              <w:spacing w:after="0"/>
              <w:rPr>
                <w:sz w:val="20"/>
                <w:szCs w:val="20"/>
                <w:color w:val="auto"/>
              </w:rPr>
            </w:pPr>
            <w:r>
              <w:rPr>
                <w:rFonts w:ascii="Arial" w:cs="Arial" w:eastAsia="Arial" w:hAnsi="Arial"/>
                <w:sz w:val="14"/>
                <w:szCs w:val="14"/>
                <w:b w:val="1"/>
                <w:bCs w:val="1"/>
                <w:color w:val="auto"/>
                <w:w w:val="94"/>
              </w:rPr>
              <w:t>2018 Grant 1</w:t>
            </w:r>
            <w:r>
              <w:rPr>
                <w:rFonts w:ascii="Arial" w:cs="Arial" w:eastAsia="Arial" w:hAnsi="Arial"/>
                <w:sz w:val="12"/>
                <w:szCs w:val="12"/>
                <w:b w:val="1"/>
                <w:bCs w:val="1"/>
                <w:color w:val="auto"/>
                <w:w w:val="94"/>
              </w:rPr>
              <w:t>st</w:t>
            </w:r>
          </w:p>
        </w:tc>
        <w:tc>
          <w:tcPr>
            <w:tcW w:w="148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95"/>
              </w:rPr>
              <w:t>2017 Grant 2</w:t>
            </w:r>
            <w:r>
              <w:rPr>
                <w:rFonts w:ascii="Arial" w:cs="Arial" w:eastAsia="Arial" w:hAnsi="Arial"/>
                <w:sz w:val="12"/>
                <w:szCs w:val="12"/>
                <w:b w:val="1"/>
                <w:bCs w:val="1"/>
                <w:color w:val="auto"/>
                <w:w w:val="95"/>
              </w:rPr>
              <w:t>nd</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2016 Grant 3</w:t>
            </w:r>
            <w:r>
              <w:rPr>
                <w:rFonts w:ascii="Arial" w:cs="Arial" w:eastAsia="Arial" w:hAnsi="Arial"/>
                <w:sz w:val="12"/>
                <w:szCs w:val="12"/>
                <w:b w:val="1"/>
                <w:bCs w:val="1"/>
                <w:color w:val="auto"/>
                <w:w w:val="95"/>
              </w:rPr>
              <w:t>rd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Instalment</w:t>
            </w:r>
          </w:p>
        </w:tc>
        <w:tc>
          <w:tcPr>
            <w:tcW w:w="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Instalment</w:t>
            </w:r>
          </w:p>
        </w:tc>
        <w:tc>
          <w:tcPr>
            <w:tcW w:w="54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Instalment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gridSpan w:val="3"/>
            <w:vMerge w:val="continue"/>
          </w:tcPr>
          <w:p>
            <w:pPr>
              <w:spacing w:after="0"/>
              <w:rPr>
                <w:sz w:val="13"/>
                <w:szCs w:val="13"/>
                <w:color w:val="auto"/>
              </w:rPr>
            </w:pPr>
          </w:p>
        </w:tc>
        <w:tc>
          <w:tcPr>
            <w:tcW w:w="2760" w:type="dxa"/>
            <w:vAlign w:val="bottom"/>
            <w:gridSpan w:val="2"/>
          </w:tcPr>
          <w:p>
            <w:pPr>
              <w:jc w:val="center"/>
              <w:ind w:left="1736"/>
              <w:spacing w:after="0" w:line="158" w:lineRule="exact"/>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center"/>
              <w:ind w:left="436"/>
              <w:spacing w:after="0" w:line="158" w:lineRule="exact"/>
              <w:rPr>
                <w:sz w:val="20"/>
                <w:szCs w:val="20"/>
                <w:color w:val="auto"/>
              </w:rPr>
            </w:pPr>
            <w:r>
              <w:rPr>
                <w:rFonts w:ascii="Arial" w:cs="Arial" w:eastAsia="Arial" w:hAnsi="Arial"/>
                <w:sz w:val="14"/>
                <w:szCs w:val="14"/>
                <w:b w:val="1"/>
                <w:bCs w:val="1"/>
                <w:color w:val="auto"/>
                <w:w w:val="93"/>
              </w:rPr>
              <w:t>($)</w:t>
            </w:r>
          </w:p>
        </w:tc>
        <w:tc>
          <w:tcPr>
            <w:tcW w:w="1460" w:type="dxa"/>
            <w:vAlign w:val="bottom"/>
            <w:gridSpan w:val="2"/>
          </w:tcPr>
          <w:p>
            <w:pPr>
              <w:jc w:val="center"/>
              <w:ind w:left="456"/>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3"/>
                <w:szCs w:val="13"/>
                <w:color w:val="auto"/>
              </w:rPr>
            </w:pPr>
          </w:p>
        </w:tc>
        <w:tc>
          <w:tcPr>
            <w:tcW w:w="80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8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334,320</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399,100</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366,667</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1,100,087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134,838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168,299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169,199</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111,161</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76,003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94,863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85,366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88,275</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100" w:hanging="436"/>
        <w:spacing w:after="0" w:line="264"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Bryla, Mr. Pace, and Mr. Cappel receive benefits under the Pactiv Retirement Plan. In 2018, there was a decrease in the value of plan benefits for Mr. Pace and Mr. Cappel ($22,845 and $23,846, respectively), so these values are reported as $0. There was no aggregate earnings or interest on the Reynolds Services, Inc. Nonqualified Deferred Compensation Plan.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make contributions to the 401(k) plan and Reynolds Services, Inc. Nonqualified Deferred Compensation Plan. The applicable amounts for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2018 year were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Contributions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Contributions</w:t>
            </w:r>
          </w:p>
        </w:tc>
        <w:tc>
          <w:tcPr>
            <w:tcW w:w="8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401(k)</w:t>
            </w:r>
          </w:p>
        </w:tc>
        <w:tc>
          <w:tcPr>
            <w:tcW w:w="8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58"/>
        </w:trPr>
        <w:tc>
          <w:tcPr>
            <w:tcW w:w="4300" w:type="dxa"/>
            <w:vAlign w:val="bottom"/>
            <w:gridSpan w:val="3"/>
            <w:vMerge w:val="continue"/>
          </w:tcPr>
          <w:p>
            <w:pPr>
              <w:spacing w:after="0"/>
              <w:rPr>
                <w:sz w:val="13"/>
                <w:szCs w:val="13"/>
                <w:color w:val="auto"/>
              </w:rPr>
            </w:pPr>
          </w:p>
        </w:tc>
        <w:tc>
          <w:tcPr>
            <w:tcW w:w="3920" w:type="dxa"/>
            <w:vAlign w:val="bottom"/>
            <w:gridSpan w:val="2"/>
          </w:tcPr>
          <w:p>
            <w:pPr>
              <w:jc w:val="center"/>
              <w:ind w:left="2976"/>
              <w:spacing w:after="0" w:line="158" w:lineRule="exact"/>
              <w:rPr>
                <w:sz w:val="20"/>
                <w:szCs w:val="20"/>
                <w:color w:val="auto"/>
              </w:rPr>
            </w:pPr>
            <w:r>
              <w:rPr>
                <w:rFonts w:ascii="Arial" w:cs="Arial" w:eastAsia="Arial" w:hAnsi="Arial"/>
                <w:sz w:val="14"/>
                <w:szCs w:val="14"/>
                <w:b w:val="1"/>
                <w:bCs w:val="1"/>
                <w:color w:val="auto"/>
              </w:rPr>
              <w:t>($)</w:t>
            </w:r>
          </w:p>
        </w:tc>
        <w:tc>
          <w:tcPr>
            <w:tcW w:w="1880" w:type="dxa"/>
            <w:vAlign w:val="bottom"/>
            <w:gridSpan w:val="2"/>
          </w:tcPr>
          <w:p>
            <w:pPr>
              <w:jc w:val="center"/>
              <w:ind w:left="716"/>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30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22,000</w:t>
            </w: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21,446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68,414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36,689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benefits reported under All Other Compensation include group life insurance and wellness credits.</w:t>
      </w:r>
    </w:p>
    <w:p>
      <w:pPr>
        <w:spacing w:after="0" w:line="225"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Health and welfare benefits are not reported to the extent these benefits are generally available to all other salaried and non-union hourly employees.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Grants of Plan-Based Awards</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information concerning grants of plan-based awards made to the NEOs named in the 2018 Summary Compensation Table during our fiscal year ended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Non-Equity Incentive Plan Awards</w:t>
            </w:r>
          </w:p>
        </w:tc>
        <w:tc>
          <w:tcPr>
            <w:tcW w:w="0" w:type="dxa"/>
            <w:vAlign w:val="bottom"/>
          </w:tcPr>
          <w:p>
            <w:pPr>
              <w:spacing w:after="0"/>
              <w:rPr>
                <w:sz w:val="1"/>
                <w:szCs w:val="1"/>
                <w:color w:val="auto"/>
              </w:rPr>
            </w:pPr>
          </w:p>
        </w:tc>
      </w:tr>
      <w:tr>
        <w:trPr>
          <w:trHeight w:val="11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Grant Date</w:t>
            </w:r>
          </w:p>
        </w:tc>
        <w:tc>
          <w:tcPr>
            <w:tcW w:w="92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Threshold</w:t>
            </w:r>
          </w:p>
        </w:tc>
        <w:tc>
          <w:tcPr>
            <w:tcW w:w="110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Target</w:t>
            </w:r>
          </w:p>
        </w:tc>
        <w:tc>
          <w:tcPr>
            <w:tcW w:w="94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7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94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42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8"/>
              </w:rPr>
              <w:t>January 1, 2018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tcPr>
          <w:p>
            <w:pPr>
              <w:jc w:val="right"/>
              <w:spacing w:after="0"/>
              <w:rPr>
                <w:sz w:val="20"/>
                <w:szCs w:val="20"/>
                <w:color w:val="auto"/>
              </w:rPr>
            </w:pPr>
            <w:r>
              <w:rPr>
                <w:rFonts w:ascii="Arial" w:cs="Arial" w:eastAsia="Arial" w:hAnsi="Arial"/>
                <w:sz w:val="18"/>
                <w:szCs w:val="18"/>
                <w:color w:val="auto"/>
              </w:rPr>
              <w:t>141,163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564,650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1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1580" w:type="dxa"/>
            <w:vAlign w:val="bottom"/>
            <w:gridSpan w:val="2"/>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tcPr>
          <w:p>
            <w:pPr>
              <w:jc w:val="right"/>
              <w:spacing w:after="0"/>
              <w:rPr>
                <w:sz w:val="20"/>
                <w:szCs w:val="20"/>
                <w:color w:val="auto"/>
              </w:rPr>
            </w:pPr>
            <w:r>
              <w:rPr>
                <w:rFonts w:ascii="Arial" w:cs="Arial" w:eastAsia="Arial" w:hAnsi="Arial"/>
                <w:sz w:val="18"/>
                <w:szCs w:val="18"/>
                <w:color w:val="auto"/>
              </w:rPr>
              <w:t>79,568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318,270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1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 have been no equity-based compensation programs, and consequently there were no outstanding equity awards as of December 31, 2018. We intend to adopt, subject to the approval of our shareholders, the Equity Incentive Plan as described above in the section entitled “—Equity Incentive Plan” in connection with this offering.</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Pension Benefits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sets forth information with respect to each plan that provides for payments or other benefits at, following, or in connection with retirement.</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gridSpan w:val="2"/>
            <w:vMerge w:val="restart"/>
          </w:tcPr>
          <w:p>
            <w:pPr>
              <w:jc w:val="center"/>
              <w:ind w:left="457"/>
              <w:spacing w:after="0"/>
              <w:rPr>
                <w:sz w:val="20"/>
                <w:szCs w:val="20"/>
                <w:color w:val="auto"/>
              </w:rPr>
            </w:pPr>
            <w:r>
              <w:rPr>
                <w:rFonts w:ascii="Arial" w:cs="Arial" w:eastAsia="Arial" w:hAnsi="Arial"/>
                <w:sz w:val="14"/>
                <w:szCs w:val="14"/>
                <w:b w:val="1"/>
                <w:bCs w:val="1"/>
                <w:color w:val="auto"/>
                <w:w w:val="92"/>
              </w:rPr>
              <w:t>Number of Years</w:t>
            </w:r>
          </w:p>
        </w:tc>
        <w:tc>
          <w:tcPr>
            <w:tcW w:w="1620" w:type="dxa"/>
            <w:vAlign w:val="bottom"/>
            <w:gridSpan w:val="2"/>
          </w:tcPr>
          <w:p>
            <w:pPr>
              <w:jc w:val="center"/>
              <w:ind w:left="497"/>
              <w:spacing w:after="0"/>
              <w:rPr>
                <w:sz w:val="20"/>
                <w:szCs w:val="20"/>
                <w:color w:val="auto"/>
              </w:rPr>
            </w:pPr>
            <w:r>
              <w:rPr>
                <w:rFonts w:ascii="Arial" w:cs="Arial" w:eastAsia="Arial" w:hAnsi="Arial"/>
                <w:sz w:val="14"/>
                <w:szCs w:val="14"/>
                <w:b w:val="1"/>
                <w:bCs w:val="1"/>
                <w:color w:val="auto"/>
                <w:w w:val="91"/>
              </w:rPr>
              <w:t>Present Value of</w:t>
            </w:r>
          </w:p>
        </w:tc>
        <w:tc>
          <w:tcPr>
            <w:tcW w:w="6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2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Credited Service</w:t>
            </w:r>
          </w:p>
        </w:tc>
        <w:tc>
          <w:tcPr>
            <w:tcW w:w="6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6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58"/>
        </w:trPr>
        <w:tc>
          <w:tcPr>
            <w:tcW w:w="4320" w:type="dxa"/>
            <w:vAlign w:val="bottom"/>
            <w:gridSpan w:val="3"/>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580" w:type="dxa"/>
            <w:vAlign w:val="bottom"/>
            <w:gridSpan w:val="2"/>
          </w:tcPr>
          <w:p>
            <w:pPr>
              <w:jc w:val="center"/>
              <w:ind w:left="457"/>
              <w:spacing w:after="0" w:line="158" w:lineRule="exact"/>
              <w:rPr>
                <w:sz w:val="20"/>
                <w:szCs w:val="20"/>
                <w:color w:val="auto"/>
              </w:rPr>
            </w:pPr>
            <w:r>
              <w:rPr>
                <w:rFonts w:ascii="Arial" w:cs="Arial" w:eastAsia="Arial" w:hAnsi="Arial"/>
                <w:sz w:val="14"/>
                <w:szCs w:val="14"/>
                <w:b w:val="1"/>
                <w:bCs w:val="1"/>
                <w:color w:val="auto"/>
                <w:w w:val="93"/>
              </w:rPr>
              <w:t>(#)</w:t>
            </w:r>
          </w:p>
        </w:tc>
        <w:tc>
          <w:tcPr>
            <w:tcW w:w="1620" w:type="dxa"/>
            <w:vAlign w:val="bottom"/>
            <w:gridSpan w:val="2"/>
          </w:tcPr>
          <w:p>
            <w:pPr>
              <w:jc w:val="center"/>
              <w:ind w:left="517"/>
              <w:spacing w:after="0" w:line="158" w:lineRule="exact"/>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508"/>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2100" w:type="dxa"/>
            <w:vAlign w:val="bottom"/>
            <w:shd w:val="clear" w:color="auto" w:fill="CCEEFF"/>
          </w:tcPr>
          <w:p>
            <w:pPr>
              <w:ind w:left="92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100" w:type="dxa"/>
            <w:vAlign w:val="bottom"/>
          </w:tcPr>
          <w:p>
            <w:pPr>
              <w:ind w:left="9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Pactiv Retirement Plan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60,467</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Pactiv Retirement Plan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332,304</w:t>
            </w:r>
          </w:p>
        </w:tc>
        <w:tc>
          <w:tcPr>
            <w:tcW w:w="6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Pactiv Retirement Plan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192,376</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Mr. Bryla, Mr. Pace and Mr. Cappel have legacy entitlements under the Pactiv Retirement Plan, an ERISA-qualified defined benefit plan maintained by Pactiv.</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Nonqualified Deferred Compensation</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information with respect to each defined contribution or other plan that provides for the deferral of compensation on a basis that is not tax-qualified.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Reynolds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Consumer</w:t>
            </w: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24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Aggregate</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Products</w:t>
            </w: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780" w:type="dxa"/>
            <w:vAlign w:val="bottom"/>
            <w:gridSpan w:val="2"/>
          </w:tcPr>
          <w:p>
            <w:pPr>
              <w:jc w:val="center"/>
              <w:ind w:left="1836"/>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7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Contributions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5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46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Last FY</w:t>
            </w:r>
          </w:p>
        </w:tc>
        <w:tc>
          <w:tcPr>
            <w:tcW w:w="24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58"/>
        </w:trPr>
        <w:tc>
          <w:tcPr>
            <w:tcW w:w="3140" w:type="dxa"/>
            <w:vAlign w:val="bottom"/>
            <w:gridSpan w:val="3"/>
            <w:vMerge w:val="continue"/>
          </w:tcPr>
          <w:p>
            <w:pPr>
              <w:spacing w:after="0"/>
              <w:rPr>
                <w:sz w:val="13"/>
                <w:szCs w:val="13"/>
                <w:color w:val="auto"/>
              </w:rPr>
            </w:pPr>
          </w:p>
        </w:tc>
        <w:tc>
          <w:tcPr>
            <w:tcW w:w="2780" w:type="dxa"/>
            <w:vAlign w:val="bottom"/>
            <w:gridSpan w:val="2"/>
          </w:tcPr>
          <w:p>
            <w:pPr>
              <w:jc w:val="center"/>
              <w:ind w:left="1836"/>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356"/>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106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Lance Mitchell</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180,236</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97,000</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(27,649)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1,127,087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562,658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68,414</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(34,089)</w:t>
            </w:r>
          </w:p>
        </w:tc>
        <w:tc>
          <w:tcPr>
            <w:tcW w:w="24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46,158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36,689</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(27,268)</w:t>
            </w:r>
          </w:p>
        </w:tc>
        <w:tc>
          <w:tcPr>
            <w:tcW w:w="24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following table sets forth the expected benefits to be received by each NEO in each of the following termination scenarios pursuant to RGHL Group’s informal policies and practices. This table assumes a termination date of December 31, 2018, the last business day of the year. The receipt of benefits is generally subject to executing and not revoking a release of claims. Other relevant assumptions and explanations are set forth in the footnotes following the table.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540" w:type="dxa"/>
            <w:vAlign w:val="bottom"/>
            <w:gridSpan w:val="4"/>
          </w:tcPr>
          <w:p>
            <w:pPr>
              <w:ind w:left="4200"/>
              <w:spacing w:after="0"/>
              <w:rPr>
                <w:sz w:val="20"/>
                <w:szCs w:val="20"/>
                <w:color w:val="auto"/>
              </w:rPr>
            </w:pPr>
            <w:r>
              <w:rPr>
                <w:rFonts w:ascii="Arial" w:cs="Arial" w:eastAsia="Arial" w:hAnsi="Arial"/>
                <w:sz w:val="14"/>
                <w:szCs w:val="14"/>
                <w:b w:val="1"/>
                <w:bCs w:val="1"/>
                <w:color w:val="auto"/>
                <w:w w:val="98"/>
              </w:rPr>
              <w:t>Termination 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Cause or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Whether or Not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Change in Control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Lance Mitchell</w:t>
            </w:r>
          </w:p>
        </w:tc>
        <w:tc>
          <w:tcPr>
            <w:tcW w:w="4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Cash(1)</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Benefits(2)</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Michael Graham</w:t>
            </w: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Cash(1)</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Benefits(2)</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Bryla</w:t>
            </w:r>
          </w:p>
        </w:tc>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Cash(1)</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Benefits(2)</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Stephan Pace</w:t>
            </w: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Cash(1)</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Benefits(2)</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Craig Cappel</w:t>
            </w:r>
          </w:p>
        </w:tc>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Cash(1)</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Benefits(2)</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140" w:hanging="436"/>
        <w:spacing w:after="0" w:line="25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Under RGHL Group’s practices, in connection with a qualifying termination of employment, the NEOs would have received severance payments equivalent to 12 months’ base salary.</w:t>
      </w:r>
    </w:p>
    <w:p>
      <w:pPr>
        <w:spacing w:after="0" w:line="1" w:lineRule="exact"/>
        <w:rPr>
          <w:rFonts w:ascii="Arial" w:cs="Arial" w:eastAsia="Arial" w:hAnsi="Arial"/>
          <w:sz w:val="18"/>
          <w:szCs w:val="18"/>
          <w:color w:val="auto"/>
        </w:rPr>
      </w:pPr>
    </w:p>
    <w:p>
      <w:pPr>
        <w:ind w:left="640" w:right="80" w:hanging="436"/>
        <w:spacing w:after="0" w:line="261"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connection with a qualifying termination of employment, the NEOs would have continued to receive benefits under (or benefits comparable to) RGHL’s medical, dental, vision, life and accidental death and disability programs.</w:t>
      </w:r>
    </w:p>
    <w:p>
      <w:pPr>
        <w:spacing w:after="0" w:line="184"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July 2019, Reynolds Consumer Products LLC entered into employment agreements with Messrs. Mitchell, Graham, Pace and Cappel that provide for payments upon a termination of employment.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consequences of their termination of employment, whether or not in connection with a “change in control,” are described under the heading “— Employment and Other Agreements” below.</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Employment and Other Agreements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entered into employment agreements with Messrs. Mitchell, Graham, Cappel and Pace, which are summarized below. Messrs. Mitchell, Graham, Pace and Cappel also all entered into agreements dated July 8, 2019, under which they are entitled to transaction bonuses if this offering is completed or if there is a sale of the business, each a “Triggering Event,” by June 30, 2020. Subject to not voluntarily leaving their employment prior to the payment date, 50% of the transaction bonus (the amount of which varies based upon whether the Triggering Event is the closing of this offering or a sale of the business) will be paid 30 days after the applicable Triggering Event and the remaining 50% will be paid six months after the applicable Triggering Event.</w:t>
      </w:r>
    </w:p>
    <w:p>
      <w:pPr>
        <w:spacing w:after="0" w:line="193"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Messrs. Mitchell, Graham, Pace and Cappel also entered into retention agreements wherein they are eligible to receive both cash and restricted stock units subject to certain vesting requirements as described more fully above in the section entitled “—Executive Retention Plan.”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Mitchell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Mr. Mitchell’s employment agreement, he receives a base salary of $1,550,000 and a target annual incentive opportunity equal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115% of his base salary.</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Mr. Mitchell is terminated without “cause,” as such term is defined in his employment agreement, he is entitled to 12 months of his base salary plus a prorated target annual incentive. In addition, if within 12 months following a Sale of Business, Mr. Mitchell is terminated without cause or resigns following a material reduction in his remuneration or scope of duties, Mr. Mitchell is entitled to 24 months of base salary plus a prorated target annual incentive. Mr. Mitchell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Mr. Mitchell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Graham</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Mr. Graham’s employment agreement, he receives a base salary of $798,716 and a target annual incentive opportunity equal to 60% of his base salary.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Mr. Graham is terminated without “cause,” as such term is defined in his employment agreement, he is entitled to 12 months of his base salary. In addition, if within 12 months following a Sale of Business, Mr. Graham is terminated without cause or resigns following a material reduction in his remuneration or scope of duties, Mr. Graham is entitled to 24 months of base salary plus a prorated target annual incentive. Mr. Graham and his eligible dependents will also be eligible for COBRA continuation coverage for 12 months following a termination without cause whether or not in connection with a Sale of Business.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Mr. Graham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Pace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Mr. Pace’s employment agreement, he receives a base salary of $450,204 and a target annual incentive opportunity equal to 60% of his base salary.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Mr. Pace is terminated without “cause,” as such term is defined in his employment agreement, he is entitled to 12 months of his base salary. In addition, if within 12 months following a Sale of Business, Mr. Pace is terminated without cause or resigns following a material reduction in his remuneration or scope of duties, Mr. Pace is entitled to 24 months of base salary plus a prorated target annual incentive. Mr. Pace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Mr. Pace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Cappel</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Mr. Cappel’s employment agreement, he receives a base salary of $463,500 and a target annual incentive opportunity equal to 50% of his base salary.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If Mr. Cappel is terminated without “cause,” as such term is defined in his employment agreement, he is entitled to 12 months of his base salary. In addition, if within 12 months following a Sale of Business, Mr. Cappel is terminated without cause or resigns following a material reduction in his remuneration or scope of duties, Mr. Cappel is entitled to 24 months of base salary plus a prorated target annual incentive. Mr. Cappel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Mr. Cappel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2018 Director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directors did not receive any additional compensation for their service in their capacity as a director in the year ended December 31, 2018.</w:t>
      </w:r>
    </w:p>
    <w:p>
      <w:pPr>
        <w:spacing w:after="0" w:line="24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Following the closing of this offering, we intend to implement a new director compensation program, under which our independent non-employee directors will be eligible to receive the following annual retainers and annual equity compensation grants:</w:t>
      </w:r>
    </w:p>
    <w:p>
      <w:pPr>
        <w:spacing w:after="0" w:line="76" w:lineRule="exact"/>
        <w:rPr>
          <w:sz w:val="20"/>
          <w:szCs w:val="20"/>
          <w:color w:val="auto"/>
        </w:rPr>
      </w:pPr>
    </w:p>
    <w:p>
      <w:pPr>
        <w:jc w:val="center"/>
        <w:ind w:left="5580" w:right="320" w:hanging="4944"/>
        <w:spacing w:after="0" w:line="449" w:lineRule="auto"/>
        <w:tabs>
          <w:tab w:leader="none" w:pos="961"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 $230,000, of which $100,000 will be an annual cash retainer and $130,000 will be in the form of an annual grant of RSUs</w:t>
      </w:r>
      <w:r>
        <w:rPr>
          <w:rFonts w:ascii="Arial" w:cs="Arial" w:eastAsia="Arial" w:hAnsi="Arial"/>
          <w:sz w:val="18"/>
          <w:szCs w:val="18"/>
          <w:i w:val="1"/>
          <w:iCs w:val="1"/>
          <w:color w:val="auto"/>
        </w:rPr>
        <w:t xml:space="preserve"> </w:t>
      </w: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360" w:hanging="324"/>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Chairman of the Board</w:t>
      </w:r>
      <w:r>
        <w:rPr>
          <w:rFonts w:ascii="Arial" w:cs="Arial" w:eastAsia="Arial" w:hAnsi="Arial"/>
          <w:sz w:val="18"/>
          <w:szCs w:val="18"/>
          <w:color w:val="auto"/>
        </w:rPr>
        <w:t>: $115,000, of which $50,000 will be an annual cash retainer and $65,000 will be in the form of an annual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RSUs, in addition to the $230,000 in board member payments and grants described above</w:t>
      </w:r>
    </w:p>
    <w:p>
      <w:pPr>
        <w:spacing w:after="0" w:line="75" w:lineRule="exact"/>
        <w:rPr>
          <w:rFonts w:ascii="Arial" w:cs="Arial" w:eastAsia="Arial" w:hAnsi="Arial"/>
          <w:sz w:val="18"/>
          <w:szCs w:val="18"/>
          <w:color w:val="auto"/>
        </w:rPr>
      </w:pPr>
    </w:p>
    <w:p>
      <w:pPr>
        <w:ind w:left="960" w:right="500" w:hanging="324"/>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Chairs of our Audit Committee and our Compensation, Nominating and Corporate Governance Committee</w:t>
      </w:r>
      <w:r>
        <w:rPr>
          <w:rFonts w:ascii="Arial" w:cs="Arial" w:eastAsia="Arial" w:hAnsi="Arial"/>
          <w:sz w:val="18"/>
          <w:szCs w:val="18"/>
          <w:color w:val="auto"/>
        </w:rPr>
        <w:t>: $20,000, as an annual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retainer</w:t>
      </w:r>
    </w:p>
    <w:p>
      <w:pPr>
        <w:spacing w:after="0" w:line="75"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Members of our Audit Committee and our Compensation, Nominating and Corporate Governance Committee (other than the Chairman of the Board)</w:t>
      </w:r>
      <w:r>
        <w:rPr>
          <w:rFonts w:ascii="Arial" w:cs="Arial" w:eastAsia="Arial" w:hAnsi="Arial"/>
          <w:sz w:val="18"/>
          <w:szCs w:val="18"/>
          <w:color w:val="auto"/>
        </w:rPr>
        <w:t>: $10,000, as an annual cash retainer</w:t>
      </w:r>
    </w:p>
    <w:p>
      <w:pPr>
        <w:spacing w:after="0" w:line="17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RSUs will be granted pursuant to the Incentive Plan. Directors who are also full-time officers or employees of the Company will receive no additional compensation for serving as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also reimburse all of our directors for their reasonable expenses incurred in attending meetings of our board of directors or committees.</w:t>
      </w:r>
    </w:p>
    <w:p>
      <w:pPr>
        <w:spacing w:after="0" w:line="24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directors will also be entitled to indemnification, as further described in “Description of Capital Stock—Limitation of Liability of Directors and Officers.”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180" w:hanging="20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180" w:right="160" w:hanging="20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Compensation.”</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Historical Transactions with RGHL Group</w:t>
      </w:r>
    </w:p>
    <w:p>
      <w:pPr>
        <w:spacing w:after="0" w:line="229"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Prior to this offering, we have operated as part of RGHL Group’s broader corporate organization rather than as a stand-alone public company. RGHL Group has performed or supported various corporate services for us, and we have engaged in various transactions with RGHL Group. The previous arrangements we had with RGHL Group are described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Warehousing and Freight Arrangements with Pactiv</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have arrangements with Pactiv pursuant to which we sell products to Pactiv, primarily aluminum foil and aluminum foil containers. For the years ended December 31, 2018, 2017 and 2016, revenues from products sold to Pactiv were $161 million, $148 million and $143 million, respectively. In addition, we have arrangements whereby Pactiv sells products to us, primarily tableware. For the years ended December 31, 2018, 2017 and 2016, the costs of products purchased from Pactiv were $511 million, $492 million and $494 million, respectively.</w:t>
      </w:r>
    </w:p>
    <w:p>
      <w:pPr>
        <w:spacing w:after="0" w:line="17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have arrangements to store certain of our finished goods in warehouses leased and operated by Pactiv, and we have stored certain of Pactiv’s finished goods in our warehouses. In addition, Pactiv has historically provided us with freight services, including scheduling and coordinating truck deliveries, managing carrier agreements and relationships, claims management and other related freight services, such as mixing and loading our products, together with products made by Pactiv for us, for shipment. For the years ended December 31, 2018, 2017 and 2016, Pactiv charged us freight and warehousing costs of $143 million, $120 million and $117 million, respectively. For the years ended December 31, 2018, 2017 and 2016, we charged Pactiv warehousing costs of $2 million each year.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Defined Benefit Plans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Prior to December 1, 2016, certain of our employees participated in a defined benefit plan that we sponsored. On November 30, 2016, this plan was merged into another defined benefit plan within RGHL Group and the future obligations under this plan became the responsibility of RGHL Group. As a result of this merger, we recorded a settlement loss of $9 million, which represented the release of the accumulated other comprehensive income balance attributable to the plan obligations as of the date of the merger.</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Starting December 1, 2016, certain of our employees participated in a defined benefit plan sponsored by RGHL Group. We recorded expense of $3 million in cost of sales for each of the years ended December 31, 2018 and 2017 relating to our employees’ participation in this RGHL Group sponsored plan.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Administrative Services and Lease</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historically relied on RGHL Group to provide certain administrative services, including executive management, human resources, procurement, finance, legal, tax and information technology services and use of space in our headquarters building in Lake Forest, Illinois. Total costs allocated to us for these functions were $40 million, $37 million and $39 million for the years ended December 31, 2018, 2017 and 2016, respectively. These amounts also include allocations of a portion of a related party management fee incurred by RGHL Group of $10 million, $10 million and $13 million for the years ended December 31, 2018, 2017 and 2016, respectively.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Intercompany Indebtedness</w:t>
      </w:r>
    </w:p>
    <w:p>
      <w:pPr>
        <w:spacing w:after="0" w:line="121"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We have entered into various interest-bearing lending arrangements with RGHL Group. During the years ended December 31, 2018, 2017 and 2016 we incurred borrowings of $338 million, $416 million and $634 million, respectively, from RGHL Group and repaid borrowings of $314 million, $456 million and $261 million, respectively. During the years ended December 31, 2018, 2017 and 2016 we advanced loans of $537 million,</w:t>
      </w:r>
    </w:p>
    <w:p>
      <w:pPr>
        <w:ind w:left="200" w:right="60"/>
        <w:spacing w:after="0" w:line="255" w:lineRule="auto"/>
        <w:rPr>
          <w:sz w:val="20"/>
          <w:szCs w:val="20"/>
          <w:color w:val="auto"/>
        </w:rPr>
      </w:pPr>
      <w:r>
        <w:rPr>
          <w:rFonts w:ascii="Arial" w:cs="Arial" w:eastAsia="Arial" w:hAnsi="Arial"/>
          <w:sz w:val="18"/>
          <w:szCs w:val="18"/>
          <w:color w:val="auto"/>
        </w:rPr>
        <w:t>$508 million and $650 million, respectively, to RGHL Group and received repayments of $65 million, $200 million and $109 million, respectively. In addition to these amounts, during the year ended December 31, 2016, $162 million of non-current related party receivables was settled by offsetting the balance against our current income taxes payable.</w:t>
      </w:r>
    </w:p>
    <w:p>
      <w:pPr>
        <w:spacing w:after="0" w:line="19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During the year ended December 31, 2016, we incurred $1,350 million of additional borrowings under the RGHL Group Credit Agreement. The cash associated with these additional borrowings, net of $16 million in non-lender fees, was received directly by RGHL Group which resulted in an offsetting reduction in related party borrowings owing to RGHL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 average contractual interest rate related to our related party borrowings as of December 31, 2018, 2017 and 2016, was 6.00%,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6.28% and 6.79%, respectively. The weighted average contractual interest rate related to our non-current related party receivables as of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2017 and 2016, was 2.92%, 1.67% and 0.95%, respectively.</w:t>
      </w:r>
    </w:p>
    <w:p>
      <w:pPr>
        <w:spacing w:after="0" w:line="21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June 2019, related party receivables were used to reduce the balances outstanding under various related party borrowings. As a result, prior to the Corporate Reorganization, we had borrowings due to RGHL Group, which as of June 30, 2019 were $2,228 million, bear interest at rates of 1% to 3% per annum and mature in 2022 and thereafter.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Contributions of Property, Plant and Equipment</w:t>
      </w:r>
    </w:p>
    <w:p>
      <w:pPr>
        <w:spacing w:after="0" w:line="121"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During the years ended December 31, 2018, 2017, and 2016, property, plant and equipment related to our Hefty Tableware segment of $17 million, $5 million and $4 million, respectively, were contributed to us by RGHL Group.</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Transactions to be Entered into in Connection with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Transition Services Agreements</w:t>
      </w:r>
    </w:p>
    <w:p>
      <w:pPr>
        <w:spacing w:after="0" w:line="2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we will enter into the RGHI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These services will be consistent with administrative services provided to us by RGHL Group prior to this offering and the charges will be at forecasted cost or current cost plus margin. In addition, we will provide certain services to RGHL Group under the RGHI TSA, consistent with services provided by us to RGHL Group prior to this offering, which will also be charged at current cost plus margin. Additionally, we have agreed that at each other’s request, certain tax, financial and other information will be provided to enable preparation of tax and financial reports of the respective parties and for other business purposes.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Also, in connection with this offering, we will enter into the Rank TSA whereby, upon our request, Rank will provide certain administrative services to us, including financial reporting, consulting and compliance, insurance procurement and human resources support, legal and corporate secretarial support and related services, to be charged at an agreed hourly rate. In addition, we will provide, at Rank’s request, certain historical tax and financial information to enable Rank to prepare certain of its tax and financial reports. These services will also be charged at an agreed hourly rate.</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services provided under the RGHI TSA and the Rank TSA (excluding the provision of information) will terminate within 24 months, as specified in each of these agreements. The party receiving services may terminate certain specified services by giving prior written notice in accordance with the terms of the RGHI TSA and the Rank TSA, as applicable.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Plant and Asset Transfers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Prior to the closing of this offering, the ownership or lease of certain plants, warehouses, equipment (including manufacturing lines), information</w:t>
      </w:r>
    </w:p>
    <w:p>
      <w:pPr>
        <w:spacing w:after="0" w:line="46"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technology assets, and inventory, will be transferred to us from RGHL Group at net book value in an amount totaling $ million. Further, we will be transferring to RGHL Group certain equipment (including manufacturing lines). While the assets have been reflected in our historical combined financial statements included elsewhere in this prospectus, the cash payable to RGHL Group for these transfers will remain on our balance sheet until the transfers become effective on November 1, 2019.</w:t>
      </w:r>
    </w:p>
    <w:p>
      <w:pPr>
        <w:spacing w:after="0" w:line="19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connection with the plant and asset transfers, we will enter into a transition and support agreement for our Red Bluff, California and Huntersville, North Carolina facilities whereby Pactiv will provide certain services to us, including tooling and engineering support, financial services, procurement services, and environmental, health and safety services, to be charged at an agreed rate.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 with Pactiv</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lease our corporate headquarters in Lake Forest, IL from Pactiv. We occupy approximately 70,000 square feet at market rent with a term of ten years, with one ten year renewal option. We also lease approximately 26,000 square feet in Pactiv’s Canandaigua, NY facility for certain research and development activities. The Canandaigua lease is at market rent and has a term of five years, provided we have the right to terminate the lease on six months’ notice.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Warehousing and Freight Agreements with Pactiv</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will enter into supply agreements to continue selling products to and buying products from Pactiv, as described above. These agreements will expire on December 31, 2024.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will enter into a warehousing and freight services agreement with Pactiv to continue storing many of our finished goods in warehouses operated by Pactiv and to provide certain freight services for shipments from our plants to our warehouses (including Pactiv warehouses) and from our warehouses to our customers. The term of the warehousing services under the agreement will vary by location. The term of the freight services under the agreement is for approximately three years.</w:t>
      </w:r>
    </w:p>
    <w:p>
      <w:pPr>
        <w:spacing w:after="0" w:line="18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prices and other terms of these agreements were negotiated on what we believe to be an arm’s-length basis. Upon the expiration of these agreements we will be required to renegotiate such agreements with Pactiv 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mutually agreeable terms, or enter into other arrangements for such shared space or services (either by performing such services through our employees or contracting with other providers) or for the supply or sale of such products.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Allocation of taxes</w:t>
      </w:r>
    </w:p>
    <w:p>
      <w:pPr>
        <w:spacing w:after="0" w:line="13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connection with the distributions to be effected as part of the Corporate Reorganization, we, RGHL and RGHI will enter into the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 In general, we will be responsible for any U.S. federal, state, local or foreign taxes (and any related interest, penalties or audit adjustments) (i) imposed with respect to tax returns that include only us and/or any of our subsidiaries and (ii) imposed with respect to tax returns filed on a consolidated, combined, unitary or similar basis that include both us and/or any of our subsidiaries, on the one hand, and a member of RGHL Group, on the other hand, in each case, to the extent such taxes are attributable to our businesses for any periods or portions thereof after the closing of this offering.</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party’s obligations under the Tax Matters Agreement will be limited in amount or subject to any cap. The Tax Matters Agreement will also assign responsibilities for administrative matters, such as the filing of returns, payment of taxes due, retention of records and conduct of audits, examinations or similar proceedings. In addition, the Tax Matters Agreement will provide for cooperation and information sharing with respect to tax matters.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RGHL Group will generally be responsible for preparing any tax return that includes a member of RGHL Group, including those that also include us and/or any of our subsidiaries. We will generally be responsible for preparing and filing any tax returns that include only us and/or any of our subsidiaries that relate to a period following the Corporate Reorganization.</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party responsible for preparing any tax return will generally have primary authority to control tax contests related to any such tax return. We will generally have exclusive authority to control tax contests with respect to tax returns that include only us and/or any of our subsidiaries that relate to a period following the Corporate Reorganization.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Preservation of the tax-free status of the distributions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Pursuant to the Tax Matters Agreement, we will also agree to certain covenants that contain restrictions intended to preserve the tax-free status of the distributions to be effected as part of the Corporate Reorganization. We may take certain actions prohibited by these covenants only if we obtain and provide to RGHL a ruling from the IRS or an opinion from a Tax advisor recognized as expert in federal income Tax and acceptable to RGHL in its sole discretion, in each case, to the effect that such action should not jeopardize the tax-free status of these transactions, or if we obtain prior written consent of RGHL, in its sole and absolute discretion, waiving such requirement. We will be barred from taking any action, or failing to take any action, where such action or failure to act adversely affects or could reasonably be expected to adversely affect the tax-free status of these distributions, for all relevant time periods. In addition, during the time period ending two years after the date of the distributions to be effected as part of the Corporate Reorganization, these covenants will include specific restrictions on our:</w:t>
      </w:r>
    </w:p>
    <w:p>
      <w:pPr>
        <w:spacing w:after="0" w:line="84" w:lineRule="exact"/>
        <w:rPr>
          <w:sz w:val="20"/>
          <w:szCs w:val="20"/>
          <w:color w:val="auto"/>
        </w:rPr>
      </w:pPr>
    </w:p>
    <w:p>
      <w:pPr>
        <w:ind w:left="960" w:hanging="324"/>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discontinuing the active conduct of our trade or business;</w:t>
      </w:r>
    </w:p>
    <w:p>
      <w:pPr>
        <w:spacing w:after="0" w:line="130" w:lineRule="exact"/>
        <w:rPr>
          <w:rFonts w:ascii="Arial" w:cs="Arial" w:eastAsia="Arial" w:hAnsi="Arial"/>
          <w:sz w:val="18"/>
          <w:szCs w:val="18"/>
          <w:color w:val="auto"/>
        </w:rPr>
      </w:pPr>
    </w:p>
    <w:p>
      <w:pPr>
        <w:ind w:left="960" w:right="80" w:hanging="324"/>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issuance or sale of stock or other securities (including securities convertible into our stock but excluding certain compensatory arrangements) in excess of 45% of our then-outstanding shares of common stock, in the aggregate;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right="120" w:hanging="324"/>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amending our certificate of incorporation (or other organizational documents) or taking any other action, whether through a stockholder vote or otherwise, affecting the voting rights of our common stock;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entering into certain corporate transactions that could jeopardize the tax-free status of the distributions.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will generally agree to indemnify members of RGHL Group against any and all tax-related liabilities incurred by them relating to these distributions to the extent caused by any action undertaken by us. This indemnification will apply even if RGHL has permitted us to take an action that would otherwise have been prohibited under the tax-related covenants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connection with this offering, we will enter into a stockholders agreement with PFL. Among other things, the stockholders agreement will provide PFL with the right to nominate a certain number of directors to our board of directors, so long as the Hart Entities beneficially own at least 10% of the outstanding shares of our common stock. The stockholders agreement will also provide PFL with the ability to assign its board nomination and other rights to Permitted Assigns at any time.</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stockholders agreement will provide that, subject to compliance with applicable law and Nasdaq rules, for so long as the Hart Entities beneficially own at least 50% of our common stock then outstanding, PFL shall be entitled to nominate the total number of directors comprising the entire board of directors; for so long as the Hart Entities beneficially own at least 40%, but less than 50%, of our common stock then outstanding, PFL shall be entitled to nominate a majority of directors to our board of directors; for so long as the Hart Entities beneficially own at least 30%, but less than 40%, of our common stock then outstanding, PFL shall be entitled to nominate 40% of the directors to our board of directors; for so long as the Hart Entities beneficially own at least 20%, but less than 30%, of our common stock then outstanding, PFL shall be entitled to nominate 25% of the directors to our board of directors; and for so long as the Hart Entities beneficially own at least 10%, but less than 20%, of our common stock then outstanding, PFL shall be entitled to nominate 10% of the directors to our board of directors. For purposes of calculating the number of directors that PFL is entitled to nominate pursuant to the formula outlined above, any fractional amounts would be rounded up to the nearest whole number and the calculation would be made on a pro forma basis, taking into account any increase in the size of our board of directors. In the case of a vacancy on our board of directors created by the removal or resignation of an individual selected for nomination by PFL, the stockholders agreement will require us to nominate another individual selected by PFL.</w:t>
      </w:r>
    </w:p>
    <w:p>
      <w:pPr>
        <w:spacing w:after="0" w:line="18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the stockholders agreement will provide that for so long as the Hart Entities beneficially own at least 10% of the outstanding shares of our common stock, PFL is entitled to nominate, pursuant to the formula outlined above, members of the compensation, nominating and corporate governance committee and the audit committee of our board of directors, except to the extent that such membership would violate applicable securities laws or rules.</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rights granted to PFL to nominate directors are additive to and not intended to limit in any way the rights that PFL may have to nominate, elect or remove our directors under our certificate of incorporation, bylaws or Delaware law.</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Policies and Procedures for Transactions with Related Parties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this offering, we have adopted a policy that our executive officers, directors, nominees for election as a director, beneficial owners of 5% or more of our common stock and any members of the immediate family of any of the foregoing persons are not permitted to enter into a related party transaction with us without the approval or ratification of a designated committee of our board of directors (which will initially be the audit committee) or other committee designated by our board of directors made up solely of independent directors. Any request for us to enter into a transaction with an executive officer, director, nominee for election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as a director, beneficial owner of 5% or more of our common stock or any member of the immediate family of any of the foregoing persons, in which the amount involved exceeds $120,000 and such person would have a direct or indirect interest, must be presented to our audit committee or other committee of independent directors for review to determine whether the related party involved has a direct or indirect material interest in the transaction. In reviewing any such proposal, our audit committee or other committee of independent directors are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2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940" w:type="dxa"/>
            <w:vAlign w:val="bottom"/>
          </w:tcPr>
          <w:p>
            <w:pPr>
              <w:ind w:left="3080"/>
              <w:spacing w:after="0"/>
              <w:rPr>
                <w:sz w:val="20"/>
                <w:szCs w:val="20"/>
                <w:color w:val="auto"/>
              </w:rPr>
            </w:pPr>
            <w:r>
              <w:rPr>
                <w:rFonts w:ascii="Arial" w:cs="Arial" w:eastAsia="Arial" w:hAnsi="Arial"/>
                <w:sz w:val="18"/>
                <w:szCs w:val="18"/>
                <w:b w:val="1"/>
                <w:bCs w:val="1"/>
                <w:color w:val="auto"/>
              </w:rPr>
              <w:t>PRINCIPAL STOCKHOLDERS</w:t>
            </w:r>
          </w:p>
        </w:tc>
        <w:tc>
          <w:tcPr>
            <w:tcW w:w="2920" w:type="dxa"/>
            <w:vAlign w:val="bottom"/>
          </w:tcPr>
          <w:p>
            <w:pPr>
              <w:spacing w:after="0"/>
              <w:rPr>
                <w:sz w:val="24"/>
                <w:szCs w:val="24"/>
                <w:color w:val="auto"/>
              </w:rPr>
            </w:pPr>
          </w:p>
        </w:tc>
      </w:tr>
      <w:tr>
        <w:trPr>
          <w:trHeight w:val="418"/>
        </w:trPr>
        <w:tc>
          <w:tcPr>
            <w:tcW w:w="8300" w:type="dxa"/>
            <w:vAlign w:val="bottom"/>
            <w:gridSpan w:val="2"/>
          </w:tcPr>
          <w:p>
            <w:pPr>
              <w:ind w:left="640"/>
              <w:spacing w:after="0"/>
              <w:rPr>
                <w:sz w:val="20"/>
                <w:szCs w:val="20"/>
                <w:color w:val="auto"/>
              </w:rPr>
            </w:pPr>
            <w:r>
              <w:rPr>
                <w:rFonts w:ascii="Arial" w:cs="Arial" w:eastAsia="Arial" w:hAnsi="Arial"/>
                <w:sz w:val="18"/>
                <w:szCs w:val="18"/>
                <w:color w:val="auto"/>
                <w:w w:val="96"/>
              </w:rPr>
              <w:t>The following table sets forth information regarding beneficial ownership of our common stock as of</w:t>
            </w:r>
          </w:p>
        </w:tc>
        <w:tc>
          <w:tcPr>
            <w:tcW w:w="2920" w:type="dxa"/>
            <w:vAlign w:val="bottom"/>
          </w:tcPr>
          <w:p>
            <w:pPr>
              <w:ind w:left="380"/>
              <w:spacing w:after="0"/>
              <w:rPr>
                <w:sz w:val="20"/>
                <w:szCs w:val="20"/>
                <w:color w:val="auto"/>
              </w:rPr>
            </w:pPr>
            <w:r>
              <w:rPr>
                <w:rFonts w:ascii="Arial" w:cs="Arial" w:eastAsia="Arial" w:hAnsi="Arial"/>
                <w:sz w:val="18"/>
                <w:szCs w:val="18"/>
                <w:color w:val="auto"/>
                <w:w w:val="89"/>
              </w:rPr>
              <w:t>, 2019 (as adjusted to give effect to</w:t>
            </w:r>
          </w:p>
        </w:tc>
      </w:tr>
      <w:tr>
        <w:trPr>
          <w:trHeight w:val="230"/>
        </w:trPr>
        <w:tc>
          <w:tcPr>
            <w:tcW w:w="8300" w:type="dxa"/>
            <w:vAlign w:val="bottom"/>
            <w:gridSpan w:val="2"/>
          </w:tcPr>
          <w:p>
            <w:pPr>
              <w:ind w:left="200"/>
              <w:spacing w:after="0"/>
              <w:rPr>
                <w:sz w:val="20"/>
                <w:szCs w:val="20"/>
                <w:color w:val="auto"/>
              </w:rPr>
            </w:pPr>
            <w:r>
              <w:rPr>
                <w:rFonts w:ascii="Arial" w:cs="Arial" w:eastAsia="Arial" w:hAnsi="Arial"/>
                <w:sz w:val="18"/>
                <w:szCs w:val="18"/>
                <w:color w:val="auto"/>
              </w:rPr>
              <w:t>the Corporate Reorganization), by:</w:t>
            </w:r>
          </w:p>
        </w:tc>
        <w:tc>
          <w:tcPr>
            <w:tcW w:w="292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60" w:hanging="3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common stock;</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the directors and NEOs individually;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200" w:right="120" w:firstLine="441"/>
        <w:spacing w:after="0" w:line="274" w:lineRule="auto"/>
        <w:rPr>
          <w:sz w:val="20"/>
          <w:szCs w:val="20"/>
          <w:color w:val="auto"/>
        </w:rPr>
      </w:pPr>
      <w:r>
        <w:rPr>
          <w:rFonts w:ascii="Arial" w:cs="Arial" w:eastAsia="Arial" w:hAnsi="Arial"/>
          <w:sz w:val="17"/>
          <w:szCs w:val="17"/>
          <w:color w:val="auto"/>
        </w:rPr>
        <w:t>The number of shares of common stock outstanding after this offering includes shares of common stock being offered for sale by us in this offering, shares of common stock to be issued as part of the IPO Grants, and assumes no exercise of the underwriters’ option to purchase</w:t>
      </w:r>
    </w:p>
    <w:p>
      <w:pPr>
        <w:ind w:left="200" w:right="260"/>
        <w:spacing w:after="0" w:line="277" w:lineRule="auto"/>
        <w:rPr>
          <w:sz w:val="20"/>
          <w:szCs w:val="20"/>
          <w:color w:val="auto"/>
        </w:rPr>
      </w:pPr>
      <w:r>
        <w:rPr>
          <w:rFonts w:ascii="Arial" w:cs="Arial" w:eastAsia="Arial" w:hAnsi="Arial"/>
          <w:sz w:val="17"/>
          <w:szCs w:val="17"/>
          <w:color w:val="auto"/>
        </w:rPr>
        <w:t>additional shares. Unless otherwise indicated, the address for each listed stockholder is: c/o Reynolds Consumer Products Inc., 1900 W. Field Court, Lake Forest, Illinois, 60045. To our knowledge, except as indicated in the footnotes to this table and pursuant to applicable community property laws, the persons named in the table have sole voting and investment power with respect to all shares of common stock.</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center"/>
              <w:ind w:right="208"/>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2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Beneficially Owned Before</w:t>
            </w:r>
          </w:p>
        </w:tc>
        <w:tc>
          <w:tcPr>
            <w:tcW w:w="182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475"/>
              <w:spacing w:after="0"/>
              <w:rPr>
                <w:sz w:val="20"/>
                <w:szCs w:val="20"/>
                <w:color w:val="auto"/>
              </w:rPr>
            </w:pPr>
            <w:r>
              <w:rPr>
                <w:rFonts w:ascii="Arial" w:cs="Arial" w:eastAsia="Arial" w:hAnsi="Arial"/>
                <w:sz w:val="14"/>
                <w:szCs w:val="14"/>
                <w:b w:val="1"/>
                <w:bCs w:val="1"/>
                <w:color w:val="auto"/>
                <w:w w:val="96"/>
              </w:rPr>
              <w:t>This Offering</w:t>
            </w:r>
          </w:p>
        </w:tc>
        <w:tc>
          <w:tcPr>
            <w:tcW w:w="5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6"/>
              </w:rPr>
              <w:t xml:space="preserve">This Offering </w:t>
            </w:r>
            <w:r>
              <w:rPr>
                <w:rFonts w:ascii="Arial" w:cs="Arial" w:eastAsia="Arial" w:hAnsi="Arial"/>
                <w:sz w:val="12"/>
                <w:szCs w:val="12"/>
                <w:b w:val="1"/>
                <w:bCs w:val="1"/>
                <w:color w:val="auto"/>
                <w:w w:val="96"/>
              </w:rPr>
              <w:t>(1)</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600" w:type="dxa"/>
            <w:vAlign w:val="bottom"/>
            <w:tcBorders>
              <w:bottom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w w:val="97"/>
              </w:rPr>
              <w:t>Common Stock</w:t>
            </w:r>
          </w:p>
        </w:tc>
        <w:tc>
          <w:tcPr>
            <w:tcW w:w="5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0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6"/>
                <w:szCs w:val="16"/>
                <w:color w:val="auto"/>
              </w:rPr>
            </w:pPr>
          </w:p>
        </w:tc>
        <w:tc>
          <w:tcPr>
            <w:tcW w:w="1820" w:type="dxa"/>
            <w:vAlign w:val="bottom"/>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96"/>
              </w:rPr>
              <w:t>5% Stockholder</w:t>
            </w:r>
          </w:p>
        </w:tc>
        <w:tc>
          <w:tcPr>
            <w:tcW w:w="46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PFL(2)</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100</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Director Nominees and Directors</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Lance Mitchell</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Michael Graham</w:t>
            </w: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David Bryla</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Stephan Pace</w:t>
            </w: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Craig Cappel</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Gregory Cole</w:t>
            </w: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Thomas Degnan</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Helen Golding</w:t>
            </w: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Marla Gottschalk</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Richard Noll</w:t>
            </w: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9"/>
              </w:rPr>
              <w:t>All executive officers, director nominees and directors as a group (ten</w:t>
            </w: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persons)</w:t>
            </w: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See “Underwriting (Conflicts of Interest).”</w:t>
      </w:r>
    </w:p>
    <w:p>
      <w:pPr>
        <w:spacing w:after="0" w:line="23" w:lineRule="exact"/>
        <w:rPr>
          <w:rFonts w:ascii="Arial" w:cs="Arial" w:eastAsia="Arial" w:hAnsi="Arial"/>
          <w:sz w:val="18"/>
          <w:szCs w:val="18"/>
          <w:color w:val="auto"/>
        </w:rPr>
      </w:pPr>
    </w:p>
    <w:p>
      <w:pPr>
        <w:ind w:left="640" w:right="700" w:hanging="436"/>
        <w:spacing w:after="0" w:line="261"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PFL is a wholly-owned subsidiary of PHL, which is wholly-owned by Mr. Graeme Hart. The principal business address of PFL, PHL and Mr. Graeme Hart is c/o Rank Group Limited, Floor 9, 148 Quay Street, Auckland, 1010 New Zealand.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46"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following descriptions are summaries of the material terms of our amended and restated certificate of incorporation and amended and restated bylaws. Reference is made to the more detailed provisions of, and the descriptions are qualified in their entirety by reference to, these documents, copies of which will be filed with the SEC as exhibits to the registration statement of which this prospectus is a part, and applicable law.</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and bylaws will provide for one class of common stock. In addition, our amended and restated certificate of incorporation and amended and restated bylaws will authorize shares of undesignated preferred stock, the rights, preferences and privileges of which may be designated from time to time by our board of directors.</w:t>
      </w:r>
    </w:p>
    <w:p>
      <w:pPr>
        <w:sectPr>
          <w:pgSz w:w="11900" w:h="16838" w:orient="portrait"/>
          <w:cols w:equalWidth="0" w:num="1">
            <w:col w:w="11220"/>
          </w:cols>
          <w:pgMar w:left="240" w:top="460" w:right="439" w:bottom="1440" w:gutter="0" w:footer="0" w:header="0"/>
        </w:sectPr>
      </w:pPr>
    </w:p>
    <w:p>
      <w:pPr>
        <w:spacing w:after="0" w:line="382" w:lineRule="exact"/>
        <w:rPr>
          <w:sz w:val="20"/>
          <w:szCs w:val="20"/>
          <w:color w:val="auto"/>
        </w:rPr>
      </w:pPr>
    </w:p>
    <w:p>
      <w:pPr>
        <w:jc w:val="center"/>
        <w:ind w:left="10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80" w:hanging="628"/>
        <w:spacing w:after="0" w:line="308" w:lineRule="auto"/>
        <w:rPr>
          <w:sz w:val="20"/>
          <w:szCs w:val="20"/>
          <w:color w:val="auto"/>
        </w:rPr>
      </w:pPr>
      <w:r>
        <w:rPr>
          <w:rFonts w:ascii="Arial" w:cs="Arial" w:eastAsia="Arial" w:hAnsi="Arial"/>
          <w:sz w:val="17"/>
          <w:szCs w:val="17"/>
          <w:color w:val="auto"/>
        </w:rPr>
        <w:t>Following the closing this offering, our authorized capital stock will consist of shares of preferred stock, par value $0.001 per share.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par value $0.001 per share</w:t>
      </w:r>
    </w:p>
    <w:p>
      <w:pPr>
        <w:spacing w:after="0" w:line="517" w:lineRule="exact"/>
        <w:rPr>
          <w:sz w:val="20"/>
          <w:szCs w:val="20"/>
          <w:color w:val="auto"/>
        </w:rPr>
      </w:pPr>
    </w:p>
    <w:p>
      <w:pPr>
        <w:sectPr>
          <w:pgSz w:w="11900" w:h="16838" w:orient="portrait"/>
          <w:cols w:equalWidth="0" w:num="3">
            <w:col w:w="560" w:space="720"/>
            <w:col w:w="5100" w:space="720"/>
            <w:col w:w="4120"/>
          </w:cols>
          <w:pgMar w:left="240" w:top="460" w:right="439" w:bottom="1440" w:gutter="0" w:footer="0" w:header="0"/>
          <w:type w:val="continuous"/>
        </w:sectPr>
      </w:pPr>
    </w:p>
    <w:p>
      <w:pPr>
        <w:spacing w:after="0" w:line="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200" w:right="160" w:firstLine="441"/>
        <w:spacing w:after="0" w:line="274" w:lineRule="auto"/>
        <w:rPr>
          <w:sz w:val="20"/>
          <w:szCs w:val="20"/>
          <w:color w:val="auto"/>
        </w:rPr>
      </w:pPr>
      <w:r>
        <w:rPr>
          <w:rFonts w:ascii="Arial" w:cs="Arial" w:eastAsia="Arial" w:hAnsi="Arial"/>
          <w:sz w:val="17"/>
          <w:szCs w:val="17"/>
          <w:i w:val="1"/>
          <w:iCs w:val="1"/>
          <w:color w:val="auto"/>
        </w:rPr>
        <w:t xml:space="preserve">Common stock outstanding. </w:t>
      </w:r>
      <w:r>
        <w:rPr>
          <w:rFonts w:ascii="Arial" w:cs="Arial" w:eastAsia="Arial" w:hAnsi="Arial"/>
          <w:sz w:val="17"/>
          <w:szCs w:val="17"/>
          <w:color w:val="auto"/>
        </w:rPr>
        <w:t>Prior to the closing of this offering (after giving effect to the Corporate Reorganization) there were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outstanding. Upon closing of this offering, there will be shares of common stock outstanding, assuming no exercise of the</w:t>
      </w:r>
    </w:p>
    <w:p>
      <w:pPr>
        <w:sectPr>
          <w:pgSz w:w="11900" w:h="16838" w:orient="portrait"/>
          <w:cols w:equalWidth="0" w:num="1">
            <w:col w:w="11220"/>
          </w:cols>
          <w:pgMar w:left="240" w:top="460" w:right="439" w:bottom="1440" w:gutter="0" w:footer="0" w:header="0"/>
          <w:type w:val="continuous"/>
        </w:sectPr>
      </w:pPr>
    </w:p>
    <w:p>
      <w:pPr>
        <w:ind w:left="200" w:right="160"/>
        <w:spacing w:after="0" w:line="255" w:lineRule="auto"/>
        <w:rPr>
          <w:sz w:val="20"/>
          <w:szCs w:val="20"/>
          <w:color w:val="auto"/>
        </w:rPr>
      </w:pPr>
      <w:r>
        <w:rPr>
          <w:rFonts w:ascii="Arial" w:cs="Arial" w:eastAsia="Arial" w:hAnsi="Arial"/>
          <w:sz w:val="18"/>
          <w:szCs w:val="18"/>
          <w:color w:val="auto"/>
        </w:rPr>
        <w:t>underwriters’ option to purchase additional shares, after giving effect to the sale of the shares of common stock offered hereby and the IPO Grants. All outstanding shares of common stock are fully paid and non-assessable, and the shares of common stock to be issued upon the closing of this offering will be fully paid and non-assessable.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our common stock are entitled to one vote per share on all matters to be voted upon by the stockholders.</w:t>
      </w:r>
    </w:p>
    <w:p>
      <w:pPr>
        <w:spacing w:after="0" w:line="23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Holders of shares of our common stock are entitled to receive dividends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legally available therefor, subject to preferences that may be applicable to any outstanding preferred stock. See “Dividend Policy.”</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liquidation, dissolution or winding up of the Company, the holders of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identically and ratably in all assets remaining after the payment of any liabilities, liquidation preferences and accrued or declared but unpaid dividends, if any, with respect to any outstanding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Our common stock is not entitled to preemptive rights and is not subject to conversion, redemption or sinking fund provisions.</w:t>
      </w: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Our board of directors has the authority to issue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common stock. At present, we have no plans to issue any of the preferred stock.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60" w:right="43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Election and Removal of Directors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board of directors will consist of between five and eleven directors. The exact number of directors will be fixed from time to time by resolution of the board. Upon the closing of this offering, our board of directors will consist of six directors. No director may be removed except for cause, and directors may be removed for cause by an affirmative vote of shares representing a majority of the shares then entitled to vote at an election of directors. Any vacancy occurring on the board of directors and any newly created directorship may be filled only by a board resolution approved by a majority of the remaining directors in office.</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Staggered Board</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our board of directors will be divided into three classes serving staggered three-year terms. Class I, Class II and Class III directors will serve until our annual meetings of stockholders</w:t>
      </w:r>
    </w:p>
    <w:p>
      <w:pPr>
        <w:ind w:left="200"/>
        <w:spacing w:after="0" w:line="252" w:lineRule="auto"/>
        <w:rPr>
          <w:sz w:val="20"/>
          <w:szCs w:val="20"/>
          <w:color w:val="auto"/>
        </w:rPr>
      </w:pPr>
      <w:r>
        <w:rPr>
          <w:rFonts w:ascii="Arial" w:cs="Arial" w:eastAsia="Arial" w:hAnsi="Arial"/>
          <w:sz w:val="18"/>
          <w:szCs w:val="18"/>
          <w:color w:val="auto"/>
        </w:rPr>
        <w:t>in , and ,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be necessary for stockholders to effect a change in a majority of the members of our board of directors. An election of the directors shall be determined by a plurality of votes cast by the stockholders entitled to vote on the election. The holders of our common stock are not entitled to cumulative voting rights with respect to the election of directors.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Limits on Written Consents</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from and after the date on which the Hart Entities or Permitted Assigns no longer beneficially own more than 50% of the outstanding shares of our common stock, holders of our common stock will not be able to act by written consent without a meeting.</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Meetings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special meetings of our stockholders may be called only by our Chief Executive Officer, the chairman of our board of directors, a majority of the directors, or stockholders holding 50% of the voting power of our outstanding common stock (which ability of stockholders to call special meetings will terminate once the Hart Entities or Permitted Assigns beneficially own less than 50% of the outstanding shares of our common stock). Our amended and restated certificate of incorporation and our amended and restated bylaws will specifically deny any power of any other person to call a special meeting.</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provisions of our amended and restated certificate of incorporation may be amended only by 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4"/>
          <w:szCs w:val="14"/>
          <w:color w:val="auto"/>
        </w:rPr>
        <w:t>2/3</w:t>
      </w:r>
      <w:r>
        <w:rPr>
          <w:rFonts w:ascii="Arial" w:cs="Arial" w:eastAsia="Arial" w:hAnsi="Arial"/>
          <w:sz w:val="17"/>
          <w:szCs w:val="17"/>
          <w:color w:val="auto"/>
        </w:rPr>
        <w:t>% of the voting power of our outstanding shares of common stock will be required to amend provisions of our amended and restated certificate of incorporation.</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bylaws may generally be altered, amended or repealed, and new bylaws may be adopted, with:</w:t>
      </w:r>
    </w:p>
    <w:p>
      <w:pPr>
        <w:spacing w:after="0" w:line="131" w:lineRule="exact"/>
        <w:rPr>
          <w:sz w:val="20"/>
          <w:szCs w:val="20"/>
          <w:color w:val="auto"/>
        </w:rPr>
      </w:pPr>
    </w:p>
    <w:p>
      <w:pPr>
        <w:ind w:left="960" w:hanging="324"/>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affirmative vote of a majority of directors present at any regular or special meeting of the board of directors called for that purpose; or</w:t>
      </w:r>
    </w:p>
    <w:p>
      <w:pPr>
        <w:spacing w:after="0" w:line="153" w:lineRule="exact"/>
        <w:rPr>
          <w:rFonts w:ascii="Arial" w:cs="Arial" w:eastAsia="Arial" w:hAnsi="Arial"/>
          <w:sz w:val="16"/>
          <w:szCs w:val="16"/>
          <w:color w:val="auto"/>
        </w:rPr>
      </w:pPr>
    </w:p>
    <w:p>
      <w:pPr>
        <w:ind w:left="960" w:right="140" w:hanging="324"/>
        <w:spacing w:after="0" w:line="257"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5"/>
          <w:szCs w:val="15"/>
          <w:color w:val="auto"/>
        </w:rPr>
        <w:t>2/3</w:t>
      </w:r>
      <w:r>
        <w:rPr>
          <w:rFonts w:ascii="Arial" w:cs="Arial" w:eastAsia="Arial" w:hAnsi="Arial"/>
          <w:sz w:val="18"/>
          <w:szCs w:val="18"/>
          <w:color w:val="auto"/>
        </w:rPr>
        <w:t>% of the voting power of our outstanding shares of common stock will be required to amend provisions of our bylaws.</w:t>
      </w: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bylaws will also impose some procedural requirements on stockholders who wish to:</w:t>
      </w:r>
    </w:p>
    <w:p>
      <w:pPr>
        <w:spacing w:after="0" w:line="131" w:lineRule="exact"/>
        <w:rPr>
          <w:sz w:val="20"/>
          <w:szCs w:val="20"/>
          <w:color w:val="auto"/>
        </w:rPr>
      </w:pPr>
    </w:p>
    <w:p>
      <w:pPr>
        <w:ind w:left="960" w:hanging="32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propose any repeal or change in our bylaws;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52" w:lineRule="exact"/>
        <w:rPr>
          <w:sz w:val="20"/>
          <w:szCs w:val="20"/>
          <w:color w:val="auto"/>
        </w:rPr>
      </w:pPr>
    </w:p>
    <w:p>
      <w:pPr>
        <w:ind w:left="960" w:hanging="324"/>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and the reasons for conducting such business at the meeting;</w:t>
      </w:r>
    </w:p>
    <w:p>
      <w:pPr>
        <w:spacing w:after="0" w:line="153" w:lineRule="exact"/>
        <w:rPr>
          <w:rFonts w:ascii="Arial" w:cs="Arial" w:eastAsia="Arial" w:hAnsi="Arial"/>
          <w:sz w:val="16"/>
          <w:szCs w:val="16"/>
          <w:color w:val="auto"/>
        </w:rPr>
      </w:pPr>
    </w:p>
    <w:p>
      <w:pPr>
        <w:ind w:left="960" w:hanging="32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w:t>
      </w:r>
    </w:p>
    <w:p>
      <w:pPr>
        <w:spacing w:after="0" w:line="130" w:lineRule="exact"/>
        <w:rPr>
          <w:rFonts w:ascii="Arial" w:cs="Arial" w:eastAsia="Arial" w:hAnsi="Arial"/>
          <w:sz w:val="18"/>
          <w:szCs w:val="18"/>
          <w:color w:val="auto"/>
        </w:rPr>
      </w:pPr>
    </w:p>
    <w:p>
      <w:pPr>
        <w:ind w:left="960" w:right="1000" w:hanging="324"/>
        <w:spacing w:after="0" w:line="277"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75" w:lineRule="exact"/>
        <w:rPr>
          <w:rFonts w:ascii="Arial" w:cs="Arial" w:eastAsia="Arial" w:hAnsi="Arial"/>
          <w:sz w:val="18"/>
          <w:szCs w:val="18"/>
          <w:color w:val="auto"/>
        </w:rPr>
      </w:pPr>
    </w:p>
    <w:p>
      <w:pPr>
        <w:ind w:left="960" w:right="80" w:hanging="324"/>
        <w:spacing w:after="0" w:line="264"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description of any agreement or arrangement that has been entered into, the effect or intent of which is to create or mitigate loss to, manage risk or benefit of share price changes for, or increase or decrease the voting power of, such stockholder with respect to the Company’s securities; and</w:t>
      </w:r>
    </w:p>
    <w:p>
      <w:pPr>
        <w:spacing w:after="0" w:line="86" w:lineRule="exact"/>
        <w:rPr>
          <w:rFonts w:ascii="Arial" w:cs="Arial" w:eastAsia="Arial" w:hAnsi="Arial"/>
          <w:sz w:val="18"/>
          <w:szCs w:val="18"/>
          <w:color w:val="auto"/>
        </w:rPr>
      </w:pPr>
    </w:p>
    <w:p>
      <w:pPr>
        <w:ind w:left="960" w:right="100" w:hanging="324"/>
        <w:spacing w:after="0" w:line="264"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representations (i) that the stockholder is a holder of record entitled to vote and intends to appear in person or by proxy at such meeting to bring such business before the meeting and (ii) as to whether such stockholder intends to deliver a proxy statement to holders of the required voting power to approve the proposal or otherwise solicit proxies in support of the proposal.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31" w:lineRule="exact"/>
        <w:rPr>
          <w:sz w:val="20"/>
          <w:szCs w:val="20"/>
          <w:color w:val="auto"/>
        </w:rPr>
      </w:pPr>
    </w:p>
    <w:p>
      <w:pPr>
        <w:ind w:left="960" w:hanging="324"/>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120 nor more than 180 days prior to the date on which the annual meeting of stockholders was held in the immediately preceding year, but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80" w:right="200"/>
        <w:spacing w:after="0" w:line="259" w:lineRule="auto"/>
        <w:rPr>
          <w:sz w:val="20"/>
          <w:szCs w:val="20"/>
          <w:color w:val="auto"/>
        </w:rPr>
      </w:pPr>
      <w:r>
        <w:rPr>
          <w:rFonts w:ascii="Arial" w:cs="Arial" w:eastAsia="Arial" w:hAnsi="Arial"/>
          <w:sz w:val="18"/>
          <w:szCs w:val="18"/>
          <w:color w:val="auto"/>
        </w:rPr>
        <w:t>the event that the date of the annual meeting is more than 30 days before or more than 60 days after the anniversary date of the preceding annual meeting of stockholders, a stockholder notice will be timely if received by us no earlier than 120 days prior to such annual meeting and not later than the close of business on the later of (1) 70 days prior to the date of the annual meeting and (2) the 10th day following the day on which we first publicly announce the date of the annual meeting; or</w:t>
      </w:r>
    </w:p>
    <w:p>
      <w:pPr>
        <w:spacing w:after="0" w:line="92" w:lineRule="exact"/>
        <w:rPr>
          <w:sz w:val="20"/>
          <w:szCs w:val="20"/>
          <w:color w:val="auto"/>
        </w:rPr>
      </w:pPr>
    </w:p>
    <w:p>
      <w:pPr>
        <w:jc w:val="both"/>
        <w:ind w:left="960" w:right="40" w:hanging="324"/>
        <w:spacing w:after="0" w:line="312" w:lineRule="auto"/>
        <w:tabs>
          <w:tab w:leader="none" w:pos="9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connection with the election of a director at a special meeting of stockholders, a stockholder notice will be timely if received by us (1) not earlier than 150 days prior to the date of the special meeting nor (2) later than the later of (a) 120 days prior to the date of the special meeting or (b) the 10th day following the day on which public announcement of the date of the special meeting of the stockholders is first made.</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certain other information. If a stockholder fails to follow the required procedures, the stockholder’s proposal or nominee will be ineligible and will not be voted on by our stockholders.</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87" w:lineRule="exact"/>
        <w:rPr>
          <w:sz w:val="20"/>
          <w:szCs w:val="20"/>
          <w:color w:val="auto"/>
        </w:rPr>
      </w:pPr>
    </w:p>
    <w:p>
      <w:pPr>
        <w:ind w:left="960" w:hanging="32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30" w:lineRule="exact"/>
        <w:rPr>
          <w:rFonts w:ascii="Arial" w:cs="Arial" w:eastAsia="Arial" w:hAnsi="Arial"/>
          <w:sz w:val="18"/>
          <w:szCs w:val="18"/>
          <w:color w:val="auto"/>
        </w:rPr>
      </w:pPr>
    </w:p>
    <w:p>
      <w:pPr>
        <w:ind w:left="960" w:right="780" w:hanging="324"/>
        <w:spacing w:after="0" w:line="27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amended and restated bylaws will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2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Chancery of the State of Delaware will, to the fullest extent permitted by applicable law, be the sole and exclusive forum for:</w:t>
      </w:r>
    </w:p>
    <w:p>
      <w:pPr>
        <w:spacing w:after="0" w:line="116" w:lineRule="exact"/>
        <w:rPr>
          <w:sz w:val="20"/>
          <w:szCs w:val="20"/>
          <w:color w:val="auto"/>
        </w:rPr>
      </w:pPr>
    </w:p>
    <w:p>
      <w:pPr>
        <w:ind w:left="960" w:hanging="32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of our directors, officers or other employees or our stockholders;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148</w:t>
      </w:r>
    </w:p>
    <w:p>
      <w:pPr>
        <w:sectPr>
          <w:pgSz w:w="11900" w:h="16838" w:orient="portrait"/>
          <w:cols w:equalWidth="0" w:num="1">
            <w:col w:w="11160"/>
          </w:cols>
          <w:pgMar w:left="24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each such case subject to such Court of Chancery having personal jurisdiction over the indispensable parties named as defendants therein.</w:t>
      </w:r>
    </w:p>
    <w:p>
      <w:pPr>
        <w:spacing w:after="0" w:line="24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shares of our capital stock shall be deemed to have notice of and consented to the foregoing forum selection provisions.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amended and restated certificate of incorporation is inapplicable or unenforceable.</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22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Section 203 of the Delaware General Corporation Law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87" w:lineRule="exact"/>
        <w:rPr>
          <w:sz w:val="20"/>
          <w:szCs w:val="20"/>
          <w:color w:val="auto"/>
        </w:rPr>
      </w:pPr>
    </w:p>
    <w:p>
      <w:pPr>
        <w:ind w:left="960" w:right="560" w:hanging="324"/>
        <w:spacing w:after="0" w:line="277"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75" w:lineRule="exact"/>
        <w:rPr>
          <w:rFonts w:ascii="Arial" w:cs="Arial" w:eastAsia="Arial" w:hAnsi="Arial"/>
          <w:sz w:val="18"/>
          <w:szCs w:val="18"/>
          <w:color w:val="auto"/>
        </w:rPr>
      </w:pPr>
    </w:p>
    <w:p>
      <w:pPr>
        <w:ind w:left="960" w:hanging="324"/>
        <w:spacing w:after="0" w:line="308" w:lineRule="auto"/>
        <w:tabs>
          <w:tab w:leader="none" w:pos="9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the closing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51" w:lineRule="exact"/>
        <w:rPr>
          <w:rFonts w:ascii="Arial" w:cs="Arial" w:eastAsia="Arial" w:hAnsi="Arial"/>
          <w:sz w:val="17"/>
          <w:szCs w:val="17"/>
          <w:color w:val="auto"/>
        </w:rPr>
      </w:pPr>
    </w:p>
    <w:p>
      <w:pPr>
        <w:ind w:left="960" w:right="580" w:hanging="324"/>
        <w:spacing w:after="0" w:line="342" w:lineRule="auto"/>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24"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 Delaware corporation may elect in its certificate of incorporation or bylaws not to be governed by this particular Delaware law. Under our amended and restated certificate of incorporation, we will opt out of Section 203 of the Delaware General Corporation Law and will therefore not be subject to Section 203.</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Some provisions of our amended and restated certificate of incorporation and amended and restated bylaws could make the following more difficult:</w:t>
      </w:r>
    </w:p>
    <w:p>
      <w:pPr>
        <w:spacing w:after="0" w:line="76" w:lineRule="exact"/>
        <w:rPr>
          <w:sz w:val="20"/>
          <w:szCs w:val="20"/>
          <w:color w:val="auto"/>
        </w:rPr>
      </w:pPr>
    </w:p>
    <w:p>
      <w:pPr>
        <w:ind w:left="960" w:hanging="324"/>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Nasdaq under the symbol “REYN.”</w:t>
      </w: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40"/>
        <w:spacing w:after="0"/>
        <w:tabs>
          <w:tab w:leader="none" w:pos="5620" w:val="left"/>
        </w:tabs>
        <w:rPr>
          <w:sz w:val="20"/>
          <w:szCs w:val="20"/>
          <w:color w:val="auto"/>
        </w:rPr>
      </w:pPr>
      <w:r>
        <w:rPr>
          <w:rFonts w:ascii="Arial" w:cs="Arial" w:eastAsia="Arial" w:hAnsi="Arial"/>
          <w:sz w:val="18"/>
          <w:szCs w:val="18"/>
          <w:color w:val="auto"/>
        </w:rPr>
        <w:t>The transfer agent and registrar for the common stock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following are the material U.S. federal income and estate tax consequences of the ownership and disposition of our common stock acquired in this offering by a “Non-U.S. Holder” that does not own, and has not owned, actually or constructively, more than 5% of our common stock. You are a Non-U.S. Holder if for U.S. federal income tax purposes you are a beneficial owner of our common stock that is:</w:t>
      </w:r>
    </w:p>
    <w:p>
      <w:pPr>
        <w:spacing w:after="0" w:line="71" w:lineRule="exact"/>
        <w:rPr>
          <w:sz w:val="20"/>
          <w:szCs w:val="20"/>
          <w:color w:val="auto"/>
        </w:rPr>
      </w:pPr>
    </w:p>
    <w:p>
      <w:pPr>
        <w:ind w:left="960" w:hanging="324"/>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You are not a Non-U.S. Holder if you are a nonresident alien individual present in the United States for 183 days or more in the taxable year of disposition, or if you are a former citizen or former resident of the United States for U.S. federal income tax purposes. If you are such a person, you should consult your tax adviser regarding the U.S. federal income tax consequences of the ownership and disposition of our common stock.</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a partner will generally depend on the status of the partner and your activities.</w:t>
      </w:r>
    </w:p>
    <w:p>
      <w:pPr>
        <w:spacing w:after="0" w:line="17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discussion is based on the Code, administrative pronouncements, judicial decisions and final, temporary and proposed Treasury regulations, changes to any of which subsequent to the date of this prospectus may affect the tax consequences described herein, possibly with retroactive effect. This discussion does not describe all of the tax consequences that may be relevant to you in light of your particular circumstances, including alternative minimum tax and Medicare contribution tax consequences and does not address any aspect of state, local or non-U.S. taxation, or any taxes other than income and estate taxes. You should consult your tax adviser with regard to the application of the U.S. federal tax laws to your particular situation, as well as any tax consequences arising under the laws of any state, local or non-U.S. taxing jurisdiction.</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Distributions of cash or other property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your basis in our common stock, but not below zero, and then will be treated as gain from the sale of our common stock, as described below under “—Gain on Disposition of Our Common Stock.”</w:t>
      </w:r>
    </w:p>
    <w:p>
      <w:pPr>
        <w:spacing w:after="0" w:line="15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Dividends paid to you generally will be subject to withholding tax at a 30% rate or a reduced rate specified by an applicable income tax treaty. In order to obtain a reduced rate of withholding (subject to the discussion below under “—FATCA”), you will be required to provide a properly executed applicable IRS Form W-8 certifying your entitlement to benefits under a treaty.</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dividends paid to you are effectively connected with your conduct of a trade or business in the United States (and, if required by an applicable income tax treaty, are attributable to a permanent establishment or fixed base maintained by you in the United States), you will generally be taxed on the dividends in the same manner as a U.S. person. In this case, you will be exempt from the withholding tax discussed in the preceding paragraph, although you will be required to provide a properly executed IRS Form W-8ECI in order to claim an exemption from withholding. You should consult your tax adviser with respect to other U.S. tax consequences of the ownership and disposition of our common stock, including the possible imposition of a branch profits tax at a rate of 30% (or a lower treaty rate) if you are a corporation.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discussions below under “—Information Reporting and Backup Withholding” and “—FATCA,” you generally will not be subject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federal income or withholding tax on gain realized on a sale or other taxable disposition of our common stock unless:</w:t>
      </w:r>
    </w:p>
    <w:p>
      <w:pPr>
        <w:spacing w:after="0" w:line="116" w:lineRule="exact"/>
        <w:rPr>
          <w:sz w:val="20"/>
          <w:szCs w:val="20"/>
          <w:color w:val="auto"/>
        </w:rPr>
      </w:pPr>
    </w:p>
    <w:p>
      <w:pPr>
        <w:ind w:left="960" w:right="260" w:hanging="324"/>
        <w:spacing w:after="0" w:line="308" w:lineRule="auto"/>
        <w:tabs>
          <w:tab w:leader="none" w:pos="9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trade or business in the United States (and, if required by an applicable income tax treaty, is attributable to a permanent establishment or fixed base maintained by you in the United States), or</w:t>
      </w:r>
    </w:p>
    <w:p>
      <w:pPr>
        <w:spacing w:after="0" w:line="51" w:lineRule="exact"/>
        <w:rPr>
          <w:rFonts w:ascii="Arial" w:cs="Arial" w:eastAsia="Arial" w:hAnsi="Arial"/>
          <w:sz w:val="17"/>
          <w:szCs w:val="17"/>
          <w:color w:val="auto"/>
        </w:rPr>
      </w:pPr>
    </w:p>
    <w:p>
      <w:pPr>
        <w:ind w:left="960" w:right="140" w:hanging="324"/>
        <w:spacing w:after="0" w:line="286" w:lineRule="auto"/>
        <w:tabs>
          <w:tab w:leader="none" w:pos="9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as defined in the Code, at any time within the five-year period preceding the disposition or your holding period, whichever period is shorter, and our common stock has ceased to be regularly traded on an established securities market prior to the beginning of the calendar year in which the sale or disposition occurs.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are not, and do not anticipate becoming, a United States real property holding corporation.</w:t>
      </w:r>
    </w:p>
    <w:p>
      <w:pPr>
        <w:spacing w:after="0" w:line="225"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If you recognize gain on a sale or other disposition of our common stock that is effectively connected with your conduct of a trade or business in the United States (and if required by an applicable income tax treaty, is attributable to a permanent establishment or fixed base maintained by you in the United States), you will generally be taxed on such gain in the same manner as a U.S. person. You should consult your tax adviser with respect to other U.S. tax consequences of the ownership and disposition of our common stock, including the possible imposition of a branch profits tax at a rate of 30% (or a lower treaty rate) if you are a corporation.</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Information returns are required to be filed with the IRS in connection with payments of dividends on our common stock. Unless you comply with certification procedures to establish that you are not a U.S. person, information returns may also be filed with the IRS in connection with the proceeds from a sale or other disposition of our common stock. You may be subject to backup withholding on payments on our common stock or on the proceeds from a sale or other disposition of our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Provisions of the Code commonly referred to as “FATCA” require withholding of 30% on payments of dividends on our common stock, as well as of gross proceeds of dispositions of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 You should consult your tax adviser regarding the effects of FATCA on your investment in our common stock.</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Individual Non-U.S. Holders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absent an applicable treaty exemption, our common stock will be treated as U.S.-situs property subject to U.S. federal estate tax.</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200" w:right="240" w:firstLine="441"/>
        <w:spacing w:after="0" w:line="258" w:lineRule="auto"/>
        <w:rPr>
          <w:sz w:val="20"/>
          <w:szCs w:val="20"/>
          <w:color w:val="auto"/>
        </w:rPr>
      </w:pPr>
      <w:r>
        <w:rPr>
          <w:rFonts w:ascii="Arial" w:cs="Arial" w:eastAsia="Arial" w:hAnsi="Arial"/>
          <w:sz w:val="18"/>
          <w:szCs w:val="18"/>
          <w:color w:val="auto"/>
        </w:rPr>
        <w:t>Upon completion of this offering and the issuance of the IPO Grants, we will have shares of common stock outstanding assuming no exercise of the underwriters’ option to purchase additional shares. Of these shares, the shares of common stock, or shares of</w:t>
      </w:r>
    </w:p>
    <w:p>
      <w:pPr>
        <w:spacing w:after="0" w:line="1"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common stock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w:t>
      </w:r>
    </w:p>
    <w:p>
      <w:pPr>
        <w:spacing w:after="0" w:line="1"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under the Securities Act. The shares of common stock issued pursuant to the IPO Grants will be subject to vesting conditions. The shares of common stock held by PFL are “restricted shares” as defined in Rule 144. Restricted shares may be sold in the public market only if registered or if they qualify for an exemption from registration under Rules 144 of the Securities Act. As a result of the contractual 180-day lock-up period described below and the provisions of Rules 144, these shares will be available for sale in the public market as follows: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Number of Shares</w:t>
            </w:r>
          </w:p>
        </w:tc>
        <w:tc>
          <w:tcPr>
            <w:tcW w:w="9480" w:type="dxa"/>
            <w:vAlign w:val="bottom"/>
            <w:gridSpan w:val="3"/>
          </w:tcPr>
          <w:p>
            <w:pPr>
              <w:ind w:left="4720"/>
              <w:spacing w:after="0"/>
              <w:rPr>
                <w:sz w:val="20"/>
                <w:szCs w:val="20"/>
                <w:color w:val="auto"/>
              </w:rPr>
            </w:pPr>
            <w:r>
              <w:rPr>
                <w:rFonts w:ascii="Arial" w:cs="Arial" w:eastAsia="Arial" w:hAnsi="Arial"/>
                <w:sz w:val="14"/>
                <w:szCs w:val="14"/>
                <w:b w:val="1"/>
                <w:bCs w:val="1"/>
                <w:color w:val="auto"/>
              </w:rPr>
              <w:t>Date</w:t>
            </w:r>
          </w:p>
        </w:tc>
      </w:tr>
      <w:tr>
        <w:trPr>
          <w:trHeight w:val="224"/>
        </w:trPr>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7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On</w:t>
            </w:r>
          </w:p>
        </w:tc>
        <w:tc>
          <w:tcPr>
            <w:tcW w:w="4460" w:type="dxa"/>
            <w:vAlign w:val="bottom"/>
          </w:tcPr>
          <w:p>
            <w:pPr>
              <w:spacing w:after="0"/>
              <w:rPr>
                <w:sz w:val="20"/>
                <w:szCs w:val="20"/>
                <w:color w:val="auto"/>
              </w:rPr>
            </w:pPr>
            <w:r>
              <w:rPr>
                <w:rFonts w:ascii="Arial" w:cs="Arial" w:eastAsia="Arial" w:hAnsi="Arial"/>
                <w:sz w:val="18"/>
                <w:szCs w:val="18"/>
                <w:color w:val="auto"/>
              </w:rPr>
              <w:t>the date of this prospectus.</w:t>
            </w:r>
          </w:p>
        </w:tc>
      </w:tr>
      <w:tr>
        <w:trPr>
          <w:trHeight w:val="295"/>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80" w:type="dxa"/>
            <w:vAlign w:val="bottom"/>
            <w:gridSpan w:val="3"/>
          </w:tcPr>
          <w:p>
            <w:pPr>
              <w:ind w:left="4720"/>
              <w:spacing w:after="0"/>
              <w:rPr>
                <w:sz w:val="20"/>
                <w:szCs w:val="20"/>
                <w:color w:val="auto"/>
              </w:rPr>
            </w:pPr>
            <w:r>
              <w:rPr>
                <w:rFonts w:ascii="Arial" w:cs="Arial" w:eastAsia="Arial" w:hAnsi="Arial"/>
                <w:sz w:val="18"/>
                <w:szCs w:val="18"/>
                <w:color w:val="auto"/>
                <w:w w:val="90"/>
              </w:rPr>
              <w:t>After 180 days from the date of this prospectus (subject to volume</w:t>
            </w: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80" w:type="dxa"/>
            <w:vAlign w:val="bottom"/>
            <w:gridSpan w:val="3"/>
          </w:tcPr>
          <w:p>
            <w:pPr>
              <w:ind w:left="4720"/>
              <w:spacing w:after="0"/>
              <w:rPr>
                <w:sz w:val="20"/>
                <w:szCs w:val="20"/>
                <w:color w:val="auto"/>
              </w:rPr>
            </w:pPr>
            <w:r>
              <w:rPr>
                <w:rFonts w:ascii="Arial" w:cs="Arial" w:eastAsia="Arial" w:hAnsi="Arial"/>
                <w:sz w:val="18"/>
                <w:szCs w:val="18"/>
                <w:color w:val="auto"/>
              </w:rPr>
              <w:t>limitations).</w:t>
            </w:r>
          </w:p>
        </w:tc>
      </w:tr>
      <w:tr>
        <w:trPr>
          <w:trHeight w:val="31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80" w:type="dxa"/>
            <w:vAlign w:val="bottom"/>
            <w:gridSpan w:val="3"/>
          </w:tcPr>
          <w:p>
            <w:pPr>
              <w:ind w:left="4720"/>
              <w:spacing w:after="0"/>
              <w:rPr>
                <w:sz w:val="20"/>
                <w:szCs w:val="20"/>
                <w:color w:val="auto"/>
              </w:rPr>
            </w:pPr>
            <w:r>
              <w:rPr>
                <w:rFonts w:ascii="Arial" w:cs="Arial" w:eastAsia="Arial" w:hAnsi="Arial"/>
                <w:sz w:val="18"/>
                <w:szCs w:val="18"/>
                <w:color w:val="auto"/>
                <w:w w:val="93"/>
              </w:rPr>
              <w:t>At various times after 180 days from the date of this prospectus</w:t>
            </w: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80" w:type="dxa"/>
            <w:vAlign w:val="bottom"/>
            <w:gridSpan w:val="3"/>
          </w:tcPr>
          <w:p>
            <w:pPr>
              <w:ind w:left="4720"/>
              <w:spacing w:after="0"/>
              <w:rPr>
                <w:sz w:val="20"/>
                <w:szCs w:val="20"/>
                <w:color w:val="auto"/>
              </w:rPr>
            </w:pPr>
            <w:r>
              <w:rPr>
                <w:rFonts w:ascii="Arial" w:cs="Arial" w:eastAsia="Arial" w:hAnsi="Arial"/>
                <w:sz w:val="18"/>
                <w:szCs w:val="18"/>
                <w:color w:val="auto"/>
              </w:rPr>
              <w:t>(subject to volume limitations).</w:t>
            </w:r>
          </w:p>
        </w:tc>
      </w:tr>
    </w:tbl>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general, a person (or persons whose shares are aggregated)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ectPr>
          <w:pgSz w:w="11900" w:h="16838" w:orient="portrait"/>
          <w:cols w:equalWidth="0" w:num="1">
            <w:col w:w="11200"/>
          </w:cols>
          <w:pgMar w:left="240" w:top="460" w:right="459" w:bottom="1440" w:gutter="0" w:footer="0" w:header="0"/>
        </w:sectPr>
      </w:pPr>
    </w:p>
    <w:p>
      <w:pPr>
        <w:spacing w:after="0" w:line="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offering, assuming no exercise of the underwriters’ option to purchase additional shares; 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700" w:space="260"/>
            <w:col w:w="7260" w:space="720"/>
            <w:col w:w="2260"/>
          </w:cols>
          <w:pgMar w:left="240" w:top="460" w:right="45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average weekly trading volume of our common stock on the Form 144 with respect to the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w:t>
      </w:r>
    </w:p>
    <w:p>
      <w:pPr>
        <w:spacing w:after="0" w:line="463" w:lineRule="exact"/>
        <w:rPr>
          <w:sz w:val="20"/>
          <w:szCs w:val="20"/>
          <w:color w:val="auto"/>
        </w:rPr>
      </w:pPr>
    </w:p>
    <w:p>
      <w:pPr>
        <w:sectPr>
          <w:pgSz w:w="11900" w:h="16838" w:orient="portrait"/>
          <w:cols w:equalWidth="0" w:num="3">
            <w:col w:w="700" w:space="260"/>
            <w:col w:w="4600" w:space="720"/>
            <w:col w:w="4920"/>
          </w:cols>
          <w:pgMar w:left="240" w:top="460" w:right="459" w:bottom="1440" w:gutter="0" w:footer="0" w:header="0"/>
          <w:type w:val="continuous"/>
        </w:sectPr>
      </w:pPr>
    </w:p>
    <w:p>
      <w:pPr>
        <w:ind w:left="200" w:right="200"/>
        <w:spacing w:after="0" w:line="264"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ind w:left="200" w:right="180" w:firstLine="441"/>
        <w:spacing w:after="0" w:line="285" w:lineRule="auto"/>
        <w:rPr>
          <w:sz w:val="20"/>
          <w:szCs w:val="20"/>
          <w:color w:val="auto"/>
        </w:rPr>
      </w:pPr>
      <w:r>
        <w:rPr>
          <w:rFonts w:ascii="Arial" w:cs="Arial" w:eastAsia="Arial" w:hAnsi="Arial"/>
          <w:sz w:val="16"/>
          <w:szCs w:val="16"/>
          <w:color w:val="auto"/>
        </w:rPr>
        <w:t>We intend to file a registration statement on Form S-8 under the Securities Act to register all of the shares of common stock subject to issuance under our 2020 incentive award plan and the IPO Grants, which will be adopted in connection with this offering. We expect to file this registration statement as promptly as possible after the completion of this offering. Any such Form S-8 registration statement will automatically become effective upon filing. Accordingly, shares registered under such registration statement will be available for sale in the open market, subject to vesting or transfer restrictions that may be applicable to such awards. We expect that the registration statement on Form S-8 relating to the IPO Grants and our 2020</w:t>
      </w:r>
    </w:p>
    <w:p>
      <w:pPr>
        <w:spacing w:after="0" w:line="2" w:lineRule="exact"/>
        <w:rPr>
          <w:sz w:val="20"/>
          <w:szCs w:val="20"/>
          <w:color w:val="auto"/>
        </w:rPr>
      </w:pPr>
    </w:p>
    <w:p>
      <w:pPr>
        <w:ind w:left="200"/>
        <w:spacing w:after="0"/>
        <w:tabs>
          <w:tab w:leader="none" w:pos="8200" w:val="left"/>
        </w:tabs>
        <w:rPr>
          <w:sz w:val="20"/>
          <w:szCs w:val="20"/>
          <w:color w:val="auto"/>
        </w:rPr>
      </w:pPr>
      <w:r>
        <w:rPr>
          <w:rFonts w:ascii="Arial" w:cs="Arial" w:eastAsia="Arial" w:hAnsi="Arial"/>
          <w:sz w:val="18"/>
          <w:szCs w:val="18"/>
          <w:color w:val="auto"/>
        </w:rPr>
        <w:t>incentive award plan, which will be adopted in connection with this offering, will cover approximately</w:t>
      </w:r>
      <w:r>
        <w:rPr>
          <w:sz w:val="20"/>
          <w:szCs w:val="20"/>
          <w:color w:val="auto"/>
        </w:rPr>
        <w:tab/>
      </w:r>
      <w:r>
        <w:rPr>
          <w:rFonts w:ascii="Arial" w:cs="Arial" w:eastAsia="Arial" w:hAnsi="Arial"/>
          <w:sz w:val="16"/>
          <w:szCs w:val="16"/>
          <w:color w:val="auto"/>
        </w:rPr>
        <w:t>shares of common stock.</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this offering, we will enter into an agreement that will provide that PFL will be entitled to various rights with respect to the registration of the offer and sale of the shares it holds under the Securities Act. If the offer and sale of these shares is registered, these shares will become freely tradable without restriction under the Securities Act immediately upon the effectiveness of the registration, except for shares purchased by affiliates.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our directors, our executive officers and PFL have agreed, subject to certain exceptions,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180 days after the date of this prospectus, without the prior written consent of Credit Suisse Securities (USA) LLC, Goldman Sachs &amp; Co. LLC and J.P. Morgan Securities LLC. See “Underwriting (Conflicts of Interest)” for a description of the lock-up agreements applicable to our shares.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we have agreed to sell to the underwriters named below, for whom Credit Suisse Securities (USA) LLC, Goldman Sachs &amp; Co. LLC and J.P. Morgan Securities LLC are acting as representatives, the following respective number of shares of common stock:</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0600" w:type="dxa"/>
            <w:vAlign w:val="bottom"/>
          </w:tcPr>
          <w:p>
            <w:pPr>
              <w:jc w:val="center"/>
              <w:ind w:left="98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10600" w:type="dxa"/>
            <w:vAlign w:val="bottom"/>
          </w:tcPr>
          <w:p>
            <w:pPr>
              <w:jc w:val="center"/>
              <w:ind w:left="986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Evercore Group L.L.C.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9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this offering if any are purchased, other than those shares covered by the option to purchase additional shares described below. The underwriting agreement also provides that if an underwriter defaults the purchase commitments of non-defaulting underwriters may be increased or this offering may be terminated.</w:t>
      </w:r>
    </w:p>
    <w:p>
      <w:pPr>
        <w:spacing w:after="0" w:line="14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have agreed to indemnify the underwriters and Credit Suisse Securities (USA) LLC in its capacity as qualified independent underwriter and certain of their controlling persons against certain liabilities, including liabilities under the Securities Act, and to contribute to payments that the underwriters may be required to make in respect of those liabilities.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granted the underwriters a 30-day option to purchase on a pro rata basis up to additional shares of common stock from us at the initial public offering price less the underwriting discounts and commissions. The option may be exercised only to cover any over-allotments of common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underwriters propose to offer the shares of common stock initially at the public offering price on the cover page of this prospectus and to</w:t>
      </w:r>
    </w:p>
    <w:p>
      <w:pPr>
        <w:spacing w:after="0" w:line="3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selling group members at that price less a selling concession of up to $ per share. After the initial public offering the representatives may change the public offering price and selling concession.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0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Without</w:t>
            </w: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9"/>
              <w:spacing w:after="0" w:line="119" w:lineRule="exact"/>
              <w:rPr>
                <w:sz w:val="20"/>
                <w:szCs w:val="20"/>
                <w:color w:val="auto"/>
              </w:rPr>
            </w:pPr>
            <w:r>
              <w:rPr>
                <w:rFonts w:ascii="Arial" w:cs="Arial" w:eastAsia="Arial" w:hAnsi="Arial"/>
                <w:sz w:val="13"/>
                <w:szCs w:val="13"/>
                <w:b w:val="1"/>
                <w:bCs w:val="1"/>
                <w:color w:val="auto"/>
              </w:rPr>
              <w:t>With</w:t>
            </w:r>
          </w:p>
        </w:tc>
        <w:tc>
          <w:tcPr>
            <w:tcW w:w="54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Without</w:t>
            </w: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Option</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3"/>
          </w:tcPr>
          <w:p>
            <w:pPr>
              <w:ind w:left="540"/>
              <w:spacing w:after="0"/>
              <w:rPr>
                <w:sz w:val="20"/>
                <w:szCs w:val="20"/>
                <w:color w:val="auto"/>
              </w:rPr>
            </w:pPr>
            <w:r>
              <w:rPr>
                <w:rFonts w:ascii="Arial" w:cs="Arial" w:eastAsia="Arial" w:hAnsi="Arial"/>
                <w:sz w:val="14"/>
                <w:szCs w:val="14"/>
                <w:b w:val="1"/>
                <w:bCs w:val="1"/>
                <w:color w:val="auto"/>
              </w:rPr>
              <w:t>Option</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w:t>
            </w:r>
          </w:p>
        </w:tc>
        <w:tc>
          <w:tcPr>
            <w:tcW w:w="3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Expenses payable</w:t>
            </w:r>
          </w:p>
        </w:tc>
        <w:tc>
          <w:tcPr>
            <w:tcW w:w="380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0" w:type="dxa"/>
            <w:vAlign w:val="bottom"/>
            <w:gridSpan w:val="2"/>
          </w:tcPr>
          <w:p>
            <w:pPr>
              <w:jc w:val="right"/>
              <w:ind w:right="289"/>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80" w:type="dxa"/>
            <w:vAlign w:val="bottom"/>
          </w:tcPr>
          <w:p>
            <w:pPr>
              <w:jc w:val="right"/>
              <w:ind w:right="1730"/>
              <w:spacing w:after="0"/>
              <w:rPr>
                <w:sz w:val="20"/>
                <w:szCs w:val="20"/>
                <w:color w:val="auto"/>
              </w:rPr>
            </w:pPr>
            <w:r>
              <w:rPr>
                <w:rFonts w:ascii="Arial" w:cs="Arial" w:eastAsia="Arial" w:hAnsi="Arial"/>
                <w:sz w:val="18"/>
                <w:szCs w:val="18"/>
                <w:color w:val="auto"/>
              </w:rPr>
              <w:t>156</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have agreed, subject to certain exceptions,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Goldman Sachs &amp; Co. LLC and J.P. Morgan Securities LLC for a period of 180 days after the date of this prospectus.</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executive officers and directors and PFL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Goldman Sachs &amp; Co. LLC and J.P. Morgan Securities LLC for a period of 180 days after the date of this prospectus, subject to certain exceptions.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Nasdaq, under the symbol “REYN.”</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and will not necessarily reflect the market price of the common stock following this offering. The principal factors that were considered in determining the initial public offering price included:</w:t>
      </w:r>
    </w:p>
    <w:p>
      <w:pPr>
        <w:spacing w:after="0" w:line="87" w:lineRule="exact"/>
        <w:rPr>
          <w:sz w:val="20"/>
          <w:szCs w:val="20"/>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4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w:t>
      </w:r>
    </w:p>
    <w:p>
      <w:pPr>
        <w:spacing w:after="0" w:line="76" w:lineRule="exact"/>
        <w:rPr>
          <w:sz w:val="20"/>
          <w:szCs w:val="20"/>
          <w:color w:val="auto"/>
        </w:rPr>
      </w:pPr>
    </w:p>
    <w:p>
      <w:pPr>
        <w:ind w:left="960" w:hanging="324"/>
        <w:spacing w:after="0"/>
        <w:tabs>
          <w:tab w:leader="none" w:pos="9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960" w:right="200" w:hanging="324"/>
        <w:spacing w:after="0" w:line="257"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out any covered short position by either exercising their option to purchase additional shares and/or purchasing shares in the open market.</w:t>
      </w:r>
    </w:p>
    <w:p>
      <w:pPr>
        <w:spacing w:after="0" w:line="154" w:lineRule="exact"/>
        <w:rPr>
          <w:sz w:val="20"/>
          <w:szCs w:val="20"/>
          <w:color w:val="auto"/>
        </w:rPr>
      </w:pPr>
    </w:p>
    <w:p>
      <w:pPr>
        <w:ind w:left="960" w:hanging="324"/>
        <w:spacing w:after="0" w:line="272" w:lineRule="auto"/>
        <w:tabs>
          <w:tab w:leader="none" w:pos="9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option to purchase additional shares.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shares in this offering.</w:t>
      </w:r>
    </w:p>
    <w:p>
      <w:pPr>
        <w:spacing w:after="0" w:line="83" w:lineRule="exact"/>
        <w:rPr>
          <w:rFonts w:ascii="Arial" w:cs="Arial" w:eastAsia="Arial" w:hAnsi="Arial"/>
          <w:sz w:val="17"/>
          <w:szCs w:val="17"/>
          <w:color w:val="auto"/>
        </w:rPr>
      </w:pPr>
    </w:p>
    <w:p>
      <w:pPr>
        <w:ind w:left="960" w:right="200" w:hanging="324"/>
        <w:spacing w:after="0" w:line="308" w:lineRule="auto"/>
        <w:tabs>
          <w:tab w:leader="none" w:pos="9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These transactions may be effected on Nasdaq or otherwise and, if commenced, may be discontinued at any time.</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An affiliate of Goldman Sachs &amp; Co. LLC, an underwriter in this offering, is the lender under our IPO Settlement Facility that will be repaid with net proceeds of this offering. See “Use of Proceeds”. As a result of the repayment of our IPO Settlement Facility, we expect affiliates of Goldman Sachs</w:t>
      </w:r>
    </w:p>
    <w:p>
      <w:pPr>
        <w:ind w:left="200" w:right="140" w:firstLine="4"/>
        <w:spacing w:after="0" w:line="254" w:lineRule="auto"/>
        <w:tabs>
          <w:tab w:leader="none" w:pos="38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 LLC will receive at least 5% of the net proceeds of this offering. As a result of this repayment, we expect a “conflict of interest” will be deemed to exist under FINRA Rule 5121(f)(5)(C)(i), and this offering will be made in compliance with the applicable provisions of FINRA Rule 5121. To comply with Rule 5121, Goldman Sachs &amp; Co. LLC will not confirm any sales to any account over which it exercises discretionary authority without the specific written approval of the transaction from the account holder.</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Rule 5121 requires that a “qualified independent underwriter” has participated in the preparation of the offering documents and has exercised the usual standards of due diligence in respect thereto. Accordingly, Credit Suisse Securities (USA) LLC is assuming the responsibilities of acting as the qualified independent underwriter in pricing the offering and conducting due diligence.</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Credit Suisse Loan Funding LLC, an affiliate of Credit Suisse Securities (USA) LLC, is the lead arranger and bookrunner for the New Term Loan Facility. Credit Suisse AG, Cayman Islands Branch, an affiliate of Credit Suisse Securities (USA) LLC, is anticipated to be the administrative agent and the collateral agent in respect of the New Term Loan Facility and is anticipated to be a lender and an issuing bank thereunder. Certain of the other underwriters or their affiliates are also acting as arrangers and bookrunners for, and are anticipated to be lenders and issuing banks under, the New Term Loan Facility.</w:t>
      </w:r>
    </w:p>
    <w:p>
      <w:pPr>
        <w:spacing w:after="0" w:line="188"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Certain affiliates of Credit Suisse Securities (USA) LLC, Goldman Sachs &amp; Co. LLC, J.P. Morgan Securities LLC and certain of the other underwriters have preexisting lending relationships with PHL, PFL and/or RGHL Group and certain of their respective affiliates.</w:t>
      </w:r>
    </w:p>
    <w:p>
      <w:pPr>
        <w:spacing w:after="0" w:line="14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Goldman Sachs &amp; Co. LLC and JPMorgan Securities plc, an affiliate of J.P. Morgan Securities LLC, and certain of their current or former affiliates are among the named defendants in consolidated antitrust lawsuits brought by several groups of plaintiffs, including an affiliate of Reynolds Consumer Products Inc. The plaintiffs allege violations of federal antitrust laws and state laws in connection with the storage of aluminum and aluminum trading between 2010 and 2016. This case is currently pending in the United States District Court for the Southern District of New York.</w:t>
      </w: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4" w:lineRule="exact"/>
        <w:rPr>
          <w:sz w:val="20"/>
          <w:szCs w:val="20"/>
          <w:color w:val="auto"/>
        </w:rPr>
      </w:pPr>
    </w:p>
    <w:p>
      <w:pPr>
        <w:ind w:left="1180" w:hanging="544"/>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5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180" w:hanging="544"/>
        <w:spacing w:after="0" w:line="259"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92"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5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1180" w:hanging="544"/>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180" w:right="100" w:hanging="544"/>
        <w:spacing w:after="0" w:line="308" w:lineRule="auto"/>
        <w:tabs>
          <w:tab w:leader="none" w:pos="11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2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7" w:lineRule="exact"/>
        <w:rPr>
          <w:sz w:val="20"/>
          <w:szCs w:val="20"/>
          <w:color w:val="auto"/>
        </w:rPr>
      </w:pPr>
    </w:p>
    <w:p>
      <w:pPr>
        <w:ind w:left="1180" w:right="2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180" w:right="80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 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the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validity of the issuance of the shares of capital stock offered hereby and certain legal matters in connection with this offering will be passed upon for us by Davis Polk &amp; Wardwell LLP. The underwriters have been represented by Cravath, Swaine &amp; Moore LLP.</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that contains reports, proxy and information statements and other information we have filed electronically with the SEC.</w:t>
      </w:r>
    </w:p>
    <w:p>
      <w:pPr>
        <w:spacing w:after="0" w:line="16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a result of this offering, we will be required to file periodic reports and other information with the SEC. We also maintain a website at www.reynoldsconsumerproducts.com. Our website and the information contained therein or connected thereto shall not be deemed to be incorporated into this prospectus or the registration statement of which it forms a part.</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intend to make available to our stockholders annual reports containing consolidated financial statements audited by an independent registered public accounting firm.</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240" w:top="460"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Combined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Annual Combined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80" w:type="dxa"/>
            <w:vAlign w:val="bottom"/>
            <w:gridSpan w:val="1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580" w:type="dxa"/>
            <w:vAlign w:val="bottom"/>
            <w:gridSpan w:val="14"/>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76">
              <w:r>
                <w:rPr>
                  <w:rFonts w:ascii="Arial" w:cs="Arial" w:eastAsia="Arial" w:hAnsi="Arial"/>
                  <w:sz w:val="18"/>
                  <w:szCs w:val="18"/>
                  <w:color w:val="0000EE"/>
                  <w:w w:val="90"/>
                </w:rPr>
                <w:t>Combined Statements of Income for the years ended December 31, 2018, 2017 and 2016</w:t>
              </w:r>
            </w:hyperlink>
          </w:p>
        </w:tc>
        <w:tc>
          <w:tcPr>
            <w:tcW w:w="412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0580" w:type="dxa"/>
            <w:vAlign w:val="bottom"/>
            <w:gridSpan w:val="1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Combined Statements of Comprehensive Income for the years ended December 31, 2018, 2017 and 2016</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4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78">
              <w:r>
                <w:rPr>
                  <w:rFonts w:ascii="Arial" w:cs="Arial" w:eastAsia="Arial" w:hAnsi="Arial"/>
                  <w:sz w:val="18"/>
                  <w:szCs w:val="18"/>
                  <w:color w:val="0000EE"/>
                  <w:w w:val="88"/>
                </w:rPr>
                <w:t>Combined Balance Sheets as of December 31, 2018 and 2017</w:t>
              </w:r>
            </w:hyperlink>
          </w:p>
        </w:tc>
        <w:tc>
          <w:tcPr>
            <w:tcW w:w="3120" w:type="dxa"/>
            <w:vAlign w:val="bottom"/>
            <w:tcBorders>
              <w:top w:val="single" w:sz="8" w:color="0000EE"/>
            </w:tcBorders>
            <w:gridSpan w:val="6"/>
          </w:tcPr>
          <w:p>
            <w:pPr>
              <w:spacing w:after="0"/>
              <w:rPr>
                <w:sz w:val="24"/>
                <w:szCs w:val="24"/>
                <w:color w:val="auto"/>
              </w:rPr>
            </w:pPr>
          </w:p>
        </w:tc>
        <w:tc>
          <w:tcPr>
            <w:tcW w:w="30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70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79">
              <w:r>
                <w:rPr>
                  <w:rFonts w:ascii="Arial" w:cs="Arial" w:eastAsia="Arial" w:hAnsi="Arial"/>
                  <w:sz w:val="18"/>
                  <w:szCs w:val="18"/>
                  <w:color w:val="0000EE"/>
                  <w:w w:val="91"/>
                </w:rPr>
                <w:t>Combined Statements of Equity (Deficit) for the years ended December 31, 2018, 2017 and 2016</w:t>
              </w:r>
            </w:hyperlink>
          </w:p>
        </w:tc>
        <w:tc>
          <w:tcPr>
            <w:tcW w:w="35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0">
              <w:r>
                <w:rPr>
                  <w:rFonts w:ascii="Arial" w:cs="Arial" w:eastAsia="Arial" w:hAnsi="Arial"/>
                  <w:sz w:val="18"/>
                  <w:szCs w:val="18"/>
                  <w:color w:val="0000EE"/>
                  <w:w w:val="89"/>
                </w:rPr>
                <w:t>Combined Statements of Cash Flows for the years ended December 31, 2018, 2017 and 2016</w:t>
              </w:r>
            </w:hyperlink>
          </w:p>
        </w:tc>
        <w:tc>
          <w:tcPr>
            <w:tcW w:w="382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tcPr>
          <w:p>
            <w:pPr>
              <w:spacing w:after="0"/>
              <w:rPr>
                <w:rFonts w:ascii="Arial" w:cs="Arial" w:eastAsia="Arial" w:hAnsi="Arial"/>
                <w:sz w:val="18"/>
                <w:szCs w:val="18"/>
                <w:color w:val="0000EE"/>
                <w:w w:val="89"/>
              </w:rPr>
            </w:pPr>
            <w:hyperlink w:anchor="page181">
              <w:r>
                <w:rPr>
                  <w:rFonts w:ascii="Arial" w:cs="Arial" w:eastAsia="Arial" w:hAnsi="Arial"/>
                  <w:sz w:val="18"/>
                  <w:szCs w:val="18"/>
                  <w:color w:val="0000EE"/>
                  <w:w w:val="89"/>
                </w:rPr>
                <w:t>Notes to the Combined Financial Statements</w:t>
              </w:r>
            </w:hyperlink>
          </w:p>
        </w:tc>
        <w:tc>
          <w:tcPr>
            <w:tcW w:w="736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45"/>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Interim Condensed Combined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10">
              <w:r>
                <w:rPr>
                  <w:rFonts w:ascii="Arial" w:cs="Arial" w:eastAsia="Arial" w:hAnsi="Arial"/>
                  <w:sz w:val="18"/>
                  <w:szCs w:val="18"/>
                  <w:color w:val="0000EE"/>
                  <w:w w:val="89"/>
                </w:rPr>
                <w:t>Condensed Combined Statements of Income (unaudited) for the nine months ended September 30, 2019 and 2018</w:t>
              </w:r>
            </w:hyperlink>
          </w:p>
        </w:tc>
        <w:tc>
          <w:tcPr>
            <w:tcW w:w="236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304"/>
        </w:trPr>
        <w:tc>
          <w:tcPr>
            <w:tcW w:w="10580" w:type="dxa"/>
            <w:vAlign w:val="bottom"/>
            <w:gridSpan w:val="14"/>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Condensed Combined Statements of Comprehensive Income (unaudited) for the nine months ended September 30,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304"/>
        </w:trPr>
        <w:tc>
          <w:tcPr>
            <w:tcW w:w="7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12">
              <w:r>
                <w:rPr>
                  <w:rFonts w:ascii="Arial" w:cs="Arial" w:eastAsia="Arial" w:hAnsi="Arial"/>
                  <w:sz w:val="18"/>
                  <w:szCs w:val="18"/>
                  <w:color w:val="0000EE"/>
                  <w:w w:val="88"/>
                </w:rPr>
                <w:t>Condensed Combined Balance Sheets (unaudited) as of September 30, 2019 and December 31, 2018</w:t>
              </w:r>
            </w:hyperlink>
          </w:p>
        </w:tc>
        <w:tc>
          <w:tcPr>
            <w:tcW w:w="2120" w:type="dxa"/>
            <w:vAlign w:val="bottom"/>
            <w:tcBorders>
              <w:top w:val="single" w:sz="8" w:color="0000EE"/>
            </w:tcBorders>
            <w:gridSpan w:val="5"/>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304"/>
        </w:trPr>
        <w:tc>
          <w:tcPr>
            <w:tcW w:w="88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13">
              <w:r>
                <w:rPr>
                  <w:rFonts w:ascii="Arial" w:cs="Arial" w:eastAsia="Arial" w:hAnsi="Arial"/>
                  <w:sz w:val="18"/>
                  <w:szCs w:val="18"/>
                  <w:color w:val="0000EE"/>
                  <w:w w:val="90"/>
                </w:rPr>
                <w:t>Condensed Combined Statements of Equity (Deficit) (unaudited) for the nine months ended September 30, 2019 and 2018</w:t>
              </w:r>
            </w:hyperlink>
          </w:p>
        </w:tc>
        <w:tc>
          <w:tcPr>
            <w:tcW w:w="17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304"/>
        </w:trPr>
        <w:tc>
          <w:tcPr>
            <w:tcW w:w="8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4">
              <w:r>
                <w:rPr>
                  <w:rFonts w:ascii="Arial" w:cs="Arial" w:eastAsia="Arial" w:hAnsi="Arial"/>
                  <w:sz w:val="18"/>
                  <w:szCs w:val="18"/>
                  <w:color w:val="0000EE"/>
                  <w:w w:val="89"/>
                </w:rPr>
                <w:t>Condensed Combined Statements of Cash Flows (unaudited) for the nine months ended September 30, 2019 and 2018</w:t>
              </w:r>
            </w:hyperlink>
          </w:p>
        </w:tc>
        <w:tc>
          <w:tcPr>
            <w:tcW w:w="206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304"/>
        </w:trPr>
        <w:tc>
          <w:tcPr>
            <w:tcW w:w="10580" w:type="dxa"/>
            <w:vAlign w:val="bottom"/>
            <w:gridSpan w:val="14"/>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Notes to the Condensed Combined 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85"/>
        </w:trPr>
        <w:tc>
          <w:tcPr>
            <w:tcW w:w="32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640" w:type="dxa"/>
            <w:vAlign w:val="bottom"/>
            <w:gridSpan w:val="10"/>
          </w:tcPr>
          <w:p>
            <w:pPr>
              <w:ind w:left="4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 and Board of Directors of Reynolds Group Holdings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the Reynolds Consumer Group, which is comprised of the Reynolds Consumer Products segment of Reynolds Group Holdings Limited, (the “Company”) as of December 31, 2018 and 2017, and the related combined statements of income, of comprehensive income, of equity (deficit) and of cash flows for each of the three years in the period ended December 31, 2018, including the related notes (collectively referred to as the “combined financial statements”). In our opinion, the combined financial statements present fairly, in all material respects, the combined financial position of the Reynolds Consumer Group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2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As discussed in Note 15 to the combined financial statements, the Company settled significant related party balances with Reynolds Group Holdings Limited and its subsidiaries in June 2019.</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28, 2019, except for the effects of the segment change described in Note 13, as to which the date is October 25,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(2,310)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(2,095)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Postretirement benefit plans</w:t>
            </w: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Related party receivables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payables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Related party accrued interest payable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Current portion of related party borrowings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related party borrowings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postretirement benefit obligation</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7,209</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(deficit)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Net Parent deficit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(1,034)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(1,304)</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equity (deficit)</w:t>
            </w:r>
          </w:p>
        </w:tc>
        <w:tc>
          <w:tcPr>
            <w:tcW w:w="2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(1,298)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Combined Statements of Equity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Other</w:t>
            </w:r>
          </w:p>
        </w:tc>
        <w:tc>
          <w:tcPr>
            <w:tcW w:w="15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Comprehensive</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(1,641)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(1,522)</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jc w:val="right"/>
              <w:ind w:right="4610"/>
              <w:spacing w:after="0"/>
              <w:rPr>
                <w:sz w:val="20"/>
                <w:szCs w:val="20"/>
                <w:color w:val="auto"/>
              </w:rPr>
            </w:pPr>
            <w:r>
              <w:rPr>
                <w:rFonts w:ascii="Arial" w:cs="Arial" w:eastAsia="Arial" w:hAnsi="Arial"/>
                <w:sz w:val="18"/>
                <w:szCs w:val="18"/>
                <w:b w:val="1"/>
                <w:bCs w:val="1"/>
                <w:color w:val="auto"/>
                <w:w w:val="88"/>
              </w:rPr>
              <w:t>Balance as of December 31, 2018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Combined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provided by (used in) operating activities</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Unrealized losses (gains) on derivatives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portion of employee benefit obligations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non-cash items,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Accounts receivables,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receivables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Related party receivables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payables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Related party accrued interest payable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Accrued and other current liabilities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Employee benefit obligations, net</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Advances to related parties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(650)</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from related parties</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Long-term debt repayments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related parties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Repayments to related parties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(255)</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transaction costs on long-term debt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transfers from (to) Parent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Increase (decrease) in cash and cash equivalents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the year</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Balance as of end of the year</w:t>
            </w:r>
          </w:p>
        </w:tc>
        <w:tc>
          <w:tcPr>
            <w:tcW w:w="2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Interest—long-term debt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Interest—related party borrowings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Significant non-cash investing and financing 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14—Related Party Transactions for details of significant non-cash investing and financing activities.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1—Description of Business and Basis of Presentation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Reynolds Consumer Group (“we”, “us” or “our”) comprises the business that has been reported as the Reynolds Consumer Products segment in the consolidated financial statements of Reynolds Group Holdings Limited (“RGHL”) and its subsidiaries (collectively, “RGHL Group” or the “Parent”).</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produce and sell products across three broad categories: cooking products, waste &amp; storage products and tableware. We sell our products under brands such as Reynolds</w:t>
      </w:r>
      <w:r>
        <w:rPr>
          <w:rFonts w:ascii="Arial" w:cs="Arial" w:eastAsia="Arial" w:hAnsi="Arial"/>
          <w:sz w:val="15"/>
          <w:szCs w:val="15"/>
          <w:color w:val="auto"/>
        </w:rPr>
        <w:t>®</w:t>
      </w:r>
      <w:r>
        <w:rPr>
          <w:rFonts w:ascii="Arial" w:cs="Arial" w:eastAsia="Arial" w:hAnsi="Arial"/>
          <w:sz w:val="18"/>
          <w:szCs w:val="18"/>
          <w:color w:val="auto"/>
        </w:rPr>
        <w:t xml:space="preserve"> and Hefty</w:t>
      </w:r>
      <w:r>
        <w:rPr>
          <w:rFonts w:ascii="Arial" w:cs="Arial" w:eastAsia="Arial" w:hAnsi="Arial"/>
          <w:sz w:val="15"/>
          <w:szCs w:val="15"/>
          <w:color w:val="auto"/>
        </w:rPr>
        <w:t>®</w:t>
      </w:r>
      <w:r>
        <w:rPr>
          <w:rFonts w:ascii="Arial" w:cs="Arial" w:eastAsia="Arial" w:hAnsi="Arial"/>
          <w:sz w:val="18"/>
          <w:szCs w:val="18"/>
          <w:color w:val="auto"/>
        </w:rPr>
        <w:t>,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historically operated as part of RGHL Group and not as a stand-alone entity. Our combined financial statements present the results of operations, financial position and cash flows prepared on a stand-alone basis and have been derived from the consolidated financial statements and accounting records of RGHL Group. All revenues and costs as well as assets and liabilities that are either legally attributable to us or directly associated with our business activities are included in our combined financial statements. Intercompany transactions, profits and balances between our combined entities have been eliminated. Our combined financial statements include Reynolds Consumer Products Inc., the entity whose shares will be issued to the public. Our combined financial statements have been prepared in accordance with accounting principles generally accepted in the United States of America (“U.S. GAAP”).</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combined statements of income include allocations of certain expenses for services provided by RGHL Group, including, but not limited to, general corporate expenses related to group wide functions including executive management, finance, legal, tax, information technology and a portion of a related party management fee incurred by RGHL Group. Total costs allocated to us for these functions were $40 million, $37 million and $39 million for the years ended December 31, 2018, 2017 and 2016, respectively, and were primarily included in selling, general and administrative expenses in our combined statements of income. These amounts include costs of $21 million, $20 million and $23 million for the years ended December 31, 2018, 2017 and 2016, respectively, that were not historically allocated to us as part of RGHL Group’s normal monthly reporting process.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78"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combined results of operations, financial position and cash flows had we operated as a stand-alone company during the years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4"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RGHL Group centrally manages substantially all of our financial resources. We finance our operating and capital requirements through a combination of cash provided by operations, RGHL Group’s external borrowings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that we have incurred and intercompany funding with RGHL Group. We are a borrower under a portion of RGHL Group’s external borrowings and therefore a portion of this third-party debt is reflected as long-term debt on our combined balance sheets. Refer to Note 6—Debt and Borrowing Arrangements for further information. Our intercompany funding with RGHL Group, which is subject to various legal agreements with RGHL Group, is reflected in related party borrowings on our combined balance sheets. We also advance surplus cash to RGHL Group as part of its cash management activities. The balance of these amounts is reflected in non-current related party receivables in our combined balance sheets. Refer to Note 14—Related Party Transactions for further information.</w:t>
      </w:r>
    </w:p>
    <w:p>
      <w:pPr>
        <w:spacing w:after="0" w:line="19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does not exist between the various entities of our combined group, a Net Parent deficit account is shown in our combined financial statements. The majority of transactions between us and RGHL Group have a history of settlement or are expected to be settled for cash as part of the share offering. These transactions have been reflected in our combined balance sheets as related party receivables and payables. Transactions that do not have a history of settlement are reflected in equity (deficit) in our combined balance sheets as Net Parent deficit and, when cash is utilized (contributed), in our combined statements of cash flows as a financing activity in net transfers from (to) Parent. Refer to Note 14—Related Party Transactions for further information.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Current Liabilities: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we are an operating segment of RGHL Group, cash management decisions by RGHL Group have an impact on our combined financial statements. Those decisions include matters such as the terms of related party borrowings, including maturity dates, and whether cash is advanced to RGHL Group through the repayment of accrued interest or outstanding borrowings, or by way of a new related party receivable. As a result, our combined balance sheets present net current liabilities (total current assets less total current liabilities). Refer to Note 2—Summary of Significant Accounting Policies and Note 14—Related Party Transactions for further details regarding related party transactions and balances, as well as Note 15— Subsequent Events for further details regarding the settlement of certain related party balances in June 2019.</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prepare our combined financial statements in accordance with U.S. GAAP, which requires us to make estimates and assumptions that affect a number of amounts in our combined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combined results of operations in the period the actual amounts become known. Historically, the aggregate differences, if any, between our estimates and actual amounts in any year have not had a material effect on our combined financial statements.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combined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equity (deficit) within accumulated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comprehensive income and transaction gains and losses in other expense, net in our combined statements of income.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2018 and 2017 were $4 million and $7 million, respectively.</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Substantially all of our U.S. accounts receivables are transferred in their entirety to RGHL Group and are accounted for as a sale in accordance with our accounts receivable factoring arrangement described below. The allowance for doubtful accounts related to the accounts receivable of our non-U.S. operations was less than $1 million in each of the years presented.</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Variable interest entities (“VIEs”) are primarily entities that lack sufficient equity to finance their activities without additional financial support from other parties or whose equity holders, as a group, lack one or more of the following characteristics: (a) direct or indirect ability to make decisions,</w:t>
      </w:r>
    </w:p>
    <w:p>
      <w:pPr>
        <w:ind w:left="200" w:firstLine="4"/>
        <w:spacing w:after="0" w:line="287" w:lineRule="auto"/>
        <w:tabs>
          <w:tab w:leader="none" w:pos="4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obligation to absorb expected losses or (c)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To determine a VIE’s primary beneficiary, we perform a qualitative assessment to determine which party, if any, has the power to direct activities of the VIE and the obligation to absorb losses and or receive its benefits. This assessment involves identifying the activities that most significantly impact the VIE’s economic performance and determine whether we, or another party, has the power to direct those activities. In each of the years presented, we had a variable interest in one VIE related to our factoring arrangement with RGHL Group, described below.</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account for transfers of financial assets, such as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have a non-recourse factoring arrangement in which we sell eligible receivables to a special purpose entity (“SPE”) consolidated by RGHL Group in exchange for cash. We transfer sold accounts receivables in their entirety to RGHL Group and satisfy all of the conditions to report the transfer of financial assets in their entirety as a sale. We continue to collect the receivables sold, acting solely as a collecting agent on behalf of RGHL Group, and</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60"/>
          </w:cols>
          <w:pgMar w:left="240" w:top="460"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received income of $1 million in each of the years presented for this service. We have not recognized any assets or liabilities related to the servicing arrangement as of December 31, 2018 and 2017. The SPE is considered to be a VIE, however we are not its primary beneficiary because we do not have the power to direct any of its most significant activities through our arrangement as a collecting agent. The principal amount of receivables sold under this arrangement was $3,101 million, $2,952 million and $2,900 million during the years ended December 31, 2018, 2017 and 2016, respectively, and represents substantially all of our U.S. accounts receivable. The balance of receivables sold, and still outstanding, was $264 million and $260 million as of December 31, 2018 and 2017, respectively. The incremental costs of factoring receivables under this arrangement are included in other expense, net in our combined statements of income. Refer to Note 9—Other Expense, Net for additional information. The proceeds from the sales of receivables are included in cash from operating activities in our combined statements of cash flows.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jc w:val="both"/>
        <w:ind w:left="200" w:right="160" w:firstLine="441"/>
        <w:spacing w:after="0" w:line="257" w:lineRule="auto"/>
        <w:rPr>
          <w:sz w:val="20"/>
          <w:szCs w:val="20"/>
          <w:color w:val="auto"/>
        </w:rPr>
      </w:pPr>
      <w:r>
        <w:rPr>
          <w:rFonts w:ascii="Arial" w:cs="Arial" w:eastAsia="Arial" w:hAnsi="Arial"/>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combined statements of income.</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combined statements of income. There were no impairments of long-lived assets in any of the years presented.</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classify leases at inception date as either a capital lease or an operating lease. A lease is a capital lease if any of the following conditions exist: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ownership is transferred to the lessee by the end of the lease term,</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 w:firstLine="4"/>
        <w:spacing w:after="0" w:line="259" w:lineRule="auto"/>
        <w:tabs>
          <w:tab w:leader="none" w:pos="4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We had no capital leases during any of the years presented. We account for all other leases as operating leases wherein rental payments are expensed on a straight-line basis over their respective lease term.</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 xml:space="preserve">On January 1, 2018 we adopted the requirements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contains a new revenue recognition framework, on a modified retrospective basis. Our accounting policies for revenue recognition for the current year and previous years are presented below.</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From January 1, 2018, 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based on known or expected adjustments.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Prior to January 1, 2018, we recognized revenue when the sales price was determinable and the risks and rewards of ownership had transferred to the customer as determined by the shipping terms. Revenues were recorded net of sales incentives, which were based on historical promotional experience.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Marketing, Advertising and Research and Development:</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combined balance sheets and all marketing and advertising costs are recorded as an expense in the year incurred. Advertising expense was $55 million, $56 million and $80 million in the years ended December 31, 2018, 2017 and 2016, respectively. We expense product research and development costs as incurred. Research and development expense was $29 million, $27 million and $30 million in the years ended December 31, 2018, 2017 and 2016, respectively. We record marketing and advertising as well as research and development expenses in selling, general and administrative expenses.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provide benefits to our current and retired employees. The cost for these plans is recognized in income primarily over the working life of the covered employee. We participate in a defined benefit plan sponsored by RGHL Group, which is accounted for as a multiemployer plan in our combined financial statements. We also sponsor a postretirement benefit plan which is accounted for as a single employer plan in our combined financial statements. See Note 8—Benefit Plans for additional information.</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 We are not a party to leveraged derivatives and, by policy, do not use financial instruments for speculative purposes.</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record derivative financial instruments on a gross basis and at fair value in our combined balance sheets in other current assets or accrued and other current liabilities due to their relatively short-term duration. Cash flows from derivative instruments are classified as operating activities in our combined statements of cash flows based on the nature of the derivative instrument. Historically, we have not elected to use hedge accounting. Accordingly, any unrealized gains or losses (mark-to-market impacts) and realized gains or losses are recorded in cost of sales in our combined statements of income.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years presented, our U.S. operations were included in consolidated U.S. federal, certain state and local tax returns filed by RGHL Group. We also file certain separate U.S. state and local and foreign income tax</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may not be indicative of our income taxes in the future. In jurisdictions where we have been included in tax returns filed by RGHL Group, any income taxes payable resulting from the related income tax expense has been reflected in the combined balance sheets in Net Parent deficit.</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7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recognize tax benefits in our combined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7"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U.S. 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2" w:lineRule="exact"/>
        <w:rPr>
          <w:sz w:val="20"/>
          <w:szCs w:val="20"/>
          <w:color w:val="auto"/>
        </w:rPr>
      </w:pPr>
    </w:p>
    <w:p>
      <w:pPr>
        <w:ind w:left="960" w:hanging="3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30" w:lineRule="exact"/>
        <w:rPr>
          <w:rFonts w:ascii="Arial" w:cs="Arial" w:eastAsia="Arial" w:hAnsi="Arial"/>
          <w:sz w:val="18"/>
          <w:szCs w:val="18"/>
          <w:color w:val="auto"/>
        </w:rPr>
      </w:pPr>
    </w:p>
    <w:p>
      <w:pPr>
        <w:ind w:left="960" w:right="200" w:hanging="324"/>
        <w:spacing w:after="0" w:line="312" w:lineRule="auto"/>
        <w:tabs>
          <w:tab w:leader="none" w:pos="9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52" w:lineRule="exact"/>
        <w:rPr>
          <w:rFonts w:ascii="Arial" w:cs="Arial" w:eastAsia="Arial" w:hAnsi="Arial"/>
          <w:sz w:val="16"/>
          <w:szCs w:val="16"/>
          <w:color w:val="auto"/>
        </w:rPr>
      </w:pPr>
    </w:p>
    <w:p>
      <w:pPr>
        <w:ind w:left="960" w:hanging="324"/>
        <w:spacing w:after="0"/>
        <w:tabs>
          <w:tab w:leader="none" w:pos="9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Level 3 inputs are unobservable inputs in which little or no market data exists, therefore requiring an entity to develop its own assumptions.</w:t>
      </w:r>
    </w:p>
    <w:p>
      <w:pPr>
        <w:spacing w:after="0" w:line="248"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Our assets and liabilities measured at fair value on a recurring basis are presented in Note 7—Financial Instruments. We have no assets or liabilities measured at fair value on a non-recurring basis in any of the years presented.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2018 and 2017 due to the short-term nature of these instruments.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outlines a new, single comprehensive model for companies to use in accounting for revenue. The core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matters such as principal versus agent (gross versus net) revenue presentation considerations and clarified the guidance for identifying performance obligations within a contract.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We adopted the new standard on January 1, 2018 on a modified retrospective basis for all contracts not completed as of the date of adoption, resulting in a $5 million adjustment to Net Parent deficit, reflecting the acceleration of recognizing sales incentives associated with future promotional activity at the time of the sale. There was no other material financial impact from adopting the new revenue recognition standard. Also refer to the combined statements of equity (deficit), the Revenue Recognition section above and Note 13—Segment Information for additional information.</w:t>
      </w:r>
    </w:p>
    <w:p>
      <w:pPr>
        <w:spacing w:after="0" w:line="175"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which requires management to assess an entity’s ability to continue as a going</w:t>
      </w:r>
      <w:r>
        <w:rPr>
          <w:rFonts w:ascii="Arial" w:cs="Arial" w:eastAsia="Arial" w:hAnsi="Arial"/>
          <w:sz w:val="17"/>
          <w:szCs w:val="17"/>
          <w:i w:val="1"/>
          <w:iCs w:val="1"/>
          <w:color w:val="auto"/>
        </w:rPr>
        <w:t xml:space="preserve"> </w:t>
      </w:r>
      <w:r>
        <w:rPr>
          <w:rFonts w:ascii="Arial" w:cs="Arial" w:eastAsia="Arial" w:hAnsi="Arial"/>
          <w:sz w:val="17"/>
          <w:szCs w:val="17"/>
          <w:color w:val="auto"/>
        </w:rPr>
        <w:t>concern, and to provide related footnote disclosures in certain circumstances, such as the existence of substantial doubt. At each annual and interim reporting date, we are required to evaluate our ability to continue as a going concern for one year after the issuance date. This guidance was effective on December 31, 2016. The adoption of this ASU did not have a significant impact on our combined financial statements.</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with the objective of reducing the existing diversity in practice with respect to how certain cash flow items are classified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The ASU is effective for annual reporting periods beginning after December 15, 2017, with early adoption permitted. We adopted the standard on January 1, 2018 and it had no impact on our combined financial statements.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eliminates the requirement to determine the fair value of individual assets and liabilities of a reporting unit to measure goodwill impairment. Goodwill impairment testing is now performed by comparing the fair value of the reporting unit with its carrying amount and recognizing an impairment charge for the amount by which the carrying amount exceeds fair value. The new standard is effective for goodwill impairment tests in annual reporting periods beginning after December 15, 2019, and should be applied on a prospective basis, with early adoption permitted for interim or annual goodwill impairment tests performed on testing dates after January 1, 2017. We early adopted this guidance on January 1, 2017 and it had no material impact on our combined financial statements.</w:t>
      </w:r>
    </w:p>
    <w:p>
      <w:pPr>
        <w:spacing w:after="0" w:line="16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Cost and Net Periodic Postretirement Benefit Cost</w:t>
      </w:r>
      <w:r>
        <w:rPr>
          <w:rFonts w:ascii="Arial" w:cs="Arial" w:eastAsia="Arial" w:hAnsi="Arial"/>
          <w:sz w:val="16"/>
          <w:szCs w:val="16"/>
          <w:color w:val="auto"/>
        </w:rPr>
        <w:t>, which amended the income statement presentation of the components of net periodic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cost for an entity’s sponsored defined benefit pension and other postretirement plans. The amendment requires entities to present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current service cost component with other current compensation costs in the income statement within income from operations and present the other components outside of income from operations. The amendment is effective for annual reporting periods beginning after December 15, 2017. We adopted this amendment retrospectively on January 1, 2018 and have presented the service cost in cost of sales and selling, general and administrative expenses and the other components of net periodic benefit cost in other expense, net in our combined statements of income.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Accounting Guidance Issued But Not Yet Adopted as of December 31, 2018:</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requiring the recognition of Right of Use (“ROU”) assets and lease liabilities on the balance sheet and the disclosure of key information about leasing arrangements. The ASU revises existing U.S. GAAP and outlines a new model for lessors and lessees to use in accounting for lease contracts. The guidance requires lessees to recognize an ROU asset and a lease liability on the balance sheet for all leases, with the exception of short-term leases. Lessees will classify leases as either operating (resulting in straight-line expense recognition) or finance (resulting in a front-loaded expense pattern). In July 2018, the FASB issued an ASU which allows for an alternative transition approach, which will not require adjustments to comparative prior-period amounts. Topic 842 and all related ASUs are effective for fiscal years beginning after December 15, 2018, with early adoption permitted. We adopted the new standard on January 1, 2019. We elected to apply the package of practical expedients, including not reassessing whether expired or existing contracts contained leases, the classification of those leases and initial direct costs for any existing leases. We elected not to separate non-lease components from lease components and to account for both as a single lease component for all classes of underlying assets. We also elected to exclude short-term leases (term of 12 months or less) from the balance sheet presentation. The most significant impact from adopting the standard is the initial recognition of operating lease ROU assets and lease liabilities on our combined balance sheet. Upon adoption, we expect to record ROU assets and lease liabilities of approximately $35 million to $40 million, representing the present value of future lease payments with terms greater than 12 months. The transition method we elected for adoption of the standard requires us to make a cumulative effect adjustment as of January 1, 2019. This amount is not expected to be material. The impact on our combined statements of income and combined statements of cash flows is not expected to be material.</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modifies the impairment model to use an expected loss methodology in place of the currently used incurred loss methodology,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earlier recognition of losses related to financial instruments. This ASU is effective for annual reporting periods beginning after December 15, 2019, with early adoption permitted, and requires a cumulative effect adjustment to the balance sheet upon adoption. We are currently assessing the impact on our combined financial statements.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Tax Effects from Accumulated Other Comprehensive Income</w:t>
      </w:r>
      <w:r>
        <w:rPr>
          <w:rFonts w:ascii="Arial" w:cs="Arial" w:eastAsia="Arial" w:hAnsi="Arial"/>
          <w:sz w:val="18"/>
          <w:szCs w:val="18"/>
          <w:color w:val="auto"/>
        </w:rPr>
        <w:t>, that permits entities to elect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2017 enactment of U.S. tax reform legislation. The ASU is effective for fiscal years beginning after December 15, 2018, with early adoption permitted. We adopted the standard as of January 1, 2019 and there was no material impact on our combined financial statements.</w:t>
      </w:r>
    </w:p>
    <w:p>
      <w:pPr>
        <w:spacing w:after="0" w:line="18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In August 2018, the FASB issued ASU 2018-14, Compensation—Retirement Benefits—Defined Benefit Plans —General (Subtopic 715-20) Disclosure—Framework—Changes to the Disclosure Requirements for Defined Benefit Plans. The ASU modifies the disclosure requirements for employers that sponsor defined benefit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pension or other postretirement plans. The ASU is effective for fiscal years beginning after December 15, 2020, with early adoption permitted. We are currently evaluating the requirements of this guidance, which is expected to impact our disclosures but is not expected to impact the measurement and recognition of amounts in our combined financial statements.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for internal-use software. This ASU is effective for annual reporting periods beginning after December 15, 2019, with early adoption permitted. We are currently assessing the impact on our combined financial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40" w:type="dxa"/>
            <w:vAlign w:val="bottom"/>
            <w:gridSpan w:val="3"/>
            <w:shd w:val="clear" w:color="auto" w:fill="CCEEFF"/>
          </w:tcPr>
          <w:p>
            <w:pPr>
              <w:ind w:left="236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Work in progress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Spare parts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440" w:type="dxa"/>
            <w:vAlign w:val="bottom"/>
            <w:gridSpan w:val="3"/>
            <w:shd w:val="clear" w:color="auto" w:fill="CCEEFF"/>
          </w:tcPr>
          <w:p>
            <w:pPr>
              <w:ind w:left="2360"/>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4—Property, Plant and Equipment, Net</w:t>
            </w: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2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consisted of the following:</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8"/>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841</w:t>
            </w: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(610)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Depreciation expense was $55 million, $58 million and $59 million for the years ended December 31, 2018, 2017 and 2016, respectively, of which $49 million, $47 million and $48 million was recognized in cost of sales, respectively, and $6 million, $11 million and $11 million was recognized in selling, general and administrative expenses, respectively.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Goodwill by reportable segment was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Reynolds</w:t>
            </w:r>
          </w:p>
        </w:tc>
        <w:tc>
          <w:tcPr>
            <w:tcW w:w="15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5"/>
              </w:rPr>
              <w:t>Hefty Waste &amp;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gridSpan w:val="3"/>
          </w:tcPr>
          <w:p>
            <w:pPr>
              <w:ind w:left="980"/>
              <w:spacing w:after="0" w:line="149" w:lineRule="exact"/>
              <w:rPr>
                <w:sz w:val="20"/>
                <w:szCs w:val="20"/>
                <w:color w:val="auto"/>
              </w:rPr>
            </w:pPr>
            <w:r>
              <w:rPr>
                <w:rFonts w:ascii="Arial" w:cs="Arial" w:eastAsia="Arial" w:hAnsi="Arial"/>
                <w:sz w:val="14"/>
                <w:szCs w:val="14"/>
                <w:b w:val="1"/>
                <w:bCs w:val="1"/>
                <w:color w:val="auto"/>
                <w:w w:val="94"/>
              </w:rPr>
              <w:t>Cooking &amp;</w:t>
            </w:r>
          </w:p>
        </w:tc>
        <w:tc>
          <w:tcPr>
            <w:tcW w:w="1520" w:type="dxa"/>
            <w:vAlign w:val="bottom"/>
            <w:gridSpan w:val="3"/>
            <w:vMerge w:val="continue"/>
          </w:tcPr>
          <w:p>
            <w:pPr>
              <w:spacing w:after="0"/>
              <w:rPr>
                <w:sz w:val="12"/>
                <w:szCs w:val="12"/>
                <w:color w:val="auto"/>
              </w:rPr>
            </w:pPr>
          </w:p>
        </w:tc>
        <w:tc>
          <w:tcPr>
            <w:tcW w:w="16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4"/>
              </w:rPr>
              <w:t>Hefty Tableware</w:t>
            </w:r>
          </w:p>
        </w:tc>
        <w:tc>
          <w:tcPr>
            <w:tcW w:w="15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8"/>
              </w:rPr>
              <w:t>Presto Products</w:t>
            </w:r>
          </w:p>
        </w:tc>
        <w:tc>
          <w:tcPr>
            <w:tcW w:w="62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Baking</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Storage</w:t>
            </w:r>
          </w:p>
        </w:tc>
        <w:tc>
          <w:tcPr>
            <w:tcW w:w="162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As of December 31,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20" w:type="dxa"/>
            <w:vAlign w:val="bottom"/>
            <w:gridSpan w:val="3"/>
          </w:tcPr>
          <w:p>
            <w:pPr>
              <w:ind w:left="1380"/>
              <w:spacing w:after="0" w:line="149" w:lineRule="exact"/>
              <w:rPr>
                <w:sz w:val="20"/>
                <w:szCs w:val="20"/>
                <w:color w:val="auto"/>
              </w:rPr>
            </w:pPr>
            <w:r>
              <w:rPr>
                <w:rFonts w:ascii="Arial" w:cs="Arial" w:eastAsia="Arial" w:hAnsi="Arial"/>
                <w:sz w:val="14"/>
                <w:szCs w:val="14"/>
                <w:b w:val="1"/>
                <w:bCs w:val="1"/>
                <w:color w:val="auto"/>
                <w:w w:val="94"/>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ind w:left="13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1460" w:type="dxa"/>
            <w:vAlign w:val="bottom"/>
            <w:gridSpan w:val="2"/>
            <w:shd w:val="clear" w:color="auto" w:fill="CCEEFF"/>
          </w:tcPr>
          <w:p>
            <w:pPr>
              <w:ind w:left="138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1,455</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1,155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1,455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Amortization expense for intangible assets was $32 million, $32 million and $38 million for the years ended December 31, 2018, 2017 and 2016, respectively, and has been recognized in selling, general and administrative expenses. For the next five years, we estimate annual amortization expense of approximately $31 million each year.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6—Debt and Borrowing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incurred borrowings under RGHL Group’s Senior Secured Credit Agreement, as amended (the “Credit Agreement”).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information presented below relates to our borrowings under the Credit Agreement, which represent only a portion of the total RGHL Group borrowings incurred under the Credit Agreement. For details regarding our borrowings with RGHL Group, refer to Note 14—Related Party Transactions.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As of December 31,</w:t>
            </w: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right"/>
              <w:ind w:right="21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U.S. Term Loan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$2,037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financing transaction costs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2,009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$ 2,028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Overview—Credit Agreement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facilities under the Credit Agreement are comprised of (i) U.S. and European Term Loans, denominated in U.S. dollars and euro, respectively, and (ii) a Revolving Facility, denominated in U.S. dollars. For all periods presented, the Revolving Facility has only been utilized by RGHL Group in the form of letters of credit. As of December 31, 2018, RGHL Group has utilized $58 million, including $6 million for our letters of credit. We are not a borrower under the European Term Loans.</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obligations under the Credit Agreement are guaranteed by, and secured by the assets of, certain members of RGHL Group, including certain entities of our combined group. For further details of the guarantees and security we have provided in relation to RGHL Group’s external borrowings, refer to Note 10—Commitments and Contingencies.</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are a borrower under the U.S. Term Loan. Interest under the U.S. Term Loan comprises LIBOR, with a floor of 0%, plus a margin of 2.75%. The margin decreased from 3.00% in 2018 following an upgrade in RGHL Group’s credit rating. The weighted average contractual interest rate related to our long-term debt as of December 31, 2018, 2017 and 2016, was 4.77%, 4.05% and 4.35%, respectively. The effective interest rate of our debt obligations is not materially different from the contractual interest rate.</w:t>
      </w:r>
    </w:p>
    <w:p>
      <w:pPr>
        <w:spacing w:after="0" w:line="18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U.S. Term Loan requires quarterly amortization payments of 0.25% of the outstanding principal as of February 5, 2017, with the balance due at maturity. Based on our portion of the outstanding borrowings, this represents amortization payments of approximately $5 million per quarter. Borrowings under the U.S. Term Loan may be voluntarily repaid in whole or in part and are subject to mandatory prepayments in certain circumstances, including the requirement to make annual prepayments of both the U.S. and European Term Loans with up to 50% of excess cash flow (which will be reduced to 25% or 0% if specified senior secured first lien leverage ratios are met) as determined in accordance with the Credit Agreement. No excess cash flow prepayments were due in 2018 for the year ended December 31, 2017 or are due in 2019 for the year ended December 31, 2018.</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Amendments to the Credit Agreement</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During the years presented, RGHL Group entered into the following amendments to its Credit Agreement. We were a borrower under each of these amendments.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August 5, 2016, RGHL Group amended its previous credit agreement to, among other modifications, extend the maturity date of its U.S. Term Loan to February 5, 2023. This amendment also reduced the margin by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25-basis points to 3.25% per annum. The Revolving Facility was concurrently amended on August 5, 2016, resulting in an extension of the maturity date to August 5, 2021 and the combination of previously separate euro and U.S. dollar revolving facilities into a single revolving facility with a limit of $302 million.</w:t>
      </w:r>
    </w:p>
    <w:p>
      <w:pPr>
        <w:spacing w:after="0" w:line="18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On October 7, 2016, RGHL Group incurred an additional $1,350 million under the Credit Agreement. Consequently, our portion of the borrowings changed from $734 million to $2,084 million.</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On February 7, 2017, RGHL Group entered into an amendment to the Credit Agreement which reduced the margin by 25 basis points to 3.00% per annum and reduced the LIBOR floor to 0%. Our portion of the total borrowings did not change.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Financing Transaction Costs and Original Issue Discounts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As of December 31, 2018 and 2017, our portion of RGHL Group’s deferred financing transaction costs, net of amortization, related to the U.S. Term Loan and the Revolving Facility were $5 million and $6 million, respectively. In addition, as of December 31, 2018 and 2017, we have recorded original issue discounts, net of accumulated amortization, of $2 million and $3 million, respectively. These deferred amounts are presented as a direct reduction of the carrying amount of our long-term debt as of December 31, 2018 and 2017. Our portions of deferred financing transaction costs and original issue discounts are being amortized over the life of the U.S. Term Loan under the effective interest method.</w:t>
      </w:r>
    </w:p>
    <w:p>
      <w:pPr>
        <w:spacing w:after="0" w:line="158"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 xml:space="preserve">As a result of the amendments to the Credit Agreement described above, we evaluated each event in accordance with ASC 470-50-40, </w:t>
      </w:r>
      <w:r>
        <w:rPr>
          <w:rFonts w:ascii="Arial" w:cs="Arial" w:eastAsia="Arial" w:hAnsi="Arial"/>
          <w:sz w:val="17"/>
          <w:szCs w:val="17"/>
          <w:i w:val="1"/>
          <w:iCs w:val="1"/>
          <w:color w:val="auto"/>
        </w:rPr>
        <w:t xml:space="preserve">Debt-Modifications and Extinguishments-Derecognition, </w:t>
      </w:r>
      <w:r>
        <w:rPr>
          <w:rFonts w:ascii="Arial" w:cs="Arial" w:eastAsia="Arial" w:hAnsi="Arial"/>
          <w:sz w:val="17"/>
          <w:szCs w:val="17"/>
          <w:color w:val="auto"/>
        </w:rPr>
        <w:t>to determine if the respective event represented a modification or extinguishment of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loan, on a lender-by-lender basis. For those events that represented modifications, we continue to capitalize the existing unamortized deferred financing transaction costs, capitalized the incremental fees paid to those lenders and expensed incremental fees paid to non-lenders. Capitalized costs are amortized over the remaining contractual term of the debt. For those events that represented extinguishments, unamortized deferred financing transaction costs and original issue discounts were written off and recorded as loss on extinguishment of debt in interest expense, net in our combined statements of income. We recorded loss on extinguishment of debt of less than $1 million in each of the years ended December 31, 2017 and 2016. These amounts are included in interest expense, net. In addition, we recorded non-lender fees of $3 million and $20 million in the years ended December 31, 2017 and 2016, respectively, in interest expense, net.</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Credit Agreement contains customary covenants which restrict RGHL and certain of its subsidiaries from certain activities including, among other things, incurring debt, creating liens over assets, selling or acquiring assets and making restricted payments, in each case except as permitted under the Credit Agreement. As of December 31, 2018, RGHL Group was in compliance with all of its covenants.</w:t>
      </w:r>
    </w:p>
    <w:p>
      <w:pPr>
        <w:spacing w:after="0" w:line="166"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Credit Agreement also contains a total secured leverage ratio covenant not to exceed 5.00 to 1.00 on a pro forma basis. This covenant only applies if the aggregate revolving credit exposure (excluding any exposure in respect of undrawn letters of credit) as of the last day of a fiscal quarter exceeds 35% of the total Revolving Facility commitments on such day.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0" w:type="dxa"/>
            <w:vAlign w:val="bottom"/>
          </w:tcPr>
          <w:p>
            <w:pPr>
              <w:ind w:left="4440"/>
              <w:spacing w:after="0"/>
              <w:rPr>
                <w:sz w:val="20"/>
                <w:szCs w:val="20"/>
                <w:color w:val="auto"/>
              </w:rPr>
            </w:pPr>
            <w:r>
              <w:rPr>
                <w:rFonts w:ascii="Arial" w:cs="Arial" w:eastAsia="Arial" w:hAnsi="Arial"/>
                <w:sz w:val="18"/>
                <w:szCs w:val="18"/>
                <w:b w:val="1"/>
                <w:bCs w:val="1"/>
                <w:color w:val="auto"/>
              </w:rPr>
              <w:t>Reynolds Consumer Group</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200" w:type="dxa"/>
            <w:vAlign w:val="bottom"/>
          </w:tcPr>
          <w:p>
            <w:pPr>
              <w:ind w:left="3780"/>
              <w:spacing w:after="0"/>
              <w:rPr>
                <w:sz w:val="20"/>
                <w:szCs w:val="20"/>
                <w:color w:val="auto"/>
              </w:rPr>
            </w:pPr>
            <w:r>
              <w:rPr>
                <w:rFonts w:ascii="Arial" w:cs="Arial" w:eastAsia="Arial" w:hAnsi="Arial"/>
                <w:sz w:val="18"/>
                <w:szCs w:val="18"/>
                <w:b w:val="1"/>
                <w:bCs w:val="1"/>
                <w:color w:val="auto"/>
              </w:rPr>
              <w:t>Notes to the Combined Financial Statements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Scheduled Maturities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8"/>
                <w:szCs w:val="18"/>
                <w:color w:val="auto"/>
                <w:w w:val="94"/>
              </w:rPr>
              <w:t>Below is a schedule of required future repayments on our debt outstanding under the Credit Agreement as of 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020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shd w:val="clear" w:color="auto" w:fill="CCEEFF"/>
          </w:tcPr>
          <w:p>
            <w:pPr>
              <w:spacing w:after="0"/>
              <w:rPr>
                <w:sz w:val="18"/>
                <w:szCs w:val="18"/>
                <w:color w:val="auto"/>
              </w:rPr>
            </w:pP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fair value of our long-term debt as of December 31, 2018 and 2017, which is a Level 2 fair value measurement, approximates the carrying value due to the variable market interest rate and the stability of RGHL Group’s credit profile.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external debt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 related party borrowings(1)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related party receivables(1)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Interest expense, net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Refer to Note 14—Related Party Transactions for additional information.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Other consists primarily of non-lender fees of $3 million and $20 million in the years ended December 31, 2017 and 2016, respectively.</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7—Financial Instruments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Derivative instruments, consisting of commodity contracts, were recorded at fair value in our combined balance sheets and consisted of a</w:t>
      </w:r>
    </w:p>
    <w:p>
      <w:pPr>
        <w:spacing w:after="0" w:line="23"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$9 million liability, recorded in accrued and other current liabilities, as of December 31, 2018 and a $5 million asset, recorded in other current assets, as of December 31, 2017.</w:t>
      </w:r>
    </w:p>
    <w:p>
      <w:pPr>
        <w:spacing w:after="0" w:line="184"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the years ended December 31, 2018, 2017 and 2016, we recognized an unrealized loss of $14 million, an unrealized gain of $4 million and an unrealized gain of $8 million, respectively, in cost of sales in the combined statements of income.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the detail of outstanding commodity derivative contracts as of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Contracted volume</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Contracted price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Contracted date of</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0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range</w:t>
            </w:r>
          </w:p>
        </w:tc>
        <w:tc>
          <w:tcPr>
            <w:tcW w:w="1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maturity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Metric tonne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34,711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$1,925.00</w:t>
            </w:r>
          </w:p>
        </w:tc>
        <w:tc>
          <w:tcPr>
            <w:tcW w:w="1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$2,499.50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Metric tonne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4,130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$403.45</w:t>
            </w:r>
          </w:p>
        </w:tc>
        <w:tc>
          <w:tcPr>
            <w:tcW w:w="1020" w:type="dxa"/>
            <w:vAlign w:val="bottom"/>
          </w:tcPr>
          <w:p>
            <w:pPr>
              <w:ind w:left="20"/>
              <w:spacing w:after="0"/>
              <w:rPr>
                <w:sz w:val="20"/>
                <w:szCs w:val="20"/>
                <w:color w:val="auto"/>
              </w:rPr>
            </w:pPr>
            <w:r>
              <w:rPr>
                <w:rFonts w:ascii="Arial" w:cs="Arial" w:eastAsia="Arial" w:hAnsi="Arial"/>
                <w:sz w:val="18"/>
                <w:szCs w:val="18"/>
                <w:color w:val="auto"/>
              </w:rPr>
              <w:t>- $407.85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1,882,258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2019 - Jun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3,499,492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1020" w:type="dxa"/>
            <w:vAlign w:val="bottom"/>
          </w:tcPr>
          <w:p>
            <w:pPr>
              <w:ind w:left="2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8—Benefit Plans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Related Party Multiemployer Defined Benefit Plan:</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Prior to December 1, 2016, certain of our employees participated in a defined benefit plan that we sponsored. On November 30, 2016, this plan was merged into another defined benefit plan within RGHL Group and the future obligations under this plan became the responsibility of RGHL Group. As a result of this plan merger, we recorded a settlement loss of $9 million in non-operating expense, net in our combined statements of income, which represented the release of the accumulated other comprehensive income balance attributable to the plan obligations as of the date of the plan merger. We recorded expense of $3 million in cost of sales in relation to this plan during the year ended December 31, 2016.</w:t>
      </w:r>
    </w:p>
    <w:p>
      <w:pPr>
        <w:spacing w:after="0" w:line="15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Commencing December 1, 2016, certain employees participate in a defined benefit plan sponsored by RGHL Group, along with participants of RGHL Group’s other businesses. This plan is accounted for as a multiemployer plan in these combined financial statements and as a result, no asset or liability was recorded by us to recognize the funded status of the plan. We recorded expense of $3 million in cost of sales for each of the years ended December 31, 2018 and 2017 relating to our employees’ participation in the RGHL Group sponsored plan.</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offer defined contribution plans to eligible employees in the United States as well as employees in certain other countries. Our expense relating to defined contribution plans was $18 million, $17 million and $15 million for the years ended December 31, 2018, 2017 and 2016, respectively.</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Postretirement Benefit Plan:</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9"/>
          </w:tcPr>
          <w:p>
            <w:pPr>
              <w:jc w:val="right"/>
              <w:ind w:right="17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1"/>
              </w:rPr>
              <w:t>Accumulated postretirement benefit obligation as of January 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Service 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Benefits paid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w w:val="91"/>
              </w:rPr>
              <w:t>Accrued postretirement benefit obligation as of December 31</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gridSpan w:val="9"/>
            <w:vMerge w:val="restart"/>
          </w:tcPr>
          <w:p>
            <w:pPr>
              <w:ind w:left="420"/>
              <w:spacing w:after="0"/>
              <w:rPr>
                <w:sz w:val="20"/>
                <w:szCs w:val="20"/>
                <w:color w:val="auto"/>
              </w:rPr>
            </w:pPr>
            <w:r>
              <w:rPr>
                <w:rFonts w:ascii="Arial" w:cs="Arial" w:eastAsia="Arial" w:hAnsi="Arial"/>
                <w:sz w:val="18"/>
                <w:szCs w:val="18"/>
                <w:color w:val="auto"/>
                <w:w w:val="94"/>
              </w:rPr>
              <w:t>The accrued benefit obligation was included in our combined balance sheets as follows: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040" w:type="dxa"/>
            <w:vAlign w:val="bottom"/>
            <w:gridSpan w:val="9"/>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13"/>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7"/>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7"/>
          </w:tcPr>
          <w:p>
            <w:pPr>
              <w:jc w:val="right"/>
              <w:ind w:right="7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postretirement benefit obligation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gridSpan w:val="15"/>
            <w:vMerge w:val="restart"/>
          </w:tcPr>
          <w:p>
            <w:pPr>
              <w:ind w:left="420"/>
              <w:spacing w:after="0"/>
              <w:rPr>
                <w:sz w:val="20"/>
                <w:szCs w:val="20"/>
                <w:color w:val="auto"/>
              </w:rPr>
            </w:pPr>
            <w:r>
              <w:rPr>
                <w:rFonts w:ascii="Arial" w:cs="Arial" w:eastAsia="Arial" w:hAnsi="Arial"/>
                <w:sz w:val="18"/>
                <w:szCs w:val="18"/>
                <w:color w:val="auto"/>
                <w:w w:val="91"/>
              </w:rPr>
              <w:t>A portion of our accrued benefit obligation has been recorded in accumulated other comprehensive income as follows:</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060" w:type="dxa"/>
            <w:vAlign w:val="bottom"/>
            <w:gridSpan w:val="15"/>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Changes</w:t>
            </w:r>
          </w:p>
        </w:tc>
        <w:tc>
          <w:tcPr>
            <w:tcW w:w="15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8"/>
              </w:rPr>
              <w:t>Changes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9"/>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60" w:type="dxa"/>
            <w:vAlign w:val="bottom"/>
            <w:gridSpan w:val="13"/>
          </w:tcPr>
          <w:p>
            <w:pPr>
              <w:ind w:left="420"/>
              <w:spacing w:after="0"/>
              <w:rPr>
                <w:sz w:val="20"/>
                <w:szCs w:val="20"/>
                <w:color w:val="auto"/>
              </w:rPr>
            </w:pPr>
            <w:r>
              <w:rPr>
                <w:rFonts w:ascii="Arial" w:cs="Arial" w:eastAsia="Arial" w:hAnsi="Arial"/>
                <w:sz w:val="18"/>
                <w:szCs w:val="18"/>
                <w:color w:val="auto"/>
                <w:w w:val="96"/>
              </w:rPr>
              <w:t>We used the following weighted-average assumptions to determine our postretirement benefit obligations: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gridSpan w:val="2"/>
          </w:tcPr>
          <w:p>
            <w:pPr>
              <w:spacing w:after="0"/>
              <w:rPr>
                <w:sz w:val="12"/>
                <w:szCs w:val="12"/>
                <w:color w:val="auto"/>
              </w:rPr>
            </w:pPr>
          </w:p>
        </w:tc>
        <w:tc>
          <w:tcPr>
            <w:tcW w:w="4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300" w:type="dxa"/>
            <w:vAlign w:val="bottom"/>
            <w:gridSpan w:val="2"/>
            <w:shd w:val="clear" w:color="auto" w:fill="CCEEFF"/>
          </w:tcPr>
          <w:p>
            <w:pPr>
              <w:spacing w:after="0"/>
              <w:rPr>
                <w:sz w:val="18"/>
                <w:szCs w:val="18"/>
                <w:color w:val="auto"/>
              </w:rPr>
            </w:pPr>
          </w:p>
        </w:tc>
        <w:tc>
          <w:tcPr>
            <w:tcW w:w="6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8"/>
                <w:szCs w:val="18"/>
                <w:color w:val="auto"/>
              </w:rPr>
              <w:t>7.70%</w:t>
            </w:r>
          </w:p>
        </w:tc>
        <w:tc>
          <w:tcPr>
            <w:tcW w:w="960" w:type="dxa"/>
            <w:vAlign w:val="bottom"/>
            <w:gridSpan w:val="8"/>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9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 term expectations.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Assumed health care cost trend rates can impact the amounts reported for the health care plans. A one-percentage-point change in assumed health care cost trend rates would have less than a $1 million effect on the measurement of our postretirement benefit obligation and less than a $1 million effect on the annual service and interest cost.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Net Periodic Postretirement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periodic postretirement benefit costs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256"/>
              <w:spacing w:after="0"/>
              <w:rPr>
                <w:sz w:val="20"/>
                <w:szCs w:val="20"/>
                <w:color w:val="auto"/>
              </w:rPr>
            </w:pPr>
            <w:r>
              <w:rPr>
                <w:rFonts w:ascii="Arial" w:cs="Arial" w:eastAsia="Arial" w:hAnsi="Arial"/>
                <w:sz w:val="14"/>
                <w:szCs w:val="14"/>
                <w:b w:val="1"/>
                <w:bCs w:val="1"/>
                <w:color w:val="auto"/>
                <w:w w:val="91"/>
              </w:rPr>
              <w:t>For the Years Ended December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Net periodic postretirement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service cost component of net periodic postretirement costs is recognized in cost of sales, while interest cost and amortization of actuarial gain are recognized in non-operating expense, net in the combined statements of income.</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2018, we expect to amortize an actuarial gain of approximately $2 million from accumulated other comprehensive income into pre-tax net periodic postretirement costs during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8.20%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580" w:type="dxa"/>
            <w:vAlign w:val="bottom"/>
          </w:tcPr>
          <w:p>
            <w:pPr>
              <w:jc w:val="right"/>
              <w:spacing w:after="0"/>
              <w:rPr>
                <w:sz w:val="20"/>
                <w:szCs w:val="20"/>
                <w:color w:val="auto"/>
              </w:rPr>
            </w:pPr>
            <w:r>
              <w:rPr>
                <w:rFonts w:ascii="Arial" w:cs="Arial" w:eastAsia="Arial" w:hAnsi="Arial"/>
                <w:sz w:val="18"/>
                <w:szCs w:val="18"/>
                <w:color w:val="auto"/>
              </w:rPr>
              <w:t>2026</w:t>
            </w:r>
          </w:p>
        </w:tc>
        <w:tc>
          <w:tcPr>
            <w:tcW w:w="6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r>
    </w:tbl>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Future Benefit Payments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Expected contributions for the next fiscal year equal the estimated benefit payments of $3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estimated future benefit payments for our postretirement benefit plan as of December 31, 2018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940" w:type="dxa"/>
            <w:vAlign w:val="bottom"/>
            <w:gridSpan w:val="2"/>
          </w:tcPr>
          <w:p>
            <w:pPr>
              <w:ind w:left="71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60" w:type="dxa"/>
            <w:vAlign w:val="bottom"/>
            <w:shd w:val="clear" w:color="auto" w:fill="CCEEFF"/>
          </w:tcPr>
          <w:p>
            <w:pPr>
              <w:ind w:left="7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2020</w:t>
            </w:r>
          </w:p>
        </w:tc>
        <w:tc>
          <w:tcPr>
            <w:tcW w:w="7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2022</w:t>
            </w:r>
          </w:p>
        </w:tc>
        <w:tc>
          <w:tcPr>
            <w:tcW w:w="7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2024 - 2028</w:t>
            </w:r>
          </w:p>
        </w:tc>
        <w:tc>
          <w:tcPr>
            <w:tcW w:w="7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5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60" w:type="dxa"/>
            <w:vAlign w:val="bottom"/>
          </w:tcPr>
          <w:p>
            <w:pPr>
              <w:ind w:left="224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9—Other Expense,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right="40" w:hanging="436"/>
        <w:spacing w:after="0" w:line="286"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discussed in Note 2—Summary of Significant Accounting Policies, we participate in an accounts receivable factoring arrangement with RGHL Group whereby we transfer substantially all of our U.S. accounts receivable in their entirety to RGHL Group and satisfy all of the conditions to report the transfer of financial assets in their entirety as a sale. The fair value of assets received as proceeds in exchange for the transfer of accounts receivable under this factoring arrangement approximates the fair value of such receivables. We recognized losses of $22 million,</w:t>
      </w:r>
    </w:p>
    <w:p>
      <w:pPr>
        <w:spacing w:after="0" w:line="1" w:lineRule="exact"/>
        <w:rPr>
          <w:rFonts w:ascii="Arial" w:cs="Arial" w:eastAsia="Arial" w:hAnsi="Arial"/>
          <w:sz w:val="16"/>
          <w:szCs w:val="16"/>
          <w:color w:val="auto"/>
        </w:rPr>
      </w:pPr>
    </w:p>
    <w:p>
      <w:pPr>
        <w:ind w:left="640" w:right="60"/>
        <w:spacing w:after="0" w:line="250" w:lineRule="auto"/>
        <w:rPr>
          <w:rFonts w:ascii="Arial" w:cs="Arial" w:eastAsia="Arial" w:hAnsi="Arial"/>
          <w:sz w:val="16"/>
          <w:szCs w:val="16"/>
          <w:color w:val="auto"/>
        </w:rPr>
      </w:pPr>
      <w:r>
        <w:rPr>
          <w:rFonts w:ascii="Arial" w:cs="Arial" w:eastAsia="Arial" w:hAnsi="Arial"/>
          <w:sz w:val="18"/>
          <w:szCs w:val="18"/>
          <w:color w:val="auto"/>
        </w:rPr>
        <w:t>$19 million and $15 million for the years ended December 31, 2018, 2017 and 2016, respectively, which represents the discount from book values at which these accounts receivable were sold to RGHL Group.</w:t>
      </w:r>
    </w:p>
    <w:p>
      <w:pPr>
        <w:ind w:left="640" w:right="340" w:hanging="436"/>
        <w:spacing w:after="0" w:line="277" w:lineRule="auto"/>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RGHL Group’s financing agreements permit the payment to related parties of management, consulting, monitoring and advising fees (the “Management Fee”) of up to 1.5% of RGHL Group’s Adjusted EBITDA (as defined in RGHL Group’s financing agreements) for the previous year. We have been allocated a portion of this Management Fee based on our portion of RGHL Group’s Adjusted EBITDA.</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relating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78"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As of December 31, 2018, there were no legal proceedings pending other than those for which we have determined that the possibility of a material outflow is remote.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and Guarantee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2018, certain of our entities and other related entities within RGHL Group have guaranteed the following borrowings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RGHL Group:</w:t>
      </w:r>
    </w:p>
    <w:p>
      <w:pPr>
        <w:spacing w:after="0" w:line="116" w:lineRule="exact"/>
        <w:rPr>
          <w:sz w:val="20"/>
          <w:szCs w:val="20"/>
          <w:color w:val="auto"/>
        </w:rPr>
      </w:pPr>
    </w:p>
    <w:p>
      <w:pPr>
        <w:ind w:left="960" w:right="120" w:hanging="324"/>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$3,248 million and €244 million of secured floating rate term loans that mature in 2023 and other obligations under the Credit Agreement, of which $2,037 million is included on our combined balance sheet in long-term debt;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960" w:right="620" w:hanging="324"/>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secured revolving credit facilities of $302 million that mature in 2021 ($58 million utilized as of December 31, 2018) under the Credit Agreement;</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$3,137 million of 5.750% senior secured notes that mature in 2020;</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$345 million of 6.875%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$750 million of floating rate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$1,600 million of 5.125% senior secured notes that mature in 2023;</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$800 million of 7.000% senior notes that mature in 2024;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secured local working capital facilities.</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Certain of our entities and other related entities within RGHL Group have granted security over their assets to support the secured obligations described above. The equity interests in certain of our entities have been pledged as collateral to support the secured obligations described above. We would only be liable under these guarantees in the event of default by RGHL Group on its obligations, the probability of which we believe is remote. As a result of these arrangements, substantially all of our assets are pledged as security for the secured obligations described above.</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Credit Agreement, all of the U.S. Term Loan borrowers are jointly and severally liable for the outstanding principal. The total principal balance outstanding for the U.S. Term Loan was $3,248 million and $3,282 million as of December 31, 2018 and 2017, respectively. These amounts include the $2,037 million and $2,058 million presented on our combined balance sheets as of December 31, 2018 and 2017, respectively. We have not recognized a liability for the additional outstanding principal as we would only be liable under the agreement in the event of default by RGHL Group on its obligations, which we believe is remote.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various facilities and items of plant and equipment.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expenses were $17 million, $14 million and $13 million during the years ended December 31, 2018, 2017 and 2016, respectively.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minimum rental commitments under non-cancelable operating leases in effect at year-end were as follows: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00" w:type="dxa"/>
            <w:vAlign w:val="bottom"/>
            <w:gridSpan w:val="4"/>
          </w:tcPr>
          <w:p>
            <w:pPr>
              <w:ind w:left="718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520" w:type="dxa"/>
            <w:vAlign w:val="bottom"/>
            <w:gridSpan w:val="2"/>
            <w:shd w:val="clear" w:color="auto" w:fill="CCEEFF"/>
          </w:tcPr>
          <w:p>
            <w:pPr>
              <w:ind w:left="7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2020</w:t>
            </w:r>
          </w:p>
        </w:tc>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2022</w:t>
            </w:r>
          </w:p>
        </w:tc>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Thereafter</w:t>
            </w:r>
          </w:p>
        </w:tc>
        <w:tc>
          <w:tcPr>
            <w:tcW w:w="7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520" w:type="dxa"/>
            <w:vAlign w:val="bottom"/>
            <w:gridSpan w:val="2"/>
            <w:shd w:val="clear" w:color="auto" w:fill="CCEEFF"/>
          </w:tcPr>
          <w:p>
            <w:pPr>
              <w:ind w:left="7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F-26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11—Accumulated Other Comprehensive Income</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 Amounts reclassified from accumulated other comprehensive income to net income (net of tax) were a net gain of $1 million, a net gain of $2 million and a net loss of $5 million for the years ended December 31, 2018, 2017 and 2016, respectively.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252"/>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Balance as of beginning of period</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Postretirement benefit plan(2):</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Net actuarial gain (loss) arising during period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(expense) benefit on net actuarial gain (loss)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(Gains) and losses reclassified into net income: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actuarial gain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700"/>
              <w:spacing w:after="0"/>
              <w:rPr>
                <w:sz w:val="20"/>
                <w:szCs w:val="20"/>
                <w:color w:val="auto"/>
              </w:rPr>
            </w:pPr>
            <w:r>
              <w:rPr>
                <w:rFonts w:ascii="Arial" w:cs="Arial" w:eastAsia="Arial" w:hAnsi="Arial"/>
                <w:sz w:val="18"/>
                <w:szCs w:val="18"/>
                <w:color w:val="auto"/>
              </w:rPr>
              <w:t>Defined benefit plan settlement loss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Tax (expense) benefit on reclassifications(1)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Taxes reclassified to income are recorded in income tax (expense) benefit.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2016 amounts presented above include the defined benefit plan prior to the merger discussed in Note 8 —Benefit Plans.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12—Income Taxes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years presented, our U.S. operations were included in the consolidated U.S. federal, certain state and local tax returns filed by RGHL Group. We also file certain separate U.S. state and local and foreign income tax returns. The income tax (expense) benefit included in our combined statements of income has been calculated using the separate return basis. In the future, as a stand-alone entity, we will file tax returns on our own behalf, and our deferred taxes and effective tax rate may differ from those in the historical periods.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before income tax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13"/>
          </w:tcPr>
          <w:p>
            <w:pPr>
              <w:jc w:val="center"/>
              <w:ind w:right="42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700" w:type="dxa"/>
            <w:vAlign w:val="bottom"/>
            <w:gridSpan w:val="3"/>
          </w:tcPr>
          <w:p>
            <w:pPr>
              <w:jc w:val="center"/>
              <w:ind w:left="149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income before income taxes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color w:val="auto"/>
              </w:rPr>
              <w:t>Significant components of income tax expense were as follows:</w:t>
            </w: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1"/>
          </w:tcPr>
          <w:p>
            <w:pPr>
              <w:jc w:val="center"/>
              <w:ind w:left="53"/>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w:t>
            </w:r>
          </w:p>
        </w:tc>
        <w:tc>
          <w:tcPr>
            <w:tcW w:w="1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current income tax expense (benefit)</w:t>
            </w:r>
          </w:p>
        </w:tc>
        <w:tc>
          <w:tcPr>
            <w:tcW w:w="1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(164)</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income tax expense (benefit)</w:t>
            </w: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4"/>
              </w:rPr>
              <w:t>(22)</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6"/>
              </w:rPr>
              <w:t>(158)</w:t>
            </w:r>
          </w:p>
        </w:tc>
        <w:tc>
          <w:tcPr>
            <w:tcW w:w="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reconciliation of income taxes computed at the 35% U.S. Federal statutory income tax rate for 2016 and 2017 and 21% for 2018 to our income tax expense (benefit) was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expense at the statutory rate</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state income tax expense</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Tax differential on foreign earnings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stewardship costs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tax reform</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tax benefits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340" w:type="dxa"/>
            <w:vAlign w:val="bottom"/>
            <w:gridSpan w:val="2"/>
          </w:tcPr>
          <w:p>
            <w:pPr>
              <w:jc w:val="right"/>
              <w:ind w:right="2240"/>
              <w:spacing w:after="0"/>
              <w:rPr>
                <w:sz w:val="20"/>
                <w:szCs w:val="20"/>
                <w:color w:val="auto"/>
              </w:rPr>
            </w:pPr>
            <w:r>
              <w:rPr>
                <w:rFonts w:ascii="Arial" w:cs="Arial" w:eastAsia="Arial" w:hAnsi="Arial"/>
                <w:sz w:val="18"/>
                <w:szCs w:val="18"/>
                <w:color w:val="auto"/>
              </w:rPr>
              <w:t>F-28</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While our foreign activities are conducted through corporations, in these combined financial statements, these foreign corporations are not foreign controlled subsidiaries. Accordingly, there are no undistributed earnings of foreign subsidiaries.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On December 22, 2017, the President of the United States signed into law the Tax Cuts and Jobs Act (the “Act”). In general, the Act (i) reduces the U.S. federal tax rate from a maximum of 35% to a flat rate of 21%, effective January 1, 2018; (ii) introduces amendments restricting the ability to deduct interest expense; (iii) imposes a deemed mandatory repatriation tax on certain deferred foreign earnings while introducing a participation exemption tax system; and (iv) on a prospective basis, starting with the year ending December 31, 2018, changes the computation of U.S. federal income tax, including the introduction of new components of income tax which may apply to us.</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reduction in the U.S. federal tax rate from 35% to 21% resulted in a tax benefit of $172 million related to the remeasurement of net deferred tax liabilities that is recognized in the combined statements of income for the year ended December 31, 2017. As a result of our legal entity structure the mandatory repatriation tax on certain deferred foreign earnings was not applicable.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components of our net deferred income tax liability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As of December 31,</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271"/>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Employee benefits</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Derivatives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Reserves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Tax losses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Interest(1)</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after valuation allowance</w:t>
            </w:r>
          </w:p>
        </w:tc>
        <w:tc>
          <w:tcPr>
            <w:tcW w:w="2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Deferred tax liabilities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Total deferred tax liabilities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(296)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(320)</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jc w:val="center"/>
        <w:ind w:left="5540" w:right="880" w:hanging="5336"/>
        <w:spacing w:after="0" w:line="449" w:lineRule="auto"/>
        <w:tabs>
          <w:tab w:leader="none" w:pos="6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a result of the Act, $95 million of interest expense was not deductible for the year ended December 31, 2018 and has been deferred. F-29</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State and foreign net operating loss and tax credit carryforwards, presented on a gross basis,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2018</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State and foreign net operating loss carryforwards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Expires within 5 years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Expires after 5 years or indefinite expiration</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net operating loss carryforwards</w:t>
            </w:r>
          </w:p>
        </w:tc>
        <w:tc>
          <w:tcPr>
            <w:tcW w:w="2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Expires within 5 years</w:t>
            </w:r>
          </w:p>
        </w:tc>
        <w:tc>
          <w:tcPr>
            <w:tcW w:w="2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tax credit carryforwards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Deferred tax assets related to state and foreign net operating loss carryovers and state tax credit carryovers are available to offset future state taxable earnings. We have provided a valuation allowance to reduce the carrying value of certain of these deferred tax assets, as we have concluded that, based on the available evidence, it is more likely than not that the deferred tax assets will not be fully realized. Valuation allowances were $3 million and $4 million as of December 31, 2018 and 2017, respectively. There were no material changes in valuation allowances in any of the years presented.</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related to our gross unrecognized tax benefits: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associated with tax positions taken during the current year</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unrecognized tax benefits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Accrued interest and penalties related to unrecognized tax benefits have been recorded in income tax expense. No expense for accrued interest and penalties was recognized during the years ended December 31, 2018, 2017 and 2016.</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Each year we file income tax returns in the various national, state and local income taxing jurisdictions in which we operate. Foreign jurisdictions comprise Canada and China.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years 2016 and forward remain subject to examination by the IRS. We are not currently under IRS audit.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We are currently subject to a separate company New Jersey state income tax audit for the years 2013 through 2015.</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open tax years for our Canadian income taxes are 2014 and forward. The open tax years for our Chinese income taxes are 2015 and forward.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no current or recent tax audits in either Canada or China.</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Taxes Paid: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Taxes paid were $8 million, $7 million and $3 million for the years ended December 31, 2018, 2017 and 2016, respectively.</w:t>
      </w:r>
    </w:p>
    <w:p>
      <w:pPr>
        <w:spacing w:after="0" w:line="225"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U.S. federal current tax is recognized directly as a movement in Net Parent deficit in equity (deficit).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13—Segment Information</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 xml:space="preserve">Our Chief Executive Officer, who has been identified as our Chief Operating Decision Maker (“CODM”), has evaluated how he views and measures our performance.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establishes the standards for reporting information about segments in financial statements. In applying the criteria set forth in ASC 280, and in conjunction with a management realignment in June 2019, we have determined that we have four reportable segments—Reynolds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Reynolds Cooking &amp; Baking</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Reynolds Cooking &amp; Baking segment produces branded and store brand foil, parchment paper, disposable aluminum pans and slow cooker liners. Our branded products are sold under the Reynolds</w:t>
      </w:r>
      <w:r>
        <w:rPr>
          <w:rFonts w:ascii="Arial" w:cs="Arial" w:eastAsia="Arial" w:hAnsi="Arial"/>
          <w:sz w:val="15"/>
          <w:szCs w:val="15"/>
          <w:color w:val="auto"/>
        </w:rPr>
        <w:t>®</w:t>
      </w:r>
      <w:r>
        <w:rPr>
          <w:rFonts w:ascii="Arial" w:cs="Arial" w:eastAsia="Arial" w:hAnsi="Arial"/>
          <w:sz w:val="18"/>
          <w:szCs w:val="18"/>
          <w:color w:val="auto"/>
        </w:rPr>
        <w:t>, Reynolds KITCHENS and E-Z Foil</w:t>
      </w:r>
      <w:r>
        <w:rPr>
          <w:rFonts w:ascii="Arial" w:cs="Arial" w:eastAsia="Arial" w:hAnsi="Arial"/>
          <w:sz w:val="15"/>
          <w:szCs w:val="15"/>
          <w:color w:val="auto"/>
        </w:rPr>
        <w:t>®</w:t>
      </w:r>
      <w:r>
        <w:rPr>
          <w:rFonts w:ascii="Arial" w:cs="Arial" w:eastAsia="Arial" w:hAnsi="Arial"/>
          <w:sz w:val="18"/>
          <w:szCs w:val="18"/>
          <w:color w:val="auto"/>
        </w:rPr>
        <w:t xml:space="preserve"> brands in the United States, under the ALCAN</w:t>
      </w:r>
      <w:r>
        <w:rPr>
          <w:rFonts w:ascii="Arial" w:cs="Arial" w:eastAsia="Arial" w:hAnsi="Arial"/>
          <w:sz w:val="15"/>
          <w:szCs w:val="15"/>
          <w:color w:val="auto"/>
        </w:rPr>
        <w:t>®</w:t>
      </w:r>
      <w:r>
        <w:rPr>
          <w:rFonts w:ascii="Arial" w:cs="Arial" w:eastAsia="Arial" w:hAnsi="Arial"/>
          <w:sz w:val="18"/>
          <w:szCs w:val="18"/>
          <w:color w:val="auto"/>
        </w:rPr>
        <w:t xml:space="preserve"> brand in Canada and under the Diamond</w:t>
      </w:r>
      <w:r>
        <w:rPr>
          <w:rFonts w:ascii="Arial" w:cs="Arial" w:eastAsia="Arial" w:hAnsi="Arial"/>
          <w:sz w:val="15"/>
          <w:szCs w:val="15"/>
          <w:color w:val="auto"/>
        </w:rPr>
        <w:t>®</w:t>
      </w:r>
      <w:r>
        <w:rPr>
          <w:rFonts w:ascii="Arial" w:cs="Arial" w:eastAsia="Arial" w:hAnsi="Arial"/>
          <w:sz w:val="18"/>
          <w:szCs w:val="18"/>
          <w:color w:val="auto"/>
        </w:rPr>
        <w:t xml:space="preserve"> brand outside of North America.</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Waste &amp; Storage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brand names such as Hefty</w:t>
      </w:r>
      <w:r>
        <w:rPr>
          <w:rFonts w:ascii="Arial" w:cs="Arial" w:eastAsia="Arial" w:hAnsi="Arial"/>
          <w:sz w:val="15"/>
          <w:szCs w:val="15"/>
          <w:color w:val="auto"/>
        </w:rPr>
        <w:t>®</w:t>
      </w:r>
      <w:r>
        <w:rPr>
          <w:rFonts w:ascii="Arial" w:cs="Arial" w:eastAsia="Arial" w:hAnsi="Arial"/>
          <w:sz w:val="18"/>
          <w:szCs w:val="18"/>
          <w:color w:val="auto"/>
        </w:rPr>
        <w:t xml:space="preserve"> Ultra Strong</w:t>
      </w:r>
      <w:r>
        <w:rPr>
          <w:rFonts w:ascii="Arial" w:cs="Arial" w:eastAsia="Arial" w:hAnsi="Arial"/>
          <w:sz w:val="15"/>
          <w:szCs w:val="15"/>
          <w:color w:val="auto"/>
        </w:rPr>
        <w:t>™</w:t>
      </w:r>
      <w:r>
        <w:rPr>
          <w:rFonts w:ascii="Arial" w:cs="Arial" w:eastAsia="Arial" w:hAnsi="Arial"/>
          <w:sz w:val="18"/>
          <w:szCs w:val="18"/>
          <w:color w:val="auto"/>
        </w:rPr>
        <w:t>, Hefty</w:t>
      </w:r>
      <w:r>
        <w:rPr>
          <w:rFonts w:ascii="Arial" w:cs="Arial" w:eastAsia="Arial" w:hAnsi="Arial"/>
          <w:sz w:val="15"/>
          <w:szCs w:val="15"/>
          <w:color w:val="auto"/>
        </w:rPr>
        <w:t>®</w:t>
      </w:r>
      <w:r>
        <w:rPr>
          <w:rFonts w:ascii="Arial" w:cs="Arial" w:eastAsia="Arial" w:hAnsi="Arial"/>
          <w:sz w:val="18"/>
          <w:szCs w:val="18"/>
          <w:color w:val="auto"/>
        </w:rPr>
        <w:t xml:space="preserve"> Strong Trash Bags and Hefty</w:t>
      </w:r>
      <w:r>
        <w:rPr>
          <w:rFonts w:ascii="Arial" w:cs="Arial" w:eastAsia="Arial" w:hAnsi="Arial"/>
          <w:sz w:val="15"/>
          <w:szCs w:val="15"/>
          <w:color w:val="auto"/>
        </w:rPr>
        <w:t>®</w:t>
      </w:r>
      <w:r>
        <w:rPr>
          <w:rFonts w:ascii="Arial" w:cs="Arial" w:eastAsia="Arial" w:hAnsi="Arial"/>
          <w:sz w:val="18"/>
          <w:szCs w:val="18"/>
          <w:color w:val="auto"/>
        </w:rPr>
        <w:t xml:space="preserve"> Slider Bags.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Tableware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plates, bowls, platters, cups and cutlery. Our branded products, which include dishes and party cups, are sold under the Hefty</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Presto Products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Our Presto Products segment primarily sells store brand products in four main categories: food storage bags, trash bags, disposable storage containers and food wrap. Our Presto Products segment also includes our specialty business which sells re-sealable closure systems.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by Segment:</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and the allocated related party Management Fee.</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and property, plant and equipment. Other assets, such as cash, accounts receivable and other intangible assets, are monitored on an entity-wide basis and not included in segment information that is regularly reviewed by our CODM.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accounting policies applied by our segments are the same as those described in Note 2—Summary of Significant Accounting Policies.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Transactions between segments are at negotiated prices.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Presto</w:t>
            </w:r>
          </w:p>
        </w:tc>
        <w:tc>
          <w:tcPr>
            <w:tcW w:w="880" w:type="dxa"/>
            <w:vAlign w:val="bottom"/>
            <w:gridSpan w:val="2"/>
            <w:vMerge w:val="restart"/>
          </w:tcPr>
          <w:p>
            <w:pPr>
              <w:jc w:val="center"/>
              <w:ind w:left="253"/>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gridSpan w:val="3"/>
          </w:tcPr>
          <w:p>
            <w:pPr>
              <w:jc w:val="center"/>
              <w:ind w:left="1059"/>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6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7"/>
              </w:rPr>
              <w:t>Waste &amp;</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Unallocated(1)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Baking</w:t>
            </w:r>
          </w:p>
        </w:tc>
        <w:tc>
          <w:tcPr>
            <w:tcW w:w="3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Tableware</w:t>
            </w:r>
          </w:p>
        </w:tc>
        <w:tc>
          <w:tcPr>
            <w:tcW w:w="88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Products</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4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2018</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$ 3,142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539</w:t>
            </w:r>
          </w:p>
        </w:tc>
        <w:tc>
          <w:tcPr>
            <w:tcW w:w="3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3,151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3,142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163</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881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5,540</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Presto</w:t>
            </w:r>
          </w:p>
        </w:tc>
        <w:tc>
          <w:tcPr>
            <w:tcW w:w="880" w:type="dxa"/>
            <w:vAlign w:val="bottom"/>
            <w:gridSpan w:val="2"/>
            <w:vMerge w:val="restart"/>
          </w:tcPr>
          <w:p>
            <w:pPr>
              <w:jc w:val="center"/>
              <w:ind w:left="253"/>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gridSpan w:val="3"/>
          </w:tcPr>
          <w:p>
            <w:pPr>
              <w:jc w:val="center"/>
              <w:ind w:left="1059"/>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6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7"/>
              </w:rPr>
              <w:t>Waste &amp;</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Unallocated(1)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Baking</w:t>
            </w:r>
          </w:p>
        </w:tc>
        <w:tc>
          <w:tcPr>
            <w:tcW w:w="3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Tableware</w:t>
            </w:r>
          </w:p>
        </w:tc>
        <w:tc>
          <w:tcPr>
            <w:tcW w:w="88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Products</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4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$ 2,957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2,968</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786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5,125</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5,911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3"/>
          </w:tcPr>
          <w:p>
            <w:pPr>
              <w:jc w:val="right"/>
              <w:ind w:right="312"/>
              <w:spacing w:after="0"/>
              <w:rPr>
                <w:sz w:val="20"/>
                <w:szCs w:val="20"/>
                <w:color w:val="auto"/>
              </w:rPr>
            </w:pPr>
            <w:r>
              <w:rPr>
                <w:rFonts w:ascii="Arial" w:cs="Arial" w:eastAsia="Arial" w:hAnsi="Arial"/>
                <w:sz w:val="18"/>
                <w:szCs w:val="18"/>
                <w:color w:val="auto"/>
              </w:rPr>
              <w:t>F-32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Presto</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gridSpan w:val="2"/>
          </w:tcPr>
          <w:p>
            <w:pPr>
              <w:jc w:val="center"/>
              <w:ind w:left="1054"/>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60" w:type="dxa"/>
            <w:vAlign w:val="bottom"/>
            <w:gridSpan w:val="2"/>
          </w:tcPr>
          <w:p>
            <w:pPr>
              <w:jc w:val="center"/>
              <w:ind w:left="233"/>
              <w:spacing w:after="0" w:line="149" w:lineRule="exact"/>
              <w:rPr>
                <w:sz w:val="20"/>
                <w:szCs w:val="20"/>
                <w:color w:val="auto"/>
              </w:rPr>
            </w:pPr>
            <w:r>
              <w:rPr>
                <w:rFonts w:ascii="Arial" w:cs="Arial" w:eastAsia="Arial" w:hAnsi="Arial"/>
                <w:sz w:val="14"/>
                <w:szCs w:val="14"/>
                <w:b w:val="1"/>
                <w:bCs w:val="1"/>
                <w:color w:val="auto"/>
                <w:w w:val="97"/>
              </w:rPr>
              <w:t>Waste &amp;</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Unallocated(1)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Baking</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Storage</w:t>
            </w: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Tableware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Products</w:t>
            </w:r>
          </w:p>
        </w:tc>
        <w:tc>
          <w:tcPr>
            <w:tcW w:w="340" w:type="dxa"/>
            <w:vAlign w:val="bottom"/>
          </w:tcPr>
          <w:p>
            <w:pPr>
              <w:spacing w:after="0"/>
              <w:rPr>
                <w:sz w:val="14"/>
                <w:szCs w:val="14"/>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1,057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658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86"/>
              </w:rPr>
              <w:t>710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510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$ 2,935</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6"/>
              </w:rPr>
              <w:t>710</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2,948</w:t>
            </w: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w w:val="79"/>
              </w:rPr>
              <w:t>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360" w:hanging="436"/>
        <w:spacing w:after="0" w:line="25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Unallocated includes eliminations of intersegment revenues, unallocated depreciation and amortization and unallocated assets, which are comprised of cash, accounts receivable, other receivables, entity-wide property, plant and equipment, goodwill, intangible assets, related party receivables and other assets.</w:t>
      </w:r>
    </w:p>
    <w:p>
      <w:pPr>
        <w:ind w:left="640" w:right="320" w:hanging="436"/>
        <w:spacing w:after="0" w:line="255"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each of the years presented, the property, plant and equipment included in our Hefty Tableware segment was contributed to us from RGHL Group. No capital expenditures were incurred by us in relation to these items. Refer to Note 14—Related Party Transactions for additional information.</w:t>
      </w:r>
    </w:p>
    <w:p>
      <w:pPr>
        <w:spacing w:after="0" w:line="1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 presents a reconciliation of segment Adjusted EBITDA to combined U.S. GAAP income before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1"/>
              </w:rPr>
              <w:t>For the Years Ended December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w w:val="93"/>
              </w:rPr>
              <w:t>Adjustments to reconcile to U.S. GAAP income before income taxes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 net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Factoring discount</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derivatives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Business rationalization costs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 settlement loss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U.S. GAAP income before income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940" w:type="dxa"/>
            <w:vAlign w:val="bottom"/>
            <w:gridSpan w:val="2"/>
          </w:tcPr>
          <w:p>
            <w:pPr>
              <w:jc w:val="right"/>
              <w:ind w:right="236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in Relation to Products: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revenues by product line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4"/>
          </w:tcPr>
          <w:p>
            <w:pPr>
              <w:jc w:val="center"/>
              <w:ind w:left="9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and storage products(1)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Cooking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r>
      <w:tr>
        <w:trPr>
          <w:trHeight w:val="223"/>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Data:</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Geographic data for net revenues (recognized based on location of our business operations) and long-lived assets (representing property, plant and equipment)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60" w:type="dxa"/>
            <w:vAlign w:val="bottom"/>
            <w:gridSpan w:val="14"/>
          </w:tcPr>
          <w:p>
            <w:pPr>
              <w:ind w:left="22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4"/>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4"/>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$ 3,079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2,862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35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$ 3,142</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ind w:left="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7"/>
          </w:tcPr>
          <w:p>
            <w:pPr>
              <w:jc w:val="right"/>
              <w:ind w:right="293"/>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Long-lived assets</w:t>
            </w:r>
          </w:p>
        </w:tc>
        <w:tc>
          <w:tcPr>
            <w:tcW w:w="3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464</w:t>
            </w:r>
          </w:p>
        </w:tc>
        <w:tc>
          <w:tcPr>
            <w:tcW w:w="1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Entity-wide Disclosures: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Net revenues from our largest customer and its affiliates were 40%, 39% and 38% of total net revenues for the years ended December 31, 2018, 2017 and 2016, respectively. The net revenues from our largest customer were recognized across all of our segments. No other customers accounted for 10% or more of our total net revenues in any of the periods presented. As a result of our participation in RGHL Group’s factoring arrangement, there were no outstanding receivables with this customer as of December 31, 2018 and 2017.</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parent is RGHL, the ultimate parent is Packaging Holdings Limited, and the ultimate shareholder is Mr. Graeme Hart.</w:t>
      </w:r>
    </w:p>
    <w:p>
      <w:pPr>
        <w:spacing w:after="0" w:line="225"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 addition to the allocation of expenses for certain services related to group wide functions provided by RGHL Group discussed in Note 1— Description of Business and Basis of Presentation, other transactions between us and RGHL Group are described below. As indicated, certain transactions are reflected in equity (deficit) in our combined balance sheets as Net Parent deficit and in our combined statements of cash flows as a financing activity in net transfers from Parent.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years ended December 31, 2018, 2017 and 2016, revenues from product sold to RGHL Group were $161 million, $148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$143 million, respectively, and the related costs of sales were $155 million, $144 million and $137 million, respectively. For each of the years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2018, 2017 and 2016, we charged RGHL Group $2 million of our warehousing costs, which were included in cost of sales. Current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party receivables were $30 million and $64 million as of December 31, 2018 and 2017, respectively. For the years ended December 31,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2017 and 2016, products purchased from RGHL Group were $511 million, $492 million and $494 million, respectively. For the years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2018, 2017 and 2016, RGHL Group charged us $143 million, $120 million and $117 million, respectively, of their freight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warehousing costs, which were included in cost of sales. Current related party payables were $268 million and $245 million as of December 31,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2017, respectively. These related party receivables and payables are settled regularly with RGHL Group in the normal course of business.</w:t>
      </w:r>
    </w:p>
    <w:p>
      <w:pPr>
        <w:spacing w:after="0" w:line="22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years ended December 31, 2018, 2017 and 2016, property, plant and equipment related to our Hefty Tableware segment of $17 million, $5 million and $4 million, respectively, was contributed to us by RGHL Group.</w:t>
      </w:r>
    </w:p>
    <w:p>
      <w:pPr>
        <w:spacing w:after="0" w:line="17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We have written interest-bearing loan agreements in place with RGHL Group which are presented as related party long-term receivables and related party borrowings on our combined balance sheets. These balances are expected to be settled in cash. Related party long-term receivables were $2,401 million and $1,929 million as of December 31, 2018 and 2017, respectively. During the year ended December 31, 2017, $162 million of related party long-term receivables from RGHL Group were offset against current income taxes payable. Related party borrowings were $3,950 million and $3,927 million as of December 31, 2018 and 2017, respectively. Related party accrued interest payable was $576 million and $367 million as of December 31, 2018 and 2017, respectively. We remit accrued interest payable to RGHL Group as and when requested in conjunction with its cash management activities. Interest expense and income related to these loan agreements are discussed in Note 6—Debt and Borrowing Arrangements, and are accrued based on the written loan agreements. During the years ended December 31, 2018, 2017 and 2016 we borrowed $338 million, $416 million and $634 million ($17 million non-cash), respectively, from RGHL Group and repaid borrowings of $314 million, $456 million ($3 million non-cash) and $261 million ($6 million non-cash), respectively. During the years ended December 31, 2018, 2017 and 2016 we advanced loans of $537 million, $508 million and $650 million, respectively, to RGHL Group and received repayments of $65 million, $200 million and $109 million, respectively. During the year ended December 31, 2016, we incurred $1,350 million of additional borrowings under the Credit Agreement. The cash associated with these additional borrowings, net of $16 million in non-lender fees, was received directly by RGHL Group which resulted in an offsetting reduction in related party borrowings owing to RGHL Group.</w:t>
      </w:r>
    </w:p>
    <w:p>
      <w:pPr>
        <w:spacing w:after="0" w:line="18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weighted average contractual interest rate related to our related party borrowings as of December 31, 2018, 2017 and 2016, was 6.00%, 6.28% and 6.79%, respectively. Below is a schedule of maturity of our related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party borrowings as of December 31, 2018. Subsequent to the settlement of certain balances due to and from RGHL Group in June 2019, as discussed in Note 15—Subsequent Events, the remaining related party borrowings balances all have maturity dates in 2022. The fair value of our related party borrowings as of December 31, 2018 and 2017, which is a Level 2 fair value measurement, approximates the carrying value.</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940" w:type="dxa"/>
            <w:vAlign w:val="bottom"/>
            <w:gridSpan w:val="4"/>
          </w:tcPr>
          <w:p>
            <w:pPr>
              <w:ind w:left="41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4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Related party borrowings</w:t>
            </w:r>
          </w:p>
        </w:tc>
        <w:tc>
          <w:tcPr>
            <w:tcW w:w="4340" w:type="dxa"/>
            <w:vAlign w:val="bottom"/>
            <w:gridSpan w:val="2"/>
            <w:shd w:val="clear" w:color="auto" w:fill="CCEEFF"/>
          </w:tcPr>
          <w:p>
            <w:pPr>
              <w:ind w:left="4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The weighted average contractual interest rate related to our non-current related party receivables as of December 31, 2018, 2017 and 2016, was 2.92%, 1.67% and 0.95%, respectively. As of December 31, 2018, these receivables were to mature in 2022, however as discussed in Note 15— Subsequent Events, in June 2019 they were used to reduce the balances outstanding under various related party borrowings.</w:t>
      </w:r>
    </w:p>
    <w:p>
      <w:pPr>
        <w:spacing w:after="0" w:line="166"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discussed in Note 2—Summary of Significant Accounting Policies, we also participate in RGHL Group’s accounts receivable factoring arrangement whereby certain of our accounts receivable are sold at a discount to RGHL Group. Costs for participating in the factoring arrangement are disclosed in Note 9—Other Expense, Net.</w:t>
      </w:r>
    </w:p>
    <w:p>
      <w:pPr>
        <w:spacing w:after="0" w:line="181" w:lineRule="exact"/>
        <w:rPr>
          <w:sz w:val="20"/>
          <w:szCs w:val="20"/>
          <w:color w:val="auto"/>
        </w:rPr>
      </w:pPr>
    </w:p>
    <w:p>
      <w:pPr>
        <w:jc w:val="both"/>
        <w:ind w:left="200" w:right="180" w:firstLine="441"/>
        <w:spacing w:after="0" w:line="342" w:lineRule="auto"/>
        <w:rPr>
          <w:sz w:val="20"/>
          <w:szCs w:val="20"/>
          <w:color w:val="auto"/>
        </w:rPr>
      </w:pPr>
      <w:r>
        <w:rPr>
          <w:rFonts w:ascii="Arial" w:cs="Arial" w:eastAsia="Arial" w:hAnsi="Arial"/>
          <w:sz w:val="16"/>
          <w:szCs w:val="16"/>
          <w:color w:val="auto"/>
        </w:rPr>
        <w:t>We have obtained a letter of support from RGHL confirming its commitment to provide us with financial support to the extent that other sources of funding are not otherwise available to us, expiring the earliest of (i) December 28, 2020; (ii) a sale of the business; or (iii) an initial public offering.</w:t>
      </w:r>
    </w:p>
    <w:p>
      <w:pPr>
        <w:spacing w:after="0" w:line="12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current U.S. federal tax is recognized directly as a movement in Net Parent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June 2019, the non-current related party receivables and a portion of current related party receivables were used to reduce the balances outstanding of various related party borrowings, related party accrued interest payable and related party payables. As a result of this process, we net settled related party borrowings of $1,714 million, related party accrued interest payable of $655 million and related party payables of $94 million. Following these settlements, we now have related party borrowings and related party accrued interest payable due to RGHL Group, which as of June 30, 2019 were $2,228 million and $30 million, respectively. The related party borrowings bear interest at rates of 1% to 3% per annum and mature in 2022 and thereafter.</w:t>
      </w:r>
    </w:p>
    <w:p>
      <w:pPr>
        <w:spacing w:after="0" w:line="193"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Except as described above, there have been no events subsequent to December 31, 2018 which would require accrual or disclosure in these combined financial statements. Subsequent events have been evaluated through August 28, 2019, the date these combined financial statements were available to be issued.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For the Nine Months</w:t>
      </w:r>
    </w:p>
    <w:p>
      <w:pPr>
        <w:jc w:val="center"/>
        <w:ind w:left="9240"/>
        <w:spacing w:after="0" w:line="226" w:lineRule="auto"/>
        <w:rPr>
          <w:sz w:val="20"/>
          <w:szCs w:val="20"/>
          <w:color w:val="auto"/>
        </w:rPr>
      </w:pPr>
      <w:r>
        <w:rPr>
          <w:rFonts w:ascii="Arial" w:cs="Arial" w:eastAsia="Arial" w:hAnsi="Arial"/>
          <w:sz w:val="14"/>
          <w:szCs w:val="14"/>
          <w:b w:val="1"/>
          <w:bCs w:val="1"/>
          <w:color w:val="auto"/>
        </w:rPr>
        <w:t>Ended</w:t>
      </w:r>
    </w:p>
    <w:p>
      <w:pPr>
        <w:jc w:val="center"/>
        <w:ind w:left="924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sales</w:t>
            </w: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(1,580)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net</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 net</w:t>
            </w: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expense</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For the Nine Months</w:t>
      </w:r>
    </w:p>
    <w:p>
      <w:pPr>
        <w:jc w:val="center"/>
        <w:ind w:left="9100"/>
        <w:spacing w:after="0" w:line="226" w:lineRule="auto"/>
        <w:rPr>
          <w:sz w:val="20"/>
          <w:szCs w:val="20"/>
          <w:color w:val="auto"/>
        </w:rPr>
      </w:pPr>
      <w:r>
        <w:rPr>
          <w:rFonts w:ascii="Arial" w:cs="Arial" w:eastAsia="Arial" w:hAnsi="Arial"/>
          <w:sz w:val="14"/>
          <w:szCs w:val="14"/>
          <w:b w:val="1"/>
          <w:bCs w:val="1"/>
          <w:color w:val="auto"/>
        </w:rPr>
        <w:t>Ended</w:t>
      </w:r>
    </w:p>
    <w:p>
      <w:pPr>
        <w:jc w:val="center"/>
        <w:ind w:left="91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Postretirement benefit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Related party receivables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payables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Related party accrued interest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Current portion of related party borrowings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related party borrowings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Long-term postretirement benefit obligation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r>
      <w:tr>
        <w:trPr>
          <w:trHeight w:val="223"/>
        </w:trPr>
        <w:tc>
          <w:tcPr>
            <w:tcW w:w="20" w:type="dxa"/>
            <w:vAlign w:val="bottom"/>
          </w:tcPr>
          <w:p>
            <w:pPr>
              <w:spacing w:after="0"/>
              <w:rPr>
                <w:sz w:val="19"/>
                <w:szCs w:val="19"/>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(1,027)</w:t>
            </w: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Equity (Deficit)</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Parent</w:t>
            </w:r>
          </w:p>
        </w:tc>
        <w:tc>
          <w:tcPr>
            <w:tcW w:w="156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Comprehensive</w:t>
            </w: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(Deficit)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Nine Months Ended September 30, 2018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(1,304)</w:t>
            </w:r>
          </w:p>
        </w:tc>
        <w:tc>
          <w:tcPr>
            <w:tcW w:w="4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(1,164)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(1,160)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 the Nine Months Ended September 30, 2019</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(1,034)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2019</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320" w:type="dxa"/>
            <w:vAlign w:val="bottom"/>
          </w:tcPr>
          <w:p>
            <w:pPr>
              <w:jc w:val="right"/>
              <w:ind w:right="24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For the Nine Months Ended September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provided by (used in) operating activities</w:t>
            </w:r>
          </w:p>
        </w:tc>
        <w:tc>
          <w:tcPr>
            <w:tcW w:w="1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8"/>
                <w:szCs w:val="18"/>
                <w:color w:val="auto"/>
              </w:rPr>
            </w:pPr>
          </w:p>
        </w:tc>
        <w:tc>
          <w:tcPr>
            <w:tcW w:w="142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Unrealized (gains) losses on derivatives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portion of employee benefit obligations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Change in assets and liabilities: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Other receivables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receivables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lease right-of use assets, net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payables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Related party accrued interest payable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lease liabilities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and other current liabilities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Other assets and liabilities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benefit obligations, net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related parties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(170)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Repayments from related parties</w:t>
            </w:r>
          </w:p>
        </w:tc>
        <w:tc>
          <w:tcPr>
            <w:tcW w:w="14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(93)</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(235)</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repayments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Advances from related parties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to related parties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(140)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Deferred debt and equity transaction costs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from Parent</w:t>
            </w:r>
          </w:p>
        </w:tc>
        <w:tc>
          <w:tcPr>
            <w:tcW w:w="1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0"/>
              </w:rPr>
              <w:t>(129)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the period</w:t>
            </w:r>
          </w:p>
        </w:tc>
        <w:tc>
          <w:tcPr>
            <w:tcW w:w="1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Balance as of end of the period</w:t>
            </w:r>
          </w:p>
        </w:tc>
        <w:tc>
          <w:tcPr>
            <w:tcW w:w="142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Interest—long-term debt</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Interest—related party borrowings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Significant non-cash investing and financing activities</w:t>
      </w:r>
    </w:p>
    <w:p>
      <w:pPr>
        <w:spacing w:after="0" w:line="12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Refer to Note 7—Leases for details of non-cash additions to operating lease right-of-use assets, net as a result of changes in operating lease liabilities. Refer to Note 16—Related Party Transactions for details of significant non-cash investing and financing activities.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1—Description of Business and Basis of Presentation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Reynolds Consumer Group (“we”, “us” or “our”) comprises the business that has been reported as the Reynolds Consumer Products segment in the consolidated financial statements of Reynolds Group Holdings Limited (“RGHL”) and its subsidiaries (collectively, “RGHL Group” or the “Parent”).</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produce and sell products across three broad categories: cooking products, waste &amp; storage products and tableware. We sell our products under brands such as Reynolds</w:t>
      </w:r>
      <w:r>
        <w:rPr>
          <w:rFonts w:ascii="Arial" w:cs="Arial" w:eastAsia="Arial" w:hAnsi="Arial"/>
          <w:sz w:val="15"/>
          <w:szCs w:val="15"/>
          <w:color w:val="auto"/>
        </w:rPr>
        <w:t>®</w:t>
      </w:r>
      <w:r>
        <w:rPr>
          <w:rFonts w:ascii="Arial" w:cs="Arial" w:eastAsia="Arial" w:hAnsi="Arial"/>
          <w:sz w:val="18"/>
          <w:szCs w:val="18"/>
          <w:color w:val="auto"/>
        </w:rPr>
        <w:t xml:space="preserve"> and Hefty</w:t>
      </w:r>
      <w:r>
        <w:rPr>
          <w:rFonts w:ascii="Arial" w:cs="Arial" w:eastAsia="Arial" w:hAnsi="Arial"/>
          <w:sz w:val="15"/>
          <w:szCs w:val="15"/>
          <w:color w:val="auto"/>
        </w:rPr>
        <w:t>®</w:t>
      </w:r>
      <w:r>
        <w:rPr>
          <w:rFonts w:ascii="Arial" w:cs="Arial" w:eastAsia="Arial" w:hAnsi="Arial"/>
          <w:sz w:val="18"/>
          <w:szCs w:val="18"/>
          <w:color w:val="auto"/>
        </w:rPr>
        <w:t>,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historically operated as part of RGHL Group and not as a stand-alone entity. Our condensed combined financial statements present the results of operations, financial position and cash flows prepared on a stand-alone basis and have been derived from the accounting records of RGHL Group. All revenues and costs as well as assets and liabilities that are either legally attributable to us or directly associated with our business activities are included in our condensed combined financial statements. Intercompany transactions, profits and balances between our combined entities have been eliminated. Our condensed combined financial statements include Reynolds Consumer Products Inc., the entity whose shares will be issued to the public.</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condensed combined financial statements are unaudited and presented in U.S. dollars. They have been prepared in accordance with accounting principles generally accepted in the United States of America (“U.S. GAAP”) and pursuant to the rules and regulations of the Securities and Exchange Commission (“SEC”) for interim financial information. Accordingly, they do not include all of the information and footnotes required by U.S. GAAP for complete financial statements. Our condensed combined balance sheet as of December 31, 2018 has been derived from our audited combined financial statements at that date. Our condensed combined financial statements should be read in conjunction with our combined financial statements and notes thereto for the year ended December 31, 2018, which include a complete set of footnote disclosures, including our significant accounting policies. In our opinion, these condensed combined financial statements include all normal and recurring adjustments considered necessary for a fair statement of our results of operations, financial position and cash flows for the periods presented. However, our results of operations for any interim period are not necessarily indicative of the results that may be expected for a full fiscal year or for any other future period.</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condensed combined statements of income include allocations of certain expenses for services provided by RGHL Group, including, but not limited to, general corporate expenses related to group wide functions including executive management, finance, legal, tax, information technology and a portion of a related party management fee incurred by RGHL Group. Total costs allocated to us for these functions were $29 million for each of the nine months ended September 30, 2019 and 2018, which were primarily included in selling, general and administrative expenses in our condensed combined statements of income. These amounts include costs of $17 million and $15 million for the nine months ended September 30, 2019 and 2018, respectively, that were not historically allocated to us as part of RGHL Group’s normal monthly reporting process. Additionally, in the nine months ended September 30, 2019 costs of $12 million were allocated to us related to the IPO process that cannot be offset against the expected future IPO proceeds, as well as costs related to our preparations to operate as a stand-alone public company, which were included in other expense, net in our condensed combined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statements of income.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combined results of operations, financial position and cash flows had we operated as a stand-alone company during the periods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RGHL Group centrally manages substantially all of our financial resources. We finance our operating and capital requirements through a combination of cash provided by operations, RGHL Group’s external borrowings that we have incurred and intercompany funding with RGHL Group. We are a borrower under a portion of RGHL Group’s external borrowings and therefore a portion of this third-party debt is reflected as long-term debt on our condensed combined balance sheets. Refer to Note 6—Debt and Borrowing Arrangements for further information. Our intercompany funding with RGHL Group, which is subject to various legal agreements with RGHL Group, is reflected in related party borrowings on our condensed combined balance sheets. We also advance surplus cash to RGHL Group as part of its cash management activities. The balance of these amounts is reflected in non-current related party receivables in our condensed combined balance sheets. Refer to Note 16 —Related Party Transactions for further information.</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does not exist between the various entities of our combined group, a Net Parent deficit account is shown in our condensed combined financial statements. The majority of transactions between us and RGHL Group have a history of settlement or are expected to be settled for cash as part of the share offering. These transactions have been reflected in our condensed combined balance sheets as related party receivables and payables. Transactions that do not have a history of settlement are reflected in equity (deficit) in our condensed combined balance sheets as Net Parent deficit and, when cash is utilized (contributed), in our condensed combined statements of cash flows as a financing activity in net transfers from (to) Parent. Refer to Note 16—Related Party Transactions for further information.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prepare our condensed combined financial statements in accordance with U.S. GAAP, which requires us to make estimates and assumptions that affect a number of amounts in our condensed combined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combined results of operations in the period the actual amounts become known. Historically, the aggregate differences, if any, between our estimates and actual amounts in any year have not had a material effect on our condensed combined financial statements.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determine whether a contract is or contains a lease at contract inception. On January 1, 2019, we began to record operating leases on our condensed combined balance sheet.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Following initial recognition, lease liability balances are amortized using the effective interest method, while ROU assets are adjusted by the difference between the fixed lease expense recognized and the interest expense associated with the effective interest method in the period.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Some of our leases contain non-lease components, for example common area or other maintenance costs, that relate to the lease components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Non-lease components and the lease components to which they relate are accounted for as a single lease component as we have elected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combine lease and non-lease components for all classes of underlying assets. We recognize interest on operating lease liabilities and amortization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ROU assets as a single lease expense for operating leases on a straight-line basis over the lease term. For the nine months ended September 30,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 million was recorded in cost of sales and $1 million in selling, general and administrative expenses in our condensed combined statements of income.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All operating lease cash payments are recorded within cash flows from operating activities in the condensed combined statements of cash flows.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 agreements do not include significant restrictions, covenants or residual value guarantees.</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Stock-based compensation expense is measured at the grant date based on the fair value of the award and is recognized as expense over the period in which the awards vest in accordance with applicable guidance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In contemplation of us issuing shares to the public, we granted restricted stock units (“RSUs”) in July 2019 to certain members of management, pursuant to retention agreements entered into with these employees. These RSUs vest upon satisfaction of both a performance-based vesting condition (the “IPO Condition”) and a service-based vesting condition (the “Service Condition”). The IPO Condition will be satisfied as and when we complete our initial public offering. The Service Condition will be satisfied with respect to one-third of an employee’s RSUs on each anniversary from the date of our initial public offering for three consecutive years, subject to the employee’s continued employment through the applicable vesting date. We account for forfeitures of outstanding but unvested grants in the period they occur. The grant date fair value of the RSUs was approximately $3 million. Although the requisite service period began in July 2019, we have not recognized any compensation expense in our condensed combined financial statements during the nine months ended September 30, 2019, because we concluded that it is not probable that the IPO Condition will be achieved.</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The ASU revises existing U.S. GAAP and outlines a new model for lessors and lessees to use in accounting for lease contracts.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requires lessees to recognize an ROU asset and a lease liability on the balance sheet for all leases, with the exception of short-term leases.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Lessees will classify leases as either operating (resulting in straight-line expense recognition) or finance (resulting in a front-loaded expense pattern). In July 2018, the FASB issued an ASU which allows for an alternative transition approach, which will not require adjustments to comparative prior-period amounts. Topic 842 and all related ASUs are effective for fiscal years beginning after December 15, 2018, with early adoption permitted. We adopted the new standard on January 1, 2019 on a modified retrospective basis using a simplified transition approach, with no adjustment made to our prior period combined financial statements. We elected to apply the package of practical expedients, including not reassessing whether expired or existing contracts contained leases, the classification of those leases and initial direct costs for any existing leases. We also elected to exclude short-term leases (term of 12 months or less) from the balance sheet presentation. The most significant impact from adopting the standard is the initial recognition of ROU assets and operating lease liabilities on our condensed combined balance sheet. Upon adoption, we recorded ROU assets (adjusted for deferred rent) and operating lease liabilities of $37 million and $39 million, respectively, representing the present value of future lease payments with terms greater than 12 months. There was no other impact on our condensed combined financial statements.</w:t>
      </w:r>
    </w:p>
    <w:p>
      <w:pPr>
        <w:spacing w:after="0" w:line="16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Tax Effects from Accumulated Other Comprehensive Income</w:t>
      </w:r>
      <w:r>
        <w:rPr>
          <w:rFonts w:ascii="Arial" w:cs="Arial" w:eastAsia="Arial" w:hAnsi="Arial"/>
          <w:sz w:val="17"/>
          <w:szCs w:val="17"/>
          <w:color w:val="auto"/>
        </w:rPr>
        <w:t>. This guidance permits companies to reclassify to retained earnings the tax effects stranded</w:t>
      </w:r>
      <w:r>
        <w:rPr>
          <w:rFonts w:ascii="Arial" w:cs="Arial" w:eastAsia="Arial" w:hAnsi="Arial"/>
          <w:sz w:val="17"/>
          <w:szCs w:val="17"/>
          <w:i w:val="1"/>
          <w:iCs w:val="1"/>
          <w:color w:val="auto"/>
        </w:rPr>
        <w:t xml:space="preserve"> </w:t>
      </w:r>
      <w:r>
        <w:rPr>
          <w:rFonts w:ascii="Arial" w:cs="Arial" w:eastAsia="Arial" w:hAnsi="Arial"/>
          <w:sz w:val="17"/>
          <w:szCs w:val="17"/>
          <w:color w:val="auto"/>
        </w:rPr>
        <w:t>in accumulated other comprehensive income as a result of the U.S. Tax Cuts and Jobs Act of 2017. The ASU is effective for fiscal years beginning after December 15, 2018, with early adoption permitted. We adopted the standard as of January 1, 2019 which resulted in a reclassification of $3 million of income tax expense from accumulated other comprehensive income into Net Parent deficit.</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Accounting Guidance Issued But Not Yet Adopted as of September 30, 2019:</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modifies the impairment model to use an expected loss methodology in place of the currently used incurred loss methodology,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earlier recognition of losses related to financial instruments. This ASU is effective for annual reporting periods beginning after December 15, 2019, with early adoption permitted, and requires a cumulative effect adjustment to the balance sheet upon adoption. We are currently assessing the impact on our condensed combined financial statements.</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Disclosure—Framework—Changes to the Disclosure Requirements for Defined Benefit Plans. The ASU modifies the disclosure requirements for employers that sponsor defined benefit pension or other postretirement plans. The ASU is effective for fiscal years beginning after December 15, 2020, with early adoption permitted. We are currently evaluating the requirements of this guidance, which is expected to impact our disclosures but is not expected to impact the measurement and recognition of amounts in our condensed combined financial statements.</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for internal-use software. This ASU is effective for annual reporting periods beginning after December 15, 2019, with early adoption permitted. We are currently assessing the impact on our condensed combined financial statements.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480" w:type="dxa"/>
            <w:vAlign w:val="bottom"/>
            <w:gridSpan w:val="3"/>
          </w:tcPr>
          <w:p>
            <w:pPr>
              <w:ind w:left="3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74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Work in progress</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Spare parts</w:t>
            </w:r>
          </w:p>
        </w:tc>
        <w:tc>
          <w:tcPr>
            <w:tcW w:w="3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5—Goodwill and Intangible Assets</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Goodwill by reportable segment was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12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2"/>
              </w:rPr>
              <w:t>Hefty Waste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Hefty</w:t>
            </w:r>
          </w:p>
        </w:tc>
        <w:tc>
          <w:tcPr>
            <w:tcW w:w="80" w:type="dxa"/>
            <w:vAlign w:val="bottom"/>
          </w:tcPr>
          <w:p>
            <w:pPr>
              <w:spacing w:after="0"/>
              <w:rPr>
                <w:sz w:val="24"/>
                <w:szCs w:val="24"/>
                <w:color w:val="auto"/>
              </w:rPr>
            </w:pPr>
          </w:p>
        </w:tc>
        <w:tc>
          <w:tcPr>
            <w:tcW w:w="8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Presto</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w w:val="94"/>
              </w:rPr>
              <w:t>Cooking &amp;</w:t>
            </w:r>
          </w:p>
        </w:tc>
        <w:tc>
          <w:tcPr>
            <w:tcW w:w="12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Baking</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&amp; Storage</w:t>
            </w:r>
          </w:p>
        </w:tc>
        <w:tc>
          <w:tcPr>
            <w:tcW w:w="1600" w:type="dxa"/>
            <w:vAlign w:val="bottom"/>
            <w:gridSpan w:val="6"/>
          </w:tcPr>
          <w:p>
            <w:pPr>
              <w:ind w:left="500"/>
              <w:spacing w:after="0"/>
              <w:rPr>
                <w:sz w:val="20"/>
                <w:szCs w:val="20"/>
                <w:color w:val="auto"/>
              </w:rPr>
            </w:pPr>
            <w:r>
              <w:rPr>
                <w:rFonts w:ascii="Arial" w:cs="Arial" w:eastAsia="Arial" w:hAnsi="Arial"/>
                <w:sz w:val="14"/>
                <w:szCs w:val="14"/>
                <w:b w:val="1"/>
                <w:bCs w:val="1"/>
                <w:color w:val="auto"/>
              </w:rPr>
              <w:t>Tableware</w:t>
            </w:r>
          </w:p>
        </w:tc>
        <w:tc>
          <w:tcPr>
            <w:tcW w:w="920" w:type="dxa"/>
            <w:vAlign w:val="bottom"/>
            <w:gridSpan w:val="5"/>
          </w:tcPr>
          <w:p>
            <w:pPr>
              <w:ind w:left="6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6"/>
          </w:tcPr>
          <w:p>
            <w:pPr>
              <w:jc w:val="right"/>
              <w:ind w:right="528"/>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794</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505</w:t>
            </w: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505</w:t>
            </w: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86"/>
              </w:rPr>
              <w:t>282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6"/>
              </w:rPr>
              <w:t>298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F-46</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0"/>
              </w:rPr>
              <w:t>As of September 30, 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2018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20" w:type="dxa"/>
            <w:vAlign w:val="bottom"/>
            <w:gridSpan w:val="3"/>
          </w:tcPr>
          <w:p>
            <w:pPr>
              <w:ind w:left="1380"/>
              <w:spacing w:after="0" w:line="149" w:lineRule="exact"/>
              <w:rPr>
                <w:sz w:val="20"/>
                <w:szCs w:val="20"/>
                <w:color w:val="auto"/>
              </w:rPr>
            </w:pPr>
            <w:r>
              <w:rPr>
                <w:rFonts w:ascii="Arial" w:cs="Arial" w:eastAsia="Arial" w:hAnsi="Arial"/>
                <w:sz w:val="14"/>
                <w:szCs w:val="14"/>
                <w:b w:val="1"/>
                <w:bCs w:val="1"/>
                <w:color w:val="auto"/>
                <w:w w:val="94"/>
              </w:rPr>
              <w:t>carrying</w:t>
            </w:r>
          </w:p>
        </w:tc>
        <w:tc>
          <w:tcPr>
            <w:tcW w:w="15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ind w:left="13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1460" w:type="dxa"/>
            <w:vAlign w:val="bottom"/>
            <w:gridSpan w:val="2"/>
            <w:shd w:val="clear" w:color="auto" w:fill="CCEEFF"/>
          </w:tcPr>
          <w:p>
            <w:pPr>
              <w:ind w:left="138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1,455</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1,455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6—Debt and Borrowing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incurred borrowings under RGHL Group’s Senior Secured Credit Agreement, as amended (the “Credit Agreement”).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information presented below relates to our borrowings under the Credit Agreement, which represent only a portion of the total RGHL Group borrowings incurred under the Credit Agreement. For details regarding our borrowings with RGHL Group, refer to Note 16—Related Party Transactions.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U.S. Term Loan</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financing transaction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Overview—Credit Agreement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facilities under the Credit Agreement are comprised of (i) U.S. and European Term Loans, denominated in U.S. dollars and euro, respectively, and (ii) a Revolving Facility, denominated in U.S. dollars. For both periods presented, the Revolving Facility has only been utilized by RGHL Group in the form of letters of credit. As of September 30, 2019, RGHL Group has utilized $55 million, including $5 million for our letters of credit. We are a borrower under the U.S. Term Loan. Interest under the U.S. Term Loan comprises LIBOR, with a floor of 0%, plus a margin of 2.75%. We are not a borrower under the European Term Loans.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obligations under the Credit Agreement are guaranteed by, and secured by the assets of, certain members of RGHL Group, including certain entities of our combined group. For further details of the guarantees and security we have provided in relation to RGHL Group’s external borrowings, refer to Note 12—Commitments and Contingencies.</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U.S. Term Loan requires quarterly amortization payments of 0.25% of the outstanding principal as of February 5, 2017, with the balance due at maturity. Based on our portion of the outstanding borrowings, this represents amortization payments of approximately $5 million per quarter. Borrowings under the U.S. Term Loan may be voluntarily repaid in whole or in part and are subject to mandatory prepayments in certain circumstances, including the requirement to make annual prepayments of both the U.S. and European Term Loans with up to 50% of excess cash flow (which will be reduced to 25% or 0% if specified senior secured first lien leverage ratios are met) as determined in accordance with the Credit Agreement. No excess cash flow prepayments are due in 2019 for the year ended December 31, 2018.</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Scheduled Maturities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w w:val="92"/>
              </w:rPr>
              <w:t>Below is a schedule of required future repayments on our debt outstanding under the Credit Agreement as of September 30, 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020" w:type="dxa"/>
            <w:vAlign w:val="bottom"/>
            <w:gridSpan w:val="4"/>
          </w:tcPr>
          <w:p>
            <w:pPr>
              <w:ind w:left="20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fair value of our long-term debt as of September 30, 2019 and December 31, 2018, which is a Level 2 fair value measurement, approximates the carrying value due to the variable market interest rate and the stability of RGHL Group’s credit profile.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net consisted of the following:</w:t>
      </w:r>
    </w:p>
    <w:p>
      <w:pPr>
        <w:spacing w:after="0" w:line="24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For the Nine Months Ended</w:t>
      </w:r>
    </w:p>
    <w:p>
      <w:pPr>
        <w:jc w:val="center"/>
        <w:ind w:left="8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external debt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Interest expense, related party borrowings(1)</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related party receivables(1)</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 net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jc w:val="right"/>
        <w:ind w:left="5540" w:right="5320" w:hanging="5336"/>
        <w:spacing w:after="0" w:line="536" w:lineRule="auto"/>
        <w:tabs>
          <w:tab w:leader="none" w:pos="63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Refer to Note 16—Related Party Transactions for additional information. F-48</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lease certain buildings and plant and equipment. Our leases have reasonably assured remaining lease terms of up to 9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operating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the lease agreement is entered into.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condensed combined balance sheets and we recognize lease expense for these leases on a straight-line basis over the lease term. We do not have finance leases.</w:t>
      </w:r>
    </w:p>
    <w:p>
      <w:pPr>
        <w:sectPr>
          <w:pgSz w:w="11900" w:h="16838" w:orient="portrait"/>
          <w:cols w:equalWidth="0" w:num="1">
            <w:col w:w="11240"/>
          </w:cols>
          <w:pgMar w:left="240" w:top="460" w:right="419" w:bottom="1440" w:gutter="0" w:footer="0" w:header="0"/>
        </w:sectPr>
      </w:pP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 costs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Variable lease costs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Total lease costs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2019, there were no material lease transactions that we have entered into but have not yet commenced.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80"/>
        <w:spacing w:after="0" w:line="275" w:lineRule="auto"/>
        <w:rPr>
          <w:sz w:val="20"/>
          <w:szCs w:val="20"/>
          <w:color w:val="auto"/>
        </w:rPr>
      </w:pPr>
      <w:r>
        <w:rPr>
          <w:rFonts w:ascii="Arial" w:cs="Arial" w:eastAsia="Arial" w:hAnsi="Arial"/>
          <w:sz w:val="12"/>
          <w:szCs w:val="12"/>
          <w:b w:val="1"/>
          <w:bCs w:val="1"/>
          <w:color w:val="auto"/>
        </w:rPr>
        <w:t xml:space="preserve">For the Nine Months Ended </w:t>
      </w:r>
      <w:r>
        <w:rPr>
          <w:rFonts w:ascii="Arial" w:cs="Arial" w:eastAsia="Arial" w:hAnsi="Arial"/>
          <w:sz w:val="12"/>
          <w:szCs w:val="12"/>
          <w:b w:val="1"/>
          <w:bCs w:val="1"/>
          <w:u w:val="single" w:color="auto"/>
          <w:color w:val="auto"/>
        </w:rPr>
        <w:t>September 30, 2019</w:t>
      </w:r>
    </w:p>
    <w:p>
      <w:pPr>
        <w:ind w:left="240"/>
        <w:spacing w:after="0" w:line="235" w:lineRule="auto"/>
        <w:rPr>
          <w:sz w:val="20"/>
          <w:szCs w:val="20"/>
          <w:color w:val="auto"/>
        </w:rPr>
      </w:pPr>
      <w:r>
        <w:rPr>
          <w:rFonts w:ascii="Arial" w:cs="Arial" w:eastAsia="Arial" w:hAnsi="Arial"/>
          <w:sz w:val="14"/>
          <w:szCs w:val="14"/>
          <w:b w:val="1"/>
          <w:bCs w:val="1"/>
          <w:color w:val="auto"/>
        </w:rPr>
        <w:t>(in millions)</w:t>
      </w:r>
    </w:p>
    <w:p>
      <w:pPr>
        <w:ind w:left="1120" w:hanging="1112"/>
        <w:spacing w:after="0"/>
        <w:tabs>
          <w:tab w:leader="none" w:pos="11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8</w:t>
      </w:r>
    </w:p>
    <w:p>
      <w:pPr>
        <w:spacing w:after="0" w:line="18"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1</w:t>
      </w:r>
    </w:p>
    <w:p>
      <w:pPr>
        <w:spacing w:after="0" w:line="2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632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9" w:lineRule="exact"/>
        <w:rPr>
          <w:sz w:val="20"/>
          <w:szCs w:val="20"/>
          <w:color w:val="auto"/>
        </w:rPr>
      </w:pPr>
    </w:p>
    <w:p>
      <w:pPr>
        <w:ind w:left="1040" w:hanging="1032"/>
        <w:spacing w:after="0"/>
        <w:tabs>
          <w:tab w:leader="none" w:pos="104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7632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48895</wp:posOffset>
            </wp:positionV>
            <wp:extent cx="7632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9560" w:space="400"/>
            <w:col w:w="1280"/>
          </w:cols>
          <w:pgMar w:left="240" w:top="460" w:right="419" w:bottom="1440" w:gutter="0" w:footer="0" w:header="0"/>
          <w:type w:val="continuous"/>
        </w:sectPr>
      </w:pPr>
    </w:p>
    <w:p>
      <w:pPr>
        <w:spacing w:after="0" w:line="4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Future lease payments under non-cancelable leases under prior lease accounting rules (ASC 840) and under the new lease accounting rules (ASC 842) that went into effect on January 1, 2019 were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240" w:type="dxa"/>
            <w:vAlign w:val="bottom"/>
            <w:gridSpan w:val="4"/>
          </w:tcPr>
          <w:p>
            <w:pPr>
              <w:ind w:left="43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800" w:type="dxa"/>
            <w:vAlign w:val="bottom"/>
            <w:gridSpan w:val="4"/>
          </w:tcPr>
          <w:p>
            <w:pPr>
              <w:jc w:val="center"/>
              <w:ind w:left="73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ASC 842</w:t>
            </w: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4"/>
              </w:rPr>
              <w:t>ASC 840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liabilities</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420" w:type="dxa"/>
            <w:vAlign w:val="bottom"/>
            <w:gridSpan w:val="2"/>
          </w:tcPr>
          <w:p>
            <w:pPr>
              <w:ind w:left="1340"/>
              <w:spacing w:after="0"/>
              <w:rPr>
                <w:sz w:val="20"/>
                <w:szCs w:val="20"/>
                <w:color w:val="auto"/>
              </w:rPr>
            </w:pPr>
            <w:r>
              <w:rPr>
                <w:rFonts w:ascii="Arial" w:cs="Arial" w:eastAsia="Arial" w:hAnsi="Arial"/>
                <w:sz w:val="18"/>
                <w:szCs w:val="18"/>
                <w:color w:val="auto"/>
              </w:rPr>
              <w:t>F-49</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Operating lease liabilities and ROU assets included in our condensed combined balance sheets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600" w:type="dxa"/>
            <w:vAlign w:val="bottom"/>
            <w:gridSpan w:val="4"/>
          </w:tcPr>
          <w:p>
            <w:pPr>
              <w:jc w:val="center"/>
              <w:ind w:left="3496"/>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3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Operating lease right-of-use assets, net</w:t>
            </w:r>
          </w:p>
        </w:tc>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gridSpan w:val="2"/>
            <w:vMerge w:val="continue"/>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During the nine months ended September 30, 2019, new leases resulted in the recognition of ROU assets and corresponding lease liabilities of $4 million. During the nine months ended September 30, 2019, cash flows from operating activities include $8 million of payments for operating lease liabilities.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of September 30, 2019, the weighted average remaining lease term and weighted average discount rate for operating leases was 5.85 years and 7.51%,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8—Financial Instruments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 We are not a party to leveraged derivatives and, by policy, do not use financial instruments for speculative purposes.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record derivative financial instruments on a gross basis and at fair value in our condensed combined balance sheets in other current assets or accrued and other current liabilities due to their relatively short-term duration. Cash flows from derivative instruments are classified as operating activities in our condensed combined statements of cash flows based on the nature of the derivative instrument. Historically, we have not elected to use hedge accounting. Accordingly, any unrealized gains or losses (mark-to-market impacts) and realized gains or losses are recorded in cost of sales in our condensed combined statements of income.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Derivative instruments, consisting of commodity contracts, were recorded at fair value in accrued and other current liabilities in our condensed combined balance sheets and consisted of liabilities of $1 million and $9 million as of September 30, 2019 and December 31, 2018, respectively.</w:t>
      </w:r>
    </w:p>
    <w:p>
      <w:pPr>
        <w:spacing w:after="0" w:line="12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 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93"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recognized unrealized gains of $9 million and unrealized losses of $8 million for the nine months ended September 30, 2019 and 2018, respectively, in cost of sales in our condensed combined statements of income.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the detail of outstanding commodity derivative contracts as of September 30, 2019:</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Contracted volume</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Contracted price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 of</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0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range</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Metric tonne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1,212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$1,953.50</w:t>
            </w:r>
          </w:p>
        </w:tc>
        <w:tc>
          <w:tcPr>
            <w:tcW w:w="10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$2,156.50</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Oct 2019 - Jan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Metric tonne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1,212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$395.36</w:t>
            </w:r>
          </w:p>
        </w:tc>
        <w:tc>
          <w:tcPr>
            <w:tcW w:w="1040" w:type="dxa"/>
            <w:vAlign w:val="bottom"/>
          </w:tcPr>
          <w:p>
            <w:pPr>
              <w:ind w:left="20"/>
              <w:spacing w:after="0"/>
              <w:rPr>
                <w:sz w:val="20"/>
                <w:szCs w:val="20"/>
                <w:color w:val="auto"/>
              </w:rPr>
            </w:pPr>
            <w:r>
              <w:rPr>
                <w:rFonts w:ascii="Arial" w:cs="Arial" w:eastAsia="Arial" w:hAnsi="Arial"/>
                <w:sz w:val="18"/>
                <w:szCs w:val="18"/>
                <w:color w:val="auto"/>
              </w:rPr>
              <w:t>- $405.65</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 2019 - Jan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U.S. liquid gallon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1,834,714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$2.55</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2019 - Mar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U.S. liquid gallon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3,459,286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040" w:type="dxa"/>
            <w:vAlign w:val="bottom"/>
          </w:tcPr>
          <w:p>
            <w:pPr>
              <w:ind w:left="20"/>
              <w:spacing w:after="0"/>
              <w:rPr>
                <w:sz w:val="20"/>
                <w:szCs w:val="20"/>
                <w:color w:val="auto"/>
              </w:rPr>
            </w:pPr>
            <w:r>
              <w:rPr>
                <w:rFonts w:ascii="Arial" w:cs="Arial" w:eastAsia="Arial" w:hAnsi="Arial"/>
                <w:sz w:val="18"/>
                <w:szCs w:val="18"/>
                <w:color w:val="auto"/>
              </w:rPr>
              <w:t>- $3.30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 2019 - Sep 2020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9—Benefit Plans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Related Party Multiemployer Defined Benefit Plan: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Certain of our employees participate in a defined benefit plan sponsored by RGHL Group, along with participants of RGHL Group’s other businesses. This plan is accounted for as a multiemployer plan in these condensed combined financial statements and as a result, no asset or liability was recorded by us to recognize the funded status of the plan. We recorded expense of $2 million in cost of sales for each of the nine months ended September 30, 2019 and 2018 related to our employees’ participation in the RGHL Group sponsored plan.</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Postretirement Benefit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of our employees in the United States participate in a postretirement benefit plan. Our postretirement benefit plan is not funded.</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Components of Net Periodic Postretirement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periodic postretirement benefit costs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postretirement costs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748"/>
              <w:spacing w:after="0"/>
              <w:rPr>
                <w:sz w:val="20"/>
                <w:szCs w:val="20"/>
                <w:color w:val="auto"/>
              </w:rPr>
            </w:pPr>
            <w:r>
              <w:rPr>
                <w:rFonts w:ascii="Arial" w:cs="Arial" w:eastAsia="Arial" w:hAnsi="Arial"/>
                <w:sz w:val="18"/>
                <w:szCs w:val="18"/>
                <w:b w:val="1"/>
                <w:bCs w:val="1"/>
                <w:color w:val="auto"/>
              </w:rPr>
              <w:t>(1)</w:t>
            </w:r>
          </w:p>
        </w:tc>
        <w:tc>
          <w:tcPr>
            <w:tcW w:w="40" w:type="dxa"/>
            <w:vAlign w:val="bottom"/>
            <w:vMerge w:val="continue"/>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service cost component of net periodic postretirement costs is recognized in cost of sales, while interest cost and amortization of actuarial gain are recognized in non-operating income, net in the condensed combined statements of income.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10—Accrued and Other 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740" w:type="dxa"/>
            <w:vAlign w:val="bottom"/>
            <w:gridSpan w:val="4"/>
          </w:tcPr>
          <w:p>
            <w:pPr>
              <w:jc w:val="center"/>
              <w:ind w:left="682"/>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right"/>
              <w:ind w:right="165"/>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Trade promotion allowances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8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11—Other Expense,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net consisted of the following:</w:t>
      </w:r>
    </w:p>
    <w:p>
      <w:pPr>
        <w:spacing w:after="0" w:line="244"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For the Nine Months</w:t>
      </w:r>
    </w:p>
    <w:p>
      <w:pPr>
        <w:jc w:val="center"/>
        <w:ind w:left="9100"/>
        <w:spacing w:after="0" w:line="226" w:lineRule="auto"/>
        <w:rPr>
          <w:sz w:val="20"/>
          <w:szCs w:val="20"/>
          <w:color w:val="auto"/>
        </w:rPr>
      </w:pPr>
      <w:r>
        <w:rPr>
          <w:rFonts w:ascii="Arial" w:cs="Arial" w:eastAsia="Arial" w:hAnsi="Arial"/>
          <w:sz w:val="14"/>
          <w:szCs w:val="14"/>
          <w:b w:val="1"/>
          <w:bCs w:val="1"/>
          <w:color w:val="auto"/>
        </w:rPr>
        <w:t>Ended</w:t>
      </w:r>
    </w:p>
    <w:p>
      <w:pPr>
        <w:jc w:val="center"/>
        <w:ind w:left="91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2019</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Factoring discount(1)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Allocated related party Management Fee(2)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Transaction-related costs(3)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9140" w:type="dxa"/>
            <w:vAlign w:val="bottom"/>
            <w:gridSpan w:val="3"/>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right="20" w:hanging="436"/>
        <w:spacing w:after="0" w:line="283" w:lineRule="auto"/>
        <w:tabs>
          <w:tab w:leader="none" w:pos="6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participate in an accounts receivable factoring arrangement with a special purpose entity (“SPE”) consolidated by RGHL Group whereby we transfer substantially all of our U.S. accounts receivable in their entirety to RGHL Group and satisfy all of the conditions to report the transfer of financial assets in their entirety as a sale. We continue to collect the receivables sold, acting solely as a collecting agent on behalf of RGHL Group. We have not recognized any assets or liabilities related to the servicing arrangement as of September 30, 2019 and December 31, 2018. The SPE is considered to be a variable interest entity, however we are not its primary beneficiary because we do not have the power to direct any of its most significant activities through our arrangement as a collecting agent. The fair value of assets received as proceeds in exchange for the transfer of accounts receivable under this factoring arrangement approximates the fair value of such receivables. We recognized losses of $15 million and $14 million for the nine months ended September 30, 2019 and 2018, respectively, which represents the discount from book values at which these accounts receivable were sold to RGHL Group. The principal amount of receivables sold under this arrangement was $2,400 million and $2,226 million for the nine months ended September 30, 2019 and 2018, respectively. The balance of receivables sold, and still outstanding, was $271 million and $264 million as of September 30, 2019 and December 31, 2018, respectively.</w:t>
      </w:r>
    </w:p>
    <w:p>
      <w:pPr>
        <w:spacing w:after="0" w:line="4" w:lineRule="exact"/>
        <w:rPr>
          <w:rFonts w:ascii="Arial" w:cs="Arial" w:eastAsia="Arial" w:hAnsi="Arial"/>
          <w:sz w:val="16"/>
          <w:szCs w:val="16"/>
          <w:color w:val="auto"/>
        </w:rPr>
      </w:pPr>
    </w:p>
    <w:p>
      <w:pPr>
        <w:ind w:left="640" w:right="340" w:hanging="436"/>
        <w:spacing w:after="0" w:line="265"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RGHL Group’s financing agreements permit the payment to related parties of management, consulting, monitoring and advising fees (the “Management Fee”) of up to 1.5% of RGHL Group’s Adjusted EBITDA (as defined in RGHL Group’s financing agreements) for the previous year. We have been allocated a portion of this Management Fee based on our portion of RGHL Group’s Adjusted EBITDA.</w:t>
      </w:r>
    </w:p>
    <w:p>
      <w:pPr>
        <w:ind w:left="640" w:right="280" w:hanging="436"/>
        <w:spacing w:after="0" w:line="290"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We were allocated costs during the nine months ended September 30, 2019 related to the IPO process that cannot be offset against the expected future IPO proceeds, as well as costs related to our preparations to operate as a stand-alone public company.</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related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7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As of September 30, 2019, there were no legal proceedings pending other than those for which we have determined that the possibility of a material outflow is remote.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and Guarantee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September 30, 2019, certain of our entities and other related entities within RGHL Group have guaranteed the following borrowings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RGHL Group:</w:t>
      </w:r>
    </w:p>
    <w:p>
      <w:pPr>
        <w:spacing w:after="0" w:line="116" w:lineRule="exact"/>
        <w:rPr>
          <w:sz w:val="20"/>
          <w:szCs w:val="20"/>
          <w:color w:val="auto"/>
        </w:rPr>
      </w:pPr>
    </w:p>
    <w:p>
      <w:pPr>
        <w:ind w:left="960" w:right="100" w:hanging="324"/>
        <w:spacing w:after="0" w:line="277"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$3,224 million and €243 million of secured floating rate term loans that mature in 2023 and other obligations under the Credit Agreement, of which $2,021 million is included on our condensed combined balance sheet in long-term debt;</w:t>
      </w:r>
    </w:p>
    <w:p>
      <w:pPr>
        <w:spacing w:after="0" w:line="75" w:lineRule="exact"/>
        <w:rPr>
          <w:rFonts w:ascii="Arial" w:cs="Arial" w:eastAsia="Arial" w:hAnsi="Arial"/>
          <w:sz w:val="18"/>
          <w:szCs w:val="18"/>
          <w:color w:val="auto"/>
        </w:rPr>
      </w:pPr>
    </w:p>
    <w:p>
      <w:pPr>
        <w:ind w:left="960" w:right="560" w:hanging="324"/>
        <w:spacing w:after="0" w:line="277"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secured revolving credit facilities of $302 million that mature in 2021 ($55 million utilized as of September 30, 2019) under the Credit Agreement;</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$3,137 million of 5.750% senior secured notes that mature in 2020;</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$345 million of 6.875%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$750 million of floating rate senior secured notes that mature in 2021;</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$1,600 million of 5.125% senior secured notes that mature in 2023;</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$800 million of 7.000% senior notes that mature in 2024; and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secured local working capital facilities.</w:t>
      </w:r>
    </w:p>
    <w:p>
      <w:pPr>
        <w:spacing w:after="0" w:line="22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Certain of our entities and other related entities within RGHL Group have granted security over their assets to support the secured obligations described above. The equity interests in certain of our entities have been pledged as collateral to support the secured obligations described above. We would only be liable under these guarantees in the event of default by RGHL Group on its obligations, the probability of which we believe is remote. As a result of these arrangements, substantially all of our assets are pledged as security for the secured obligations described above.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Credit Agreement, all of the U.S. Term Loan borrowers are jointly and severally liable for the outstanding principal. The total principal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 outstanding for the U.S. Term Loan was $3,224 million and $3,248 million as of September 30, 2019 and December 31,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These amounts include the $2,021 million and $2,037 million presented on our condensed combined balance sheets as of September 30,</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2019 and December 31, 2018, respectively. We have not recognized a liability for the additional outstanding principal as we would only be liable under the agreement in the event of default by RGHL Group on its obligations, which we believe is remote.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13—Accumulated Other Comprehensive Income</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 Amounts reclassified from accumulated other comprehensive income to net income (net of tax) were a net gain of $1 million for each of the nine months ended September 30, 2019 and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For the Nine Months Ended 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tcPr>
          <w:p>
            <w:pPr>
              <w:jc w:val="right"/>
              <w:ind w:right="1045"/>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tcPr>
          <w:p>
            <w:pPr>
              <w:jc w:val="right"/>
              <w:ind w:right="65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 plan:</w:t>
            </w:r>
          </w:p>
        </w:tc>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and losses reclassified into net income: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700"/>
              <w:spacing w:after="0"/>
              <w:rPr>
                <w:sz w:val="20"/>
                <w:szCs w:val="20"/>
                <w:color w:val="auto"/>
              </w:rPr>
            </w:pPr>
            <w:r>
              <w:rPr>
                <w:rFonts w:ascii="Arial" w:cs="Arial" w:eastAsia="Arial" w:hAnsi="Arial"/>
                <w:sz w:val="18"/>
                <w:szCs w:val="18"/>
                <w:color w:val="auto"/>
              </w:rPr>
              <w:t>Amortization of actuarial gain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Tax benefit on reclassifications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Balance as of end of period</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14—Income Taxes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effective tax rate was 25% and 21% for the nine months ended September 30, 2019 and 2018, respectively. The increase in the effective tax rate was a result of the favorable impact of U.S. state legislative changes enacted in the nine months ended September 30, 2018 and certain non-deductible transaction-related costs recognized in the nine months ended September 30, 2019. Our effective tax rate in both periods reflects the U.S. federal rate of 21%, the impact of state taxes and estimated non-deductible expenses, net of estimated credits.</w:t>
      </w:r>
    </w:p>
    <w:p>
      <w:pPr>
        <w:spacing w:after="0" w:line="17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on January 1, 2019, we transferred $3 million of income tax expense from accumulated other comprehensive income into Net Parent deficit on adoption of ASU 2018-02. For further details, refer to Note 2—Summary of Significant Accounting Policies.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15—Segment Information</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 xml:space="preserve">Our Chief Executive Officer, who has been identified as our Chief Operating Decision Maker (“CODM”), has evaluated how he views and measures our performance.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establishes the standards for reporting information about segments in financial statements. In applying the criteria set forth in ASC 280 and in conjunction with a management realignment in June 2019, we have determined that we have four reportable segments—Reynolds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Reynolds Cooking &amp; Baking</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Reynolds Cooking &amp; Baking segment produces branded and store brand foil, parchment paper, disposable aluminum pans and slow cooker liners. Our branded products are sold under the Reynolds</w:t>
      </w:r>
      <w:r>
        <w:rPr>
          <w:rFonts w:ascii="Arial" w:cs="Arial" w:eastAsia="Arial" w:hAnsi="Arial"/>
          <w:sz w:val="15"/>
          <w:szCs w:val="15"/>
          <w:color w:val="auto"/>
        </w:rPr>
        <w:t>®</w:t>
      </w:r>
      <w:r>
        <w:rPr>
          <w:rFonts w:ascii="Arial" w:cs="Arial" w:eastAsia="Arial" w:hAnsi="Arial"/>
          <w:sz w:val="18"/>
          <w:szCs w:val="18"/>
          <w:color w:val="auto"/>
        </w:rPr>
        <w:t>, Reynolds KITCHENS and E-Z Foil</w:t>
      </w:r>
      <w:r>
        <w:rPr>
          <w:rFonts w:ascii="Arial" w:cs="Arial" w:eastAsia="Arial" w:hAnsi="Arial"/>
          <w:sz w:val="15"/>
          <w:szCs w:val="15"/>
          <w:color w:val="auto"/>
        </w:rPr>
        <w:t>®</w:t>
      </w:r>
      <w:r>
        <w:rPr>
          <w:rFonts w:ascii="Arial" w:cs="Arial" w:eastAsia="Arial" w:hAnsi="Arial"/>
          <w:sz w:val="18"/>
          <w:szCs w:val="18"/>
          <w:color w:val="auto"/>
        </w:rPr>
        <w:t xml:space="preserve"> brands in the United States, under the ALCAN</w:t>
      </w:r>
      <w:r>
        <w:rPr>
          <w:rFonts w:ascii="Arial" w:cs="Arial" w:eastAsia="Arial" w:hAnsi="Arial"/>
          <w:sz w:val="15"/>
          <w:szCs w:val="15"/>
          <w:color w:val="auto"/>
        </w:rPr>
        <w:t>®</w:t>
      </w:r>
      <w:r>
        <w:rPr>
          <w:rFonts w:ascii="Arial" w:cs="Arial" w:eastAsia="Arial" w:hAnsi="Arial"/>
          <w:sz w:val="18"/>
          <w:szCs w:val="18"/>
          <w:color w:val="auto"/>
        </w:rPr>
        <w:t xml:space="preserve"> brand in Canada and under the Diamond</w:t>
      </w:r>
      <w:r>
        <w:rPr>
          <w:rFonts w:ascii="Arial" w:cs="Arial" w:eastAsia="Arial" w:hAnsi="Arial"/>
          <w:sz w:val="15"/>
          <w:szCs w:val="15"/>
          <w:color w:val="auto"/>
        </w:rPr>
        <w:t>®</w:t>
      </w:r>
      <w:r>
        <w:rPr>
          <w:rFonts w:ascii="Arial" w:cs="Arial" w:eastAsia="Arial" w:hAnsi="Arial"/>
          <w:sz w:val="18"/>
          <w:szCs w:val="18"/>
          <w:color w:val="auto"/>
        </w:rPr>
        <w:t xml:space="preserve"> brand outside of North America.</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Waste &amp; Storage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brand names such as Hefty</w:t>
      </w:r>
      <w:r>
        <w:rPr>
          <w:rFonts w:ascii="Arial" w:cs="Arial" w:eastAsia="Arial" w:hAnsi="Arial"/>
          <w:sz w:val="15"/>
          <w:szCs w:val="15"/>
          <w:color w:val="auto"/>
        </w:rPr>
        <w:t>®</w:t>
      </w:r>
      <w:r>
        <w:rPr>
          <w:rFonts w:ascii="Arial" w:cs="Arial" w:eastAsia="Arial" w:hAnsi="Arial"/>
          <w:sz w:val="18"/>
          <w:szCs w:val="18"/>
          <w:color w:val="auto"/>
        </w:rPr>
        <w:t xml:space="preserve"> Ultra Strong</w:t>
      </w:r>
      <w:r>
        <w:rPr>
          <w:rFonts w:ascii="Arial" w:cs="Arial" w:eastAsia="Arial" w:hAnsi="Arial"/>
          <w:sz w:val="15"/>
          <w:szCs w:val="15"/>
          <w:color w:val="auto"/>
        </w:rPr>
        <w:t>™</w:t>
      </w:r>
      <w:r>
        <w:rPr>
          <w:rFonts w:ascii="Arial" w:cs="Arial" w:eastAsia="Arial" w:hAnsi="Arial"/>
          <w:sz w:val="18"/>
          <w:szCs w:val="18"/>
          <w:color w:val="auto"/>
        </w:rPr>
        <w:t>, Hefty</w:t>
      </w:r>
      <w:r>
        <w:rPr>
          <w:rFonts w:ascii="Arial" w:cs="Arial" w:eastAsia="Arial" w:hAnsi="Arial"/>
          <w:sz w:val="15"/>
          <w:szCs w:val="15"/>
          <w:color w:val="auto"/>
        </w:rPr>
        <w:t>®</w:t>
      </w:r>
      <w:r>
        <w:rPr>
          <w:rFonts w:ascii="Arial" w:cs="Arial" w:eastAsia="Arial" w:hAnsi="Arial"/>
          <w:sz w:val="18"/>
          <w:szCs w:val="18"/>
          <w:color w:val="auto"/>
        </w:rPr>
        <w:t xml:space="preserve"> Strong Trash Bags and Hefty</w:t>
      </w:r>
      <w:r>
        <w:rPr>
          <w:rFonts w:ascii="Arial" w:cs="Arial" w:eastAsia="Arial" w:hAnsi="Arial"/>
          <w:sz w:val="15"/>
          <w:szCs w:val="15"/>
          <w:color w:val="auto"/>
        </w:rPr>
        <w:t>®</w:t>
      </w:r>
      <w:r>
        <w:rPr>
          <w:rFonts w:ascii="Arial" w:cs="Arial" w:eastAsia="Arial" w:hAnsi="Arial"/>
          <w:sz w:val="18"/>
          <w:szCs w:val="18"/>
          <w:color w:val="auto"/>
        </w:rPr>
        <w:t xml:space="preserve"> Slider Bags.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Hefty Tableware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plates, bowls, platters, cups and cutlery. Our branded products, which include dishes and party cups, are sold under the Hefty</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Presto Products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Our Presto Products segment primarily sells store brand products in four main categories: food storage bags, trash bags, disposable storage containers and food wrap. Our Presto Products segment also includes our specialty business which sells re-sealable closure systems.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by Segment:</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00"/>
          </w:cols>
          <w:pgMar w:left="240" w:top="460"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Adjusted EBITDA represents each segment’s earnings before interest, tax, depreciation and amortization and is further adjusted to exclude unrealized gains and losses on derivatives, costs associated with rationalizing operations and administrative functions, operational process engineering-related consultancy costs, factoring discounts, amortization of actuarial gains, the allocated related party Management Fee and transaction-related costs.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Reynolds</w:t>
            </w:r>
          </w:p>
        </w:tc>
        <w:tc>
          <w:tcPr>
            <w:tcW w:w="4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Hefty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Hefty</w:t>
            </w:r>
          </w:p>
        </w:tc>
        <w:tc>
          <w:tcPr>
            <w:tcW w:w="480" w:type="dxa"/>
            <w:vAlign w:val="bottom"/>
          </w:tcPr>
          <w:p>
            <w:pPr>
              <w:spacing w:after="0"/>
              <w:rPr>
                <w:sz w:val="14"/>
                <w:szCs w:val="14"/>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Presto</w:t>
            </w:r>
          </w:p>
        </w:tc>
        <w:tc>
          <w:tcPr>
            <w:tcW w:w="680" w:type="dxa"/>
            <w:vAlign w:val="bottom"/>
            <w:gridSpan w:val="3"/>
            <w:vMerge w:val="restart"/>
          </w:tcPr>
          <w:p>
            <w:pPr>
              <w:jc w:val="center"/>
              <w:ind w:left="34"/>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gridSpan w:val="3"/>
          </w:tcPr>
          <w:p>
            <w:pPr>
              <w:jc w:val="center"/>
              <w:ind w:left="157"/>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center"/>
              <w:ind w:left="317"/>
              <w:spacing w:after="0" w:line="149" w:lineRule="exact"/>
              <w:rPr>
                <w:sz w:val="20"/>
                <w:szCs w:val="20"/>
                <w:color w:val="auto"/>
              </w:rPr>
            </w:pPr>
            <w:r>
              <w:rPr>
                <w:rFonts w:ascii="Arial" w:cs="Arial" w:eastAsia="Arial" w:hAnsi="Arial"/>
                <w:sz w:val="14"/>
                <w:szCs w:val="14"/>
                <w:b w:val="1"/>
                <w:bCs w:val="1"/>
                <w:color w:val="auto"/>
                <w:w w:val="94"/>
              </w:rPr>
              <w:t>Waste &amp;</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5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Unallocated(1)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Baking</w:t>
            </w:r>
          </w:p>
        </w:tc>
        <w:tc>
          <w:tcPr>
            <w:tcW w:w="4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Storage</w:t>
            </w: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w w:val="87"/>
              </w:rPr>
              <w:t>Tableware</w:t>
            </w:r>
          </w:p>
        </w:tc>
        <w:tc>
          <w:tcPr>
            <w:tcW w:w="1260" w:type="dxa"/>
            <w:vAlign w:val="bottom"/>
            <w:gridSpan w:val="5"/>
          </w:tcPr>
          <w:p>
            <w:pPr>
              <w:ind w:left="4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79"/>
              </w:rPr>
              <w:t>744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79"/>
              </w:rPr>
              <w:t>545</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$ 2,197</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744</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545</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2,209</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116</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126</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Reynolds</w:t>
            </w:r>
          </w:p>
        </w:tc>
        <w:tc>
          <w:tcPr>
            <w:tcW w:w="48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Hefty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Hefty</w:t>
            </w:r>
          </w:p>
        </w:tc>
        <w:tc>
          <w:tcPr>
            <w:tcW w:w="480" w:type="dxa"/>
            <w:vAlign w:val="bottom"/>
          </w:tcPr>
          <w:p>
            <w:pPr>
              <w:spacing w:after="0"/>
              <w:rPr>
                <w:sz w:val="24"/>
                <w:szCs w:val="24"/>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Presto</w:t>
            </w:r>
          </w:p>
        </w:tc>
        <w:tc>
          <w:tcPr>
            <w:tcW w:w="680" w:type="dxa"/>
            <w:vAlign w:val="bottom"/>
            <w:gridSpan w:val="3"/>
            <w:vMerge w:val="restart"/>
          </w:tcPr>
          <w:p>
            <w:pPr>
              <w:jc w:val="center"/>
              <w:ind w:left="34"/>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gridSpan w:val="3"/>
          </w:tcPr>
          <w:p>
            <w:pPr>
              <w:jc w:val="center"/>
              <w:ind w:left="157"/>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center"/>
              <w:ind w:left="317"/>
              <w:spacing w:after="0" w:line="149" w:lineRule="exact"/>
              <w:rPr>
                <w:sz w:val="20"/>
                <w:szCs w:val="20"/>
                <w:color w:val="auto"/>
              </w:rPr>
            </w:pPr>
            <w:r>
              <w:rPr>
                <w:rFonts w:ascii="Arial" w:cs="Arial" w:eastAsia="Arial" w:hAnsi="Arial"/>
                <w:sz w:val="14"/>
                <w:szCs w:val="14"/>
                <w:b w:val="1"/>
                <w:bCs w:val="1"/>
                <w:color w:val="auto"/>
                <w:w w:val="94"/>
              </w:rPr>
              <w:t>Waste &amp;</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5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Unallocated(1)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Baking</w:t>
            </w:r>
          </w:p>
        </w:tc>
        <w:tc>
          <w:tcPr>
            <w:tcW w:w="4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Storage</w:t>
            </w: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color w:val="auto"/>
                <w:w w:val="87"/>
              </w:rPr>
              <w:t>Tableware</w:t>
            </w:r>
          </w:p>
        </w:tc>
        <w:tc>
          <w:tcPr>
            <w:tcW w:w="1260" w:type="dxa"/>
            <w:vAlign w:val="bottom"/>
            <w:gridSpan w:val="5"/>
          </w:tcPr>
          <w:p>
            <w:pPr>
              <w:ind w:left="4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79"/>
              </w:rPr>
              <w:t>780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501</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79"/>
              </w:rPr>
              <w:t>552</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$ 2,235</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Total segment net revenues</w:t>
            </w: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79"/>
              </w:rPr>
              <w:t>780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79"/>
              </w:rPr>
              <w:t>552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139</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3"/>
              </w:rPr>
              <w:t>118</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w w:val="97"/>
              </w:rPr>
              <w:t>Segment assets consisted of the following: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85"/>
              </w:rPr>
              <w:t>Reynolds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1"/>
              </w:rPr>
              <w:t>Hefty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Hefty</w:t>
            </w:r>
          </w:p>
        </w:tc>
        <w:tc>
          <w:tcPr>
            <w:tcW w:w="480" w:type="dxa"/>
            <w:vAlign w:val="bottom"/>
          </w:tcPr>
          <w:p>
            <w:pPr>
              <w:spacing w:after="0"/>
              <w:rPr>
                <w:sz w:val="24"/>
                <w:szCs w:val="24"/>
                <w:color w:val="auto"/>
              </w:rPr>
            </w:pPr>
          </w:p>
        </w:tc>
        <w:tc>
          <w:tcPr>
            <w:tcW w:w="7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Presto</w:t>
            </w:r>
          </w:p>
        </w:tc>
        <w:tc>
          <w:tcPr>
            <w:tcW w:w="1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Segment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Cooking &amp;</w:t>
            </w:r>
          </w:p>
        </w:tc>
        <w:tc>
          <w:tcPr>
            <w:tcW w:w="4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Waste &amp;</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Baking</w:t>
            </w:r>
          </w:p>
        </w:tc>
        <w:tc>
          <w:tcPr>
            <w:tcW w:w="4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Storage</w:t>
            </w:r>
          </w:p>
        </w:tc>
        <w:tc>
          <w:tcPr>
            <w:tcW w:w="4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Tableware</w:t>
            </w:r>
          </w:p>
        </w:tc>
        <w:tc>
          <w:tcPr>
            <w:tcW w:w="480" w:type="dxa"/>
            <w:vAlign w:val="bottom"/>
          </w:tcPr>
          <w:p>
            <w:pPr>
              <w:spacing w:after="0"/>
              <w:rPr>
                <w:sz w:val="14"/>
                <w:szCs w:val="14"/>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Products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2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974</w:t>
            </w:r>
          </w:p>
        </w:tc>
        <w:tc>
          <w:tcPr>
            <w:tcW w:w="74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3,156</w:t>
            </w:r>
          </w:p>
        </w:tc>
        <w:tc>
          <w:tcPr>
            <w:tcW w:w="2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 of December 31,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881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center"/>
              <w:ind w:left="70"/>
              <w:spacing w:after="0"/>
              <w:rPr>
                <w:sz w:val="20"/>
                <w:szCs w:val="20"/>
                <w:color w:val="auto"/>
              </w:rPr>
            </w:pPr>
            <w:r>
              <w:rPr>
                <w:rFonts w:ascii="Arial" w:cs="Arial" w:eastAsia="Arial" w:hAnsi="Arial"/>
                <w:sz w:val="18"/>
                <w:szCs w:val="18"/>
                <w:color w:val="auto"/>
                <w:w w:val="93"/>
              </w:rPr>
              <w:t>5,540</w:t>
            </w: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640" w:right="20" w:hanging="436"/>
        <w:spacing w:after="0" w:line="264"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Unallocated includes eliminations of intersegment revenues and unallocated assets, which are comprised of cash, accounts receivable, other receivables, entity-wide property, plant and equipment, goodwill, intangible assets, related party receivables, other assets and operating lease right-of-use assets.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reconciliation of segment Adjusted EBITDA to combined U.S. GAAP income before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For the Nine Months Ended September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right"/>
              <w:ind w:right="110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i w:val="1"/>
                <w:iCs w:val="1"/>
                <w:color w:val="auto"/>
              </w:rPr>
              <w:t>Adjustments to reconcile to U.S. GAAP income before income taxes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(212)</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Factoring discount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Allocated related party Management Fee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Unrealized gains (losses) on derivatives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Business rationalization costs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U.S. GAAP income before income taxes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in Relation to Products: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revenues by product line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2"/>
          </w:tcPr>
          <w:p>
            <w:pPr>
              <w:jc w:val="right"/>
              <w:ind w:right="885"/>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and storage products(1)</w:t>
            </w:r>
          </w:p>
        </w:tc>
        <w:tc>
          <w:tcPr>
            <w:tcW w:w="740" w:type="dxa"/>
            <w:vAlign w:val="bottom"/>
            <w:gridSpan w:val="2"/>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92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Cooking products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744</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5"/>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2,197</w:t>
            </w:r>
          </w:p>
        </w:tc>
        <w:tc>
          <w:tcPr>
            <w:tcW w:w="1160" w:type="dxa"/>
            <w:vAlign w:val="bottom"/>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parent is RGHL, the ultimate parent is Packaging Holdings Limited, and the ultimate shareholder is Mr. Graeme Hart.</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addition to the allocation of expenses for certain services related to group wide functions provided by RGHL Group discussed in Note 1— Description of Business and Basis of Presentation, other transactions between us and RGHL Group are described below. As indicated, certain transactions are reflected in equity (deficit) in our condensed combined balance sheets as Net Parent deficit and in our condensed combined statements of cash flows as a financing activity in net transfers from Parent.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Revenues from product sold to RGHL Group were $114 million and $122 million for the nine months ended September 30, 2019 and 2018, respectively, and the related costs of sales were $110 million and $117 million for the nine months ended September 30, 2019 and 2018, respectively. We charged RGHL Group a portion of our warehousing costs of $1 million for each of the nine months ended September 30, 2019 and 2018, which were included in cost of sales. Current related party receivables were $44 million and $30 million as of September 30, 2019 and December 31, 2018, respectively.</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Products purchased from RGHL Group were $353 million and $398 million for the nine months ended September 30, 2019 and 2018, respectively. RGHL Group charged us freight and warehousing costs of $106 million for each of the nine months ended September 30, 2019 and 2018, which were included in cost of sales. Current related party payables were $93 million and $268 million as of September 30, 2019 and December 31, 2018, respectively. These related party receivables and payables are settled regularly with RGHL Group in the normal course of business.</w:t>
      </w:r>
    </w:p>
    <w:p>
      <w:pPr>
        <w:spacing w:after="0" w:line="15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Property, plant and equipment related to our Hefty Tableware segment contributed to us by RGHL Group was $8 million and $2 million for the nine months ended September 30, 2019 and 2018,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written interest-bearing loan agreements in place with RGHL Group which are presented as related party long-term receivables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party borrowings on our condensed combined balance sheets. These balances are expected to be settled in cash. In June 2019, our non-current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related party receivables and a portion of current related party receivables were used to reduce the balances outstanding of various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borrowings, related party accrued interest payable and related party payables. As a result of this process, we net settled related party borrowings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$1,714 million, related party accrued interest payable of $655 million and related party payables of $94 million. Accordingly, we had no related party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long-term receivables as of September 30, 2019. Related party long-term receivables were $2,401 million as of December 31, 2018. Related party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borrowings were $2,148 million and $3,950 million as of September 30, 2019 and December 31, 2018, respectively. Related party accrued interest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payable was $42 million and $576 million as of September 30, 2019 and December 31, 2018, respectively. We remit accrued interest payable to RGHL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Group as and when requested in conjunction with its cash management activities. Interest expense and income related to these loan agreements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discussed in Note 6—Debt and Borrowing Arrangements, and are accrued based on the written loan agreements. During the nine months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2019 and 2018 we borrowed $55 million and $187 million, respectively, from RGHL Group and repaid borrowings of $140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$314 million, respectively. During the nine months ended September 30, 2019 and 2018 we advanced loans of $170 million and $250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 to RGHL Group and received repayments of $151 million and $65 million, respectively.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 average contractual interest rate related to our related party borrowings as of September 30, 2019 and December 31, 2018,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2.19% and 6.00%, respectively. Below is a schedule of maturity of our related party borrowings as of September 30, 2019. The fair value of our related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party borrowings as of September 30, 2019 and December 31, 2018, which is a Level 2 fair value measurement, approximates the carrying value.</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180" w:type="dxa"/>
            <w:vAlign w:val="bottom"/>
            <w:gridSpan w:val="4"/>
          </w:tcPr>
          <w:p>
            <w:pPr>
              <w:ind w:left="63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5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related party borrowings</w:t>
            </w:r>
          </w:p>
        </w:tc>
        <w:tc>
          <w:tcPr>
            <w:tcW w:w="63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580" w:type="dxa"/>
            <w:vAlign w:val="bottom"/>
            <w:gridSpan w:val="2"/>
          </w:tcPr>
          <w:p>
            <w:pPr>
              <w:jc w:val="right"/>
              <w:ind w:right="4685"/>
              <w:spacing w:after="0"/>
              <w:rPr>
                <w:sz w:val="20"/>
                <w:szCs w:val="20"/>
                <w:color w:val="auto"/>
              </w:rPr>
            </w:pPr>
            <w:r>
              <w:rPr>
                <w:rFonts w:ascii="Arial" w:cs="Arial" w:eastAsia="Arial" w:hAnsi="Arial"/>
                <w:sz w:val="18"/>
                <w:szCs w:val="18"/>
                <w:color w:val="auto"/>
              </w:rPr>
              <w:t>F-58</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Condensed Combined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As discussed in Note 11—Other Expense, Net, we also participate in RGHL Group’s accounts receivable factoring arrangement whereby certain of our accounts receivable are sold at a discount to RGHL Group. Costs for participating in the factoring arrangement are disclosed in Note 11—Other Expense, Net.</w:t>
      </w:r>
    </w:p>
    <w:p>
      <w:pPr>
        <w:spacing w:after="0" w:line="181" w:lineRule="exact"/>
        <w:rPr>
          <w:sz w:val="20"/>
          <w:szCs w:val="20"/>
          <w:color w:val="auto"/>
        </w:rPr>
      </w:pPr>
    </w:p>
    <w:p>
      <w:pPr>
        <w:jc w:val="both"/>
        <w:ind w:left="200" w:right="120" w:firstLine="441"/>
        <w:spacing w:after="0" w:line="342" w:lineRule="auto"/>
        <w:rPr>
          <w:sz w:val="20"/>
          <w:szCs w:val="20"/>
          <w:color w:val="auto"/>
        </w:rPr>
      </w:pPr>
      <w:r>
        <w:rPr>
          <w:rFonts w:ascii="Arial" w:cs="Arial" w:eastAsia="Arial" w:hAnsi="Arial"/>
          <w:sz w:val="16"/>
          <w:szCs w:val="16"/>
          <w:color w:val="auto"/>
        </w:rPr>
        <w:t>We have obtained a letter of support from RGHL confirming its commitment to provide us with financial support to the extent that other sources of funding are not otherwise available to us, expiring the earliest of (i) December 28, 2020, (ii) a sale of the business or (iii) an initial public offering.</w:t>
      </w:r>
    </w:p>
    <w:p>
      <w:pPr>
        <w:spacing w:after="0" w:line="124"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addition, 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current U.S. federal tax is recognized directly as a movement in Net Parent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17—Subsequent Events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There have been no events subsequent to September 30, 2019 which would require accrual or disclosure in these condensed combined financial statements. Subsequent events have been evaluated through October 25, 2019, the date these condensed combined financial statements were available to be issued.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240" w:top="459" w:right="47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59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31990" cy="91592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Estimated expenses, other than underwriting discounts and commissions, of the sale of our common stock, are as follows (in thousands):</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 to Be</w:t>
            </w: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Paid</w:t>
            </w:r>
          </w:p>
        </w:tc>
      </w:tr>
      <w:tr>
        <w:trPr>
          <w:trHeight w:val="210"/>
        </w:trPr>
        <w:tc>
          <w:tcPr>
            <w:tcW w:w="20" w:type="dxa"/>
            <w:vAlign w:val="bottom"/>
          </w:tcPr>
          <w:p>
            <w:pPr>
              <w:spacing w:after="0"/>
              <w:rPr>
                <w:sz w:val="18"/>
                <w:szCs w:val="18"/>
                <w:color w:val="auto"/>
              </w:rPr>
            </w:pPr>
          </w:p>
        </w:tc>
        <w:tc>
          <w:tcPr>
            <w:tcW w:w="10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Transfer agent’s fees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be completed by amendment.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Each of the amounts set forth above, other than the registration fee and the FINRA filing fee, is an estimate.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bylaws provides for indemnification by the registrant of its directors, officers and employees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8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9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registrant with respect to payments which may be made by the registrant to such officers and directors pursuant to the above indemnification provision or otherwise as a matter of law.</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3"/>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3"/>
              </w:rPr>
              <w:t>1.1*</w:t>
            </w:r>
          </w:p>
        </w:tc>
        <w:tc>
          <w:tcPr>
            <w:tcW w:w="380" w:type="dxa"/>
            <w:vAlign w:val="bottom"/>
          </w:tcPr>
          <w:p>
            <w:pPr>
              <w:spacing w:after="0"/>
              <w:rPr>
                <w:sz w:val="24"/>
                <w:szCs w:val="24"/>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ind w:left="20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Certificate of Incorporation</w:t>
            </w:r>
          </w:p>
        </w:tc>
        <w:tc>
          <w:tcPr>
            <w:tcW w:w="0" w:type="dxa"/>
            <w:vAlign w:val="bottom"/>
          </w:tcPr>
          <w:p>
            <w:pPr>
              <w:spacing w:after="0"/>
              <w:rPr>
                <w:sz w:val="1"/>
                <w:szCs w:val="1"/>
                <w:color w:val="auto"/>
              </w:rPr>
            </w:pPr>
          </w:p>
        </w:tc>
      </w:tr>
      <w:tr>
        <w:trPr>
          <w:trHeight w:val="284"/>
        </w:trPr>
        <w:tc>
          <w:tcPr>
            <w:tcW w:w="520" w:type="dxa"/>
            <w:vAlign w:val="bottom"/>
            <w:gridSpan w:val="2"/>
          </w:tcPr>
          <w:p>
            <w:pPr>
              <w:ind w:left="20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By-Laws</w:t>
            </w:r>
          </w:p>
        </w:tc>
        <w:tc>
          <w:tcPr>
            <w:tcW w:w="0" w:type="dxa"/>
            <w:vAlign w:val="bottom"/>
          </w:tcPr>
          <w:p>
            <w:pPr>
              <w:spacing w:after="0"/>
              <w:rPr>
                <w:sz w:val="1"/>
                <w:szCs w:val="1"/>
                <w:color w:val="auto"/>
              </w:rPr>
            </w:pPr>
          </w:p>
        </w:tc>
      </w:tr>
      <w:tr>
        <w:trPr>
          <w:trHeight w:val="284"/>
        </w:trPr>
        <w:tc>
          <w:tcPr>
            <w:tcW w:w="520" w:type="dxa"/>
            <w:vAlign w:val="bottom"/>
            <w:gridSpan w:val="2"/>
          </w:tcPr>
          <w:p>
            <w:pPr>
              <w:ind w:left="200"/>
              <w:spacing w:after="0"/>
              <w:rPr>
                <w:sz w:val="20"/>
                <w:szCs w:val="20"/>
                <w:color w:val="auto"/>
              </w:rPr>
            </w:pPr>
            <w:r>
              <w:rPr>
                <w:rFonts w:ascii="Arial" w:cs="Arial" w:eastAsia="Arial" w:hAnsi="Arial"/>
                <w:sz w:val="18"/>
                <w:szCs w:val="18"/>
                <w:color w:val="auto"/>
                <w:w w:val="93"/>
              </w:rPr>
              <w:t>4.1*</w:t>
            </w:r>
          </w:p>
        </w:tc>
        <w:tc>
          <w:tcPr>
            <w:tcW w:w="38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84"/>
        </w:trPr>
        <w:tc>
          <w:tcPr>
            <w:tcW w:w="520" w:type="dxa"/>
            <w:vAlign w:val="bottom"/>
            <w:gridSpan w:val="2"/>
          </w:tcPr>
          <w:p>
            <w:pPr>
              <w:ind w:left="200"/>
              <w:spacing w:after="0"/>
              <w:rPr>
                <w:sz w:val="20"/>
                <w:szCs w:val="20"/>
                <w:color w:val="auto"/>
              </w:rPr>
            </w:pPr>
            <w:r>
              <w:rPr>
                <w:rFonts w:ascii="Arial" w:cs="Arial" w:eastAsia="Arial" w:hAnsi="Arial"/>
                <w:sz w:val="18"/>
                <w:szCs w:val="18"/>
                <w:color w:val="auto"/>
                <w:w w:val="93"/>
              </w:rPr>
              <w:t>5.1*</w:t>
            </w:r>
          </w:p>
        </w:tc>
        <w:tc>
          <w:tcPr>
            <w:tcW w:w="38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2019 Equity Incentive Plan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Restricted Stock Unit Award Letter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Restricted Stock Award Letter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Form of Performance Share Unit Award Letter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8, 2019, between Reynolds Consumer Products LLC and Lance Mitchell</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8, 2019, between Reynolds Consumer Products LLC and Michael Graham</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8, 2019, between Reynolds Consumer Products LLC and Craig Cappel</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18, 2019, between Reynolds Consumer Products LLC and Stephan Pace</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Lance Mitchell Transaction Success Bonus Letter,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Michael Graham Transaction Success Bonus Letter,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Craig Cappel Transaction Success Bonus Letter,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Stephan Pace Transaction Success Bonus Letter,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10.14†</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Lance Mitchell Restricted Stock Memo,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Michael Graham Restricted Stock Memo,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Craig Cappel Restricted Stock Memo, dated July 8, 2019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Stephan Pace Restricted Stock Memo, dated July 8, 2019</w:t>
            </w:r>
          </w:p>
        </w:tc>
        <w:tc>
          <w:tcPr>
            <w:tcW w:w="0" w:type="dxa"/>
            <w:vAlign w:val="bottom"/>
          </w:tcPr>
          <w:p>
            <w:pPr>
              <w:spacing w:after="0"/>
              <w:rPr>
                <w:sz w:val="1"/>
                <w:szCs w:val="1"/>
                <w:color w:val="auto"/>
              </w:rPr>
            </w:pPr>
          </w:p>
        </w:tc>
      </w:tr>
      <w:tr>
        <w:trPr>
          <w:trHeight w:val="284"/>
        </w:trPr>
        <w:tc>
          <w:tcPr>
            <w:tcW w:w="520" w:type="dxa"/>
            <w:vAlign w:val="bottom"/>
            <w:gridSpan w:val="2"/>
          </w:tcPr>
          <w:p>
            <w:pPr>
              <w:ind w:left="120"/>
              <w:spacing w:after="0"/>
              <w:rPr>
                <w:sz w:val="20"/>
                <w:szCs w:val="20"/>
                <w:color w:val="auto"/>
              </w:rPr>
            </w:pPr>
            <w:r>
              <w:rPr>
                <w:rFonts w:ascii="Arial" w:cs="Arial" w:eastAsia="Arial" w:hAnsi="Arial"/>
                <w:sz w:val="18"/>
                <w:szCs w:val="18"/>
                <w:color w:val="auto"/>
                <w:w w:val="84"/>
              </w:rPr>
              <w:t>10.18</w:t>
            </w:r>
          </w:p>
        </w:tc>
        <w:tc>
          <w:tcPr>
            <w:tcW w:w="38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w w:val="90"/>
              </w:rPr>
              <w:t>Master Supply Agreement, dated November 1, 2019 between Reynolds Consumer Products LLC, as Seller, and Pactiv LLC, as Buyer</w:t>
            </w:r>
          </w:p>
        </w:tc>
        <w:tc>
          <w:tcPr>
            <w:tcW w:w="0" w:type="dxa"/>
            <w:vAlign w:val="bottom"/>
          </w:tcPr>
          <w:p>
            <w:pPr>
              <w:spacing w:after="0"/>
              <w:rPr>
                <w:sz w:val="1"/>
                <w:szCs w:val="1"/>
                <w:color w:val="auto"/>
              </w:rPr>
            </w:pPr>
          </w:p>
        </w:tc>
      </w:tr>
      <w:tr>
        <w:trPr>
          <w:trHeight w:val="284"/>
        </w:trPr>
        <w:tc>
          <w:tcPr>
            <w:tcW w:w="520" w:type="dxa"/>
            <w:vAlign w:val="bottom"/>
            <w:gridSpan w:val="2"/>
          </w:tcPr>
          <w:p>
            <w:pPr>
              <w:ind w:left="120"/>
              <w:spacing w:after="0"/>
              <w:rPr>
                <w:sz w:val="20"/>
                <w:szCs w:val="20"/>
                <w:color w:val="auto"/>
              </w:rPr>
            </w:pPr>
            <w:r>
              <w:rPr>
                <w:rFonts w:ascii="Arial" w:cs="Arial" w:eastAsia="Arial" w:hAnsi="Arial"/>
                <w:sz w:val="18"/>
                <w:szCs w:val="18"/>
                <w:color w:val="auto"/>
                <w:w w:val="84"/>
              </w:rPr>
              <w:t>10.19</w:t>
            </w:r>
          </w:p>
        </w:tc>
        <w:tc>
          <w:tcPr>
            <w:tcW w:w="38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w w:val="90"/>
              </w:rPr>
              <w:t>Master Supply Agreement, dated November 1, 2019 between Pactiv LLC, as Seller, and Reynolds Consumer Products LLC, as Buyer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20" w:type="dxa"/>
            <w:vAlign w:val="bottom"/>
            <w:gridSpan w:val="3"/>
          </w:tcPr>
          <w:p>
            <w:pPr>
              <w:ind w:left="448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060"/>
          </w:cols>
          <w:pgMar w:left="240" w:top="460" w:right="5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140" w:type="dxa"/>
            <w:vAlign w:val="bottom"/>
          </w:tcPr>
          <w:p>
            <w:pPr>
              <w:spacing w:after="0"/>
              <w:rPr>
                <w:sz w:val="14"/>
                <w:szCs w:val="14"/>
                <w:color w:val="auto"/>
              </w:rPr>
            </w:pPr>
          </w:p>
        </w:tc>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140" w:type="dxa"/>
            <w:vAlign w:val="bottom"/>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w w:val="91"/>
              </w:rPr>
              <w:t>Warehousing and Freight Services Agreement, dated November 1, 2019 between Pactiv LLC and Reynolds Consumer Products LLC</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Transition Services Agreement, dated November 1, 2019 between Pactiv LLC and Reynolds Consumer Products LLC</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10.22</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Form of Transition Services Agreement between Reynolds Group Holdings Inc. and Reynolds Consumer Products Inc.</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10.23*</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Amended and Restated Lease Agreement between Pactiv LLC and Reynolds Consumer Products LLC</w:t>
            </w:r>
          </w:p>
        </w:tc>
        <w:tc>
          <w:tcPr>
            <w:tcW w:w="0" w:type="dxa"/>
            <w:vAlign w:val="bottom"/>
          </w:tcPr>
          <w:p>
            <w:pPr>
              <w:spacing w:after="0"/>
              <w:rPr>
                <w:sz w:val="1"/>
                <w:szCs w:val="1"/>
                <w:color w:val="auto"/>
              </w:rPr>
            </w:pPr>
          </w:p>
        </w:tc>
      </w:tr>
      <w:tr>
        <w:trPr>
          <w:trHeight w:val="297"/>
        </w:trPr>
        <w:tc>
          <w:tcPr>
            <w:tcW w:w="560" w:type="dxa"/>
            <w:vAlign w:val="bottom"/>
            <w:gridSpan w:val="2"/>
          </w:tcPr>
          <w:p>
            <w:pPr>
              <w:spacing w:after="0"/>
              <w:rPr>
                <w:sz w:val="20"/>
                <w:szCs w:val="20"/>
                <w:color w:val="auto"/>
              </w:rPr>
            </w:pPr>
            <w:r>
              <w:rPr>
                <w:rFonts w:ascii="Arial" w:cs="Arial" w:eastAsia="Arial" w:hAnsi="Arial"/>
                <w:sz w:val="18"/>
                <w:szCs w:val="18"/>
                <w:color w:val="auto"/>
              </w:rPr>
              <w:t>10.24</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Form of Tax Matters Agreement</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10.25</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Form of Registration Rights Agreement between Packaging Finance Limited and Reynolds Consumer Products Inc.</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10.26</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Form of Stockholders Agreement between Packaging Finance Limited and Reynolds Consumer Products Inc.</w:t>
            </w:r>
          </w:p>
        </w:tc>
        <w:tc>
          <w:tcPr>
            <w:tcW w:w="0" w:type="dxa"/>
            <w:vAlign w:val="bottom"/>
          </w:tcPr>
          <w:p>
            <w:pPr>
              <w:spacing w:after="0"/>
              <w:rPr>
                <w:sz w:val="1"/>
                <w:szCs w:val="1"/>
                <w:color w:val="auto"/>
              </w:rPr>
            </w:pPr>
          </w:p>
        </w:tc>
      </w:tr>
      <w:tr>
        <w:trPr>
          <w:trHeight w:val="269"/>
        </w:trPr>
        <w:tc>
          <w:tcPr>
            <w:tcW w:w="560" w:type="dxa"/>
            <w:vAlign w:val="bottom"/>
            <w:gridSpan w:val="2"/>
          </w:tcPr>
          <w:p>
            <w:pPr>
              <w:spacing w:after="0"/>
              <w:rPr>
                <w:sz w:val="20"/>
                <w:szCs w:val="20"/>
                <w:color w:val="auto"/>
              </w:rPr>
            </w:pPr>
            <w:r>
              <w:rPr>
                <w:rFonts w:ascii="Arial" w:cs="Arial" w:eastAsia="Arial" w:hAnsi="Arial"/>
                <w:sz w:val="18"/>
                <w:szCs w:val="18"/>
                <w:color w:val="auto"/>
              </w:rPr>
              <w:t>10.27*</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w w:val="89"/>
              </w:rPr>
              <w:t>Form of Credit Agreement between Reynolds Consumer Products LLC, as borrower, Reynolds Consumer Products Inc., as parent,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certain lenders party thereto</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10.28</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Form of Transition Services Agreement between Rank Group Limited and Reynolds Consumer Products Inc.</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Consent of Davis Polk &amp; Wardwell LLP (included in Exhibit 5.1)</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Power of Attorney (included on signature page to the registration statement)</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Consent of Marla Gottschalk to be named as a director nominee</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99.2</w:t>
            </w:r>
          </w:p>
        </w:tc>
        <w:tc>
          <w:tcPr>
            <w:tcW w:w="10260" w:type="dxa"/>
            <w:vAlign w:val="bottom"/>
            <w:gridSpan w:val="3"/>
          </w:tcPr>
          <w:p>
            <w:pPr>
              <w:ind w:left="560"/>
              <w:spacing w:after="0"/>
              <w:rPr>
                <w:sz w:val="20"/>
                <w:szCs w:val="20"/>
                <w:color w:val="auto"/>
              </w:rPr>
            </w:pPr>
            <w:r>
              <w:rPr>
                <w:rFonts w:ascii="Arial" w:cs="Arial" w:eastAsia="Arial" w:hAnsi="Arial"/>
                <w:sz w:val="18"/>
                <w:szCs w:val="18"/>
                <w:color w:val="auto"/>
              </w:rPr>
              <w:t>Consent of Richard Noll to be named as a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right="5260" w:firstLine="4"/>
        <w:spacing w:after="0" w:line="277" w:lineRule="auto"/>
        <w:tabs>
          <w:tab w:leader="none" w:pos="6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a management contract or compensatory plan or arrangement. * To be filed by amendment.</w:t>
      </w:r>
    </w:p>
    <w:p>
      <w:pPr>
        <w:spacing w:after="0" w:line="170" w:lineRule="exact"/>
        <w:rPr>
          <w:sz w:val="20"/>
          <w:szCs w:val="20"/>
          <w:color w:val="auto"/>
        </w:rPr>
      </w:pPr>
    </w:p>
    <w:p>
      <w:pPr>
        <w:ind w:left="640" w:right="8100" w:firstLine="4"/>
        <w:spacing w:after="0" w:line="528" w:lineRule="auto"/>
        <w:tabs>
          <w:tab w:leader="none" w:pos="8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200" w:firstLine="444"/>
        <w:spacing w:after="0" w:line="290" w:lineRule="auto"/>
        <w:tabs>
          <w:tab w:leader="none" w:pos="88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25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640" w:firstLine="428"/>
        <w:spacing w:after="0" w:line="291" w:lineRule="auto"/>
        <w:tabs>
          <w:tab w:leader="none" w:pos="131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0"/>
        <w:spacing w:after="0"/>
        <w:rPr>
          <w:rFonts w:ascii="Arial" w:cs="Arial" w:eastAsia="Arial" w:hAnsi="Arial"/>
          <w:sz w:val="16"/>
          <w:szCs w:val="16"/>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14" w:lineRule="exact"/>
        <w:rPr>
          <w:rFonts w:ascii="Arial" w:cs="Arial" w:eastAsia="Arial" w:hAnsi="Arial"/>
          <w:sz w:val="16"/>
          <w:szCs w:val="16"/>
          <w:color w:val="auto"/>
        </w:rPr>
      </w:pPr>
    </w:p>
    <w:p>
      <w:pPr>
        <w:ind w:left="640" w:right="200" w:firstLine="428"/>
        <w:spacing w:after="0" w:line="264" w:lineRule="auto"/>
        <w:tabs>
          <w:tab w:leader="none" w:pos="131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60"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20"/>
          </w:tcPr>
          <w:p>
            <w:pPr>
              <w:jc w:val="center"/>
              <w:ind w:right="2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5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8"/>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c>
          <w:tcPr>
            <w:tcW w:w="346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gridSpan w:val="3"/>
          </w:tcPr>
          <w:p>
            <w:pPr>
              <w:spacing w:after="0"/>
              <w:rPr>
                <w:sz w:val="24"/>
                <w:szCs w:val="24"/>
                <w:color w:val="auto"/>
              </w:rPr>
            </w:pPr>
          </w:p>
        </w:tc>
        <w:tc>
          <w:tcPr>
            <w:tcW w:w="3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 w:type="dxa"/>
            <w:vAlign w:val="bottom"/>
          </w:tcPr>
          <w:p>
            <w:pPr>
              <w:ind w:left="14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1"/>
                <w:szCs w:val="21"/>
                <w:color w:val="auto"/>
              </w:rPr>
            </w:pPr>
          </w:p>
        </w:tc>
        <w:tc>
          <w:tcPr>
            <w:tcW w:w="43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Form of Amended and Restated Certificate of Incorporation</w:t>
            </w:r>
          </w:p>
        </w:tc>
        <w:tc>
          <w:tcPr>
            <w:tcW w:w="32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4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22"/>
                <w:szCs w:val="22"/>
                <w:color w:val="auto"/>
              </w:rPr>
            </w:pPr>
          </w:p>
        </w:tc>
        <w:tc>
          <w:tcPr>
            <w:tcW w:w="3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Form of Amended and Restated By-Laws</w:t>
            </w:r>
          </w:p>
        </w:tc>
        <w:tc>
          <w:tcPr>
            <w:tcW w:w="456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7560" w:type="dxa"/>
            <w:vAlign w:val="bottom"/>
            <w:gridSpan w:val="29"/>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84"/>
        </w:trPr>
        <w:tc>
          <w:tcPr>
            <w:tcW w:w="520" w:type="dxa"/>
            <w:vAlign w:val="bottom"/>
          </w:tcPr>
          <w:p>
            <w:pPr>
              <w:ind w:left="140"/>
              <w:spacing w:after="0"/>
              <w:rPr>
                <w:sz w:val="20"/>
                <w:szCs w:val="20"/>
                <w:color w:val="auto"/>
              </w:rPr>
            </w:pPr>
            <w:r>
              <w:rPr>
                <w:rFonts w:ascii="Arial" w:cs="Arial" w:eastAsia="Arial" w:hAnsi="Arial"/>
                <w:sz w:val="18"/>
                <w:szCs w:val="18"/>
                <w:color w:val="auto"/>
              </w:rPr>
              <w:t>5.1*</w:t>
            </w:r>
          </w:p>
        </w:tc>
        <w:tc>
          <w:tcPr>
            <w:tcW w:w="1040" w:type="dxa"/>
            <w:vAlign w:val="bottom"/>
          </w:tcPr>
          <w:p>
            <w:pPr>
              <w:spacing w:after="0"/>
              <w:rPr>
                <w:sz w:val="24"/>
                <w:szCs w:val="24"/>
                <w:color w:val="auto"/>
              </w:rPr>
            </w:pPr>
          </w:p>
        </w:tc>
        <w:tc>
          <w:tcPr>
            <w:tcW w:w="7560" w:type="dxa"/>
            <w:vAlign w:val="bottom"/>
            <w:gridSpan w:val="29"/>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243"/>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7560" w:type="dxa"/>
            <w:vAlign w:val="bottom"/>
            <w:gridSpan w:val="29"/>
          </w:tcPr>
          <w:p>
            <w:pPr>
              <w:spacing w:after="0"/>
              <w:rPr>
                <w:sz w:val="20"/>
                <w:szCs w:val="20"/>
                <w:color w:val="auto"/>
              </w:rPr>
            </w:pPr>
            <w:r>
              <w:rPr>
                <w:rFonts w:ascii="Arial" w:cs="Arial" w:eastAsia="Arial" w:hAnsi="Arial"/>
                <w:sz w:val="18"/>
                <w:szCs w:val="18"/>
                <w:color w:val="0000EE"/>
              </w:rPr>
              <w:t>Form of Director and Officer Indemnification Agreement</w:t>
            </w: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41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Form of 2019 Equity Incentive Plan</w:t>
            </w:r>
          </w:p>
        </w:tc>
        <w:tc>
          <w:tcPr>
            <w:tcW w:w="34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7560" w:type="dxa"/>
            <w:vAlign w:val="bottom"/>
            <w:gridSpan w:val="29"/>
          </w:tcPr>
          <w:p>
            <w:pPr>
              <w:spacing w:after="0"/>
              <w:rPr>
                <w:sz w:val="20"/>
                <w:szCs w:val="20"/>
                <w:color w:val="auto"/>
              </w:rPr>
            </w:pPr>
            <w:r>
              <w:rPr>
                <w:rFonts w:ascii="Arial" w:cs="Arial" w:eastAsia="Arial" w:hAnsi="Arial"/>
                <w:sz w:val="18"/>
                <w:szCs w:val="18"/>
                <w:color w:val="0000EE"/>
              </w:rPr>
              <w:t>Form of Restricted Stock Unit Award Letter</w:t>
            </w: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1"/>
              </w:rPr>
              <w:t>Form of Restricted Stock Award Letter</w:t>
            </w:r>
          </w:p>
        </w:tc>
        <w:tc>
          <w:tcPr>
            <w:tcW w:w="360" w:type="dxa"/>
            <w:vAlign w:val="bottom"/>
            <w:tcBorders>
              <w:top w:val="single" w:sz="8" w:color="0000EE"/>
            </w:tcBorders>
            <w:gridSpan w:val="2"/>
          </w:tcPr>
          <w:p>
            <w:pPr>
              <w:spacing w:after="0"/>
              <w:rPr>
                <w:sz w:val="22"/>
                <w:szCs w:val="22"/>
                <w:color w:val="auto"/>
              </w:rPr>
            </w:pPr>
          </w:p>
        </w:tc>
        <w:tc>
          <w:tcPr>
            <w:tcW w:w="440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33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Form of Performance Share Unit Award Letter</w:t>
            </w:r>
          </w:p>
        </w:tc>
        <w:tc>
          <w:tcPr>
            <w:tcW w:w="420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72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0"/>
              </w:rPr>
              <w:t>Employment Agreement, dated July 8, 2019, between Reynolds Consumer Products LLC and Lance</w:t>
            </w:r>
          </w:p>
        </w:tc>
        <w:tc>
          <w:tcPr>
            <w:tcW w:w="3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560" w:type="dxa"/>
            <w:vAlign w:val="bottom"/>
            <w:gridSpan w:val="29"/>
          </w:tcPr>
          <w:p>
            <w:pPr>
              <w:spacing w:after="0" w:line="196" w:lineRule="exact"/>
              <w:rPr>
                <w:sz w:val="20"/>
                <w:szCs w:val="20"/>
                <w:color w:val="auto"/>
              </w:rPr>
            </w:pPr>
            <w:r>
              <w:rPr>
                <w:rFonts w:ascii="Arial" w:cs="Arial" w:eastAsia="Arial" w:hAnsi="Arial"/>
                <w:sz w:val="18"/>
                <w:szCs w:val="18"/>
                <w:color w:val="0000EE"/>
              </w:rPr>
              <w:t>Mitchell</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73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0"/>
              </w:rPr>
              <w:t>Employment Agreement, dated July 8, 2019, between Reynolds Consumer Products LLC and Michael</w:t>
            </w:r>
          </w:p>
        </w:tc>
        <w:tc>
          <w:tcPr>
            <w:tcW w:w="1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Graham</w:t>
            </w:r>
          </w:p>
        </w:tc>
        <w:tc>
          <w:tcPr>
            <w:tcW w:w="69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7560" w:type="dxa"/>
            <w:vAlign w:val="bottom"/>
            <w:gridSpan w:val="29"/>
          </w:tcPr>
          <w:p>
            <w:pPr>
              <w:spacing w:after="0"/>
              <w:rPr>
                <w:sz w:val="20"/>
                <w:szCs w:val="20"/>
                <w:color w:val="auto"/>
              </w:rPr>
            </w:pPr>
            <w:r>
              <w:rPr>
                <w:rFonts w:ascii="Arial" w:cs="Arial" w:eastAsia="Arial" w:hAnsi="Arial"/>
                <w:sz w:val="18"/>
                <w:szCs w:val="18"/>
                <w:color w:val="0000EE"/>
                <w:w w:val="95"/>
              </w:rPr>
              <w:t>Employment Agreement, dated July 8, 2019, between Reynolds Consumer Products LLC and Craig</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18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Cappel</w:t>
            </w:r>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74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89"/>
              </w:rPr>
              <w:t>Employment Agreement, dated July 18, 2019, between Reynolds Consumer Products LLC and Stephan</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77"/>
              </w:rPr>
              <w:t>Pace</w:t>
            </w:r>
          </w:p>
        </w:tc>
        <w:tc>
          <w:tcPr>
            <w:tcW w:w="72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49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Lance Mitchell Transaction Success Bonus Letter, dated July 8, 2019</w:t>
            </w:r>
          </w:p>
        </w:tc>
        <w:tc>
          <w:tcPr>
            <w:tcW w:w="25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51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Michael Graham Transaction Success Bonus Letter, dated July 8, 2019</w:t>
            </w:r>
          </w:p>
        </w:tc>
        <w:tc>
          <w:tcPr>
            <w:tcW w:w="24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48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Craig Cappel Transaction Success Bonus Letter, dated July 8, 2019</w:t>
            </w:r>
          </w:p>
        </w:tc>
        <w:tc>
          <w:tcPr>
            <w:tcW w:w="27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7560" w:type="dxa"/>
            <w:vAlign w:val="bottom"/>
            <w:gridSpan w:val="29"/>
          </w:tcPr>
          <w:p>
            <w:pPr>
              <w:spacing w:after="0"/>
              <w:rPr>
                <w:sz w:val="20"/>
                <w:szCs w:val="20"/>
                <w:color w:val="auto"/>
              </w:rPr>
            </w:pPr>
            <w:r>
              <w:rPr>
                <w:rFonts w:ascii="Arial" w:cs="Arial" w:eastAsia="Arial" w:hAnsi="Arial"/>
                <w:sz w:val="18"/>
                <w:szCs w:val="18"/>
                <w:color w:val="0000EE"/>
              </w:rPr>
              <w:t>Stephan Pace Transaction Success Bonus Letter, dated July 8, 2019</w:t>
            </w: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424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1"/>
              </w:rPr>
              <w:t>Lance Mitchell Restricted Stock Memo, dated July 8, 2019</w:t>
            </w:r>
          </w:p>
        </w:tc>
        <w:tc>
          <w:tcPr>
            <w:tcW w:w="600" w:type="dxa"/>
            <w:vAlign w:val="bottom"/>
            <w:tcBorders>
              <w:top w:val="single" w:sz="8" w:color="0000EE"/>
            </w:tcBorders>
            <w:gridSpan w:val="3"/>
          </w:tcPr>
          <w:p>
            <w:pPr>
              <w:spacing w:after="0"/>
              <w:rPr>
                <w:sz w:val="22"/>
                <w:szCs w:val="22"/>
                <w:color w:val="auto"/>
              </w:rPr>
            </w:pPr>
          </w:p>
        </w:tc>
        <w:tc>
          <w:tcPr>
            <w:tcW w:w="27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43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Michael Graham Restricted Stock Memo, dated July 8, 2019</w:t>
            </w:r>
          </w:p>
        </w:tc>
        <w:tc>
          <w:tcPr>
            <w:tcW w:w="320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41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Craig Cappel Restricted Stock Memo, dated July 8, 2019</w:t>
            </w:r>
          </w:p>
        </w:tc>
        <w:tc>
          <w:tcPr>
            <w:tcW w:w="346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7560" w:type="dxa"/>
            <w:vAlign w:val="bottom"/>
            <w:gridSpan w:val="29"/>
          </w:tcPr>
          <w:p>
            <w:pPr>
              <w:spacing w:after="0"/>
              <w:rPr>
                <w:sz w:val="20"/>
                <w:szCs w:val="20"/>
                <w:color w:val="auto"/>
              </w:rPr>
            </w:pPr>
            <w:r>
              <w:rPr>
                <w:rFonts w:ascii="Arial" w:cs="Arial" w:eastAsia="Arial" w:hAnsi="Arial"/>
                <w:sz w:val="18"/>
                <w:szCs w:val="18"/>
                <w:color w:val="0000EE"/>
              </w:rPr>
              <w:t>Stephan Pace Restricted Stock Memo, dated July 8, 2019</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gridSpan w:val="2"/>
          </w:tcPr>
          <w:p>
            <w:pPr>
              <w:ind w:left="140"/>
              <w:spacing w:after="0"/>
              <w:rPr>
                <w:sz w:val="20"/>
                <w:szCs w:val="20"/>
                <w:color w:val="auto"/>
              </w:rPr>
            </w:pPr>
            <w:r>
              <w:rPr>
                <w:rFonts w:ascii="Arial" w:cs="Arial" w:eastAsia="Arial" w:hAnsi="Arial"/>
                <w:sz w:val="18"/>
                <w:szCs w:val="18"/>
                <w:color w:val="auto"/>
              </w:rPr>
              <w:t>10.18</w:t>
            </w:r>
          </w:p>
        </w:tc>
        <w:tc>
          <w:tcPr>
            <w:tcW w:w="72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9"/>
              </w:rPr>
              <w:t>Master Supply Agreement, dated November 1, 2019 between Reynolds Consumer Products LLC, as</w:t>
            </w:r>
          </w:p>
        </w:tc>
        <w:tc>
          <w:tcPr>
            <w:tcW w:w="3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Seller, and Pactiv LLC, as Buyer</w:t>
            </w:r>
          </w:p>
        </w:tc>
        <w:tc>
          <w:tcPr>
            <w:tcW w:w="52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140"/>
              <w:spacing w:after="0"/>
              <w:rPr>
                <w:sz w:val="20"/>
                <w:szCs w:val="20"/>
                <w:color w:val="auto"/>
              </w:rPr>
            </w:pPr>
            <w:r>
              <w:rPr>
                <w:rFonts w:ascii="Arial" w:cs="Arial" w:eastAsia="Arial" w:hAnsi="Arial"/>
                <w:sz w:val="18"/>
                <w:szCs w:val="18"/>
                <w:color w:val="auto"/>
              </w:rPr>
              <w:t>10.19</w:t>
            </w:r>
          </w:p>
        </w:tc>
        <w:tc>
          <w:tcPr>
            <w:tcW w:w="7560" w:type="dxa"/>
            <w:vAlign w:val="bottom"/>
            <w:gridSpan w:val="29"/>
          </w:tcPr>
          <w:p>
            <w:pPr>
              <w:spacing w:after="0"/>
              <w:rPr>
                <w:sz w:val="20"/>
                <w:szCs w:val="20"/>
                <w:color w:val="auto"/>
              </w:rPr>
            </w:pPr>
            <w:r>
              <w:rPr>
                <w:rFonts w:ascii="Arial" w:cs="Arial" w:eastAsia="Arial" w:hAnsi="Arial"/>
                <w:sz w:val="18"/>
                <w:szCs w:val="18"/>
                <w:color w:val="0000EE"/>
                <w:w w:val="95"/>
              </w:rPr>
              <w:t>Master Supply Agreement, dated November 1, 2019, between Pactiv LLC, as Seller, and Reynolds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Consumer Products LLC, as Buyer</w:t>
            </w:r>
          </w:p>
        </w:tc>
        <w:tc>
          <w:tcPr>
            <w:tcW w:w="4520" w:type="dxa"/>
            <w:vAlign w:val="bottom"/>
            <w:tcBorders>
              <w:top w:val="single" w:sz="8" w:color="0000EE"/>
            </w:tcBorders>
            <w:gridSpan w:val="16"/>
          </w:tcPr>
          <w:p>
            <w:pPr>
              <w:spacing w:after="0"/>
              <w:rPr>
                <w:sz w:val="17"/>
                <w:szCs w:val="17"/>
                <w:color w:val="auto"/>
              </w:rPr>
            </w:pPr>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7560" w:type="dxa"/>
            <w:vAlign w:val="bottom"/>
            <w:gridSpan w:val="29"/>
          </w:tcPr>
          <w:p>
            <w:pPr>
              <w:spacing w:after="0"/>
              <w:rPr>
                <w:sz w:val="20"/>
                <w:szCs w:val="20"/>
                <w:color w:val="auto"/>
              </w:rPr>
            </w:pPr>
            <w:r>
              <w:rPr>
                <w:rFonts w:ascii="Arial" w:cs="Arial" w:eastAsia="Arial" w:hAnsi="Arial"/>
                <w:sz w:val="18"/>
                <w:szCs w:val="18"/>
                <w:color w:val="0000EE"/>
                <w:w w:val="96"/>
              </w:rPr>
              <w:t>Warehousing and Freight Services Agreement, dated November 1, 2019 between Pactiv LLC and</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Reynolds Consumer Products LLC</w:t>
            </w:r>
          </w:p>
        </w:tc>
        <w:tc>
          <w:tcPr>
            <w:tcW w:w="4420" w:type="dxa"/>
            <w:vAlign w:val="bottom"/>
            <w:tcBorders>
              <w:top w:val="single" w:sz="8" w:color="0000EE"/>
            </w:tcBorders>
            <w:gridSpan w:val="15"/>
          </w:tcPr>
          <w:p>
            <w:pPr>
              <w:spacing w:after="0"/>
              <w:rPr>
                <w:sz w:val="17"/>
                <w:szCs w:val="17"/>
                <w:color w:val="auto"/>
              </w:rPr>
            </w:pPr>
          </w:p>
        </w:tc>
        <w:tc>
          <w:tcPr>
            <w:tcW w:w="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6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74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0"/>
              </w:rPr>
              <w:t>Transition Services Agreement, dated November 1, 2019, between Pactiv LLC and Reynolds Consumer</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560" w:type="dxa"/>
            <w:vAlign w:val="bottom"/>
            <w:gridSpan w:val="29"/>
          </w:tcPr>
          <w:p>
            <w:pPr>
              <w:spacing w:after="0" w:line="196" w:lineRule="exact"/>
              <w:rPr>
                <w:sz w:val="20"/>
                <w:szCs w:val="20"/>
                <w:color w:val="auto"/>
              </w:rPr>
            </w:pPr>
            <w:r>
              <w:rPr>
                <w:rFonts w:ascii="Arial" w:cs="Arial" w:eastAsia="Arial" w:hAnsi="Arial"/>
                <w:sz w:val="18"/>
                <w:szCs w:val="18"/>
                <w:color w:val="0000EE"/>
              </w:rPr>
              <w:t>Products LLC</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20" w:type="dxa"/>
            <w:vAlign w:val="bottom"/>
            <w:tcBorders>
              <w:left w:val="single" w:sz="8" w:color="0000EE"/>
            </w:tcBorders>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gridSpan w:val="2"/>
          </w:tcPr>
          <w:p>
            <w:pPr>
              <w:ind w:left="140"/>
              <w:spacing w:after="0"/>
              <w:rPr>
                <w:sz w:val="20"/>
                <w:szCs w:val="20"/>
                <w:color w:val="auto"/>
              </w:rPr>
            </w:pPr>
            <w:r>
              <w:rPr>
                <w:rFonts w:ascii="Arial" w:cs="Arial" w:eastAsia="Arial" w:hAnsi="Arial"/>
                <w:sz w:val="18"/>
                <w:szCs w:val="18"/>
                <w:color w:val="auto"/>
              </w:rPr>
              <w:t>10.22</w:t>
            </w:r>
          </w:p>
        </w:tc>
        <w:tc>
          <w:tcPr>
            <w:tcW w:w="756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0"/>
              </w:rPr>
              <w:t>Form of Transition Services Agreement between Reynolds Group Holdings Inc. and Reynolds Consumer</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560" w:type="dxa"/>
            <w:vAlign w:val="bottom"/>
            <w:gridSpan w:val="29"/>
          </w:tcPr>
          <w:p>
            <w:pPr>
              <w:spacing w:after="0" w:line="196" w:lineRule="exact"/>
              <w:rPr>
                <w:sz w:val="20"/>
                <w:szCs w:val="20"/>
                <w:color w:val="auto"/>
              </w:rPr>
            </w:pPr>
            <w:r>
              <w:rPr>
                <w:rFonts w:ascii="Arial" w:cs="Arial" w:eastAsia="Arial" w:hAnsi="Arial"/>
                <w:sz w:val="18"/>
                <w:szCs w:val="18"/>
                <w:color w:val="0000EE"/>
              </w:rPr>
              <w:t>Products Inc.</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2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7560" w:type="dxa"/>
            <w:vAlign w:val="bottom"/>
            <w:gridSpan w:val="29"/>
          </w:tcPr>
          <w:p>
            <w:pPr>
              <w:spacing w:after="0"/>
              <w:rPr>
                <w:sz w:val="20"/>
                <w:szCs w:val="20"/>
                <w:color w:val="auto"/>
              </w:rPr>
            </w:pPr>
            <w:r>
              <w:rPr>
                <w:rFonts w:ascii="Arial" w:cs="Arial" w:eastAsia="Arial" w:hAnsi="Arial"/>
                <w:sz w:val="18"/>
                <w:szCs w:val="18"/>
                <w:color w:val="auto"/>
                <w:w w:val="92"/>
              </w:rPr>
              <w:t>Amended and Restated Lease Agreement between Pactiv LLC and Reynolds Consumer Products LLC</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8"/>
          </w:tcPr>
          <w:p>
            <w:pPr>
              <w:jc w:val="center"/>
              <w:ind w:right="3160"/>
              <w:spacing w:after="0"/>
              <w:rPr>
                <w:sz w:val="20"/>
                <w:szCs w:val="20"/>
                <w:color w:val="auto"/>
              </w:rPr>
            </w:pPr>
            <w:r>
              <w:rPr>
                <w:rFonts w:ascii="Arial" w:cs="Arial" w:eastAsia="Arial" w:hAnsi="Arial"/>
                <w:sz w:val="18"/>
                <w:szCs w:val="18"/>
                <w:color w:val="auto"/>
                <w:w w:val="99"/>
              </w:rPr>
              <w:t>II-5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Sequentially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Numbered Page</w:t>
      </w:r>
    </w:p>
    <w:p>
      <w:pPr>
        <w:sectPr>
          <w:pgSz w:w="11900" w:h="16838" w:orient="portrait"/>
          <w:cols w:equalWidth="0" w:num="2">
            <w:col w:w="9520" w:space="720"/>
            <w:col w:w="98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8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gridSpan w:val="2"/>
          </w:tcPr>
          <w:p>
            <w:pPr>
              <w:spacing w:after="0"/>
              <w:rPr>
                <w:sz w:val="20"/>
                <w:szCs w:val="20"/>
                <w:color w:val="auto"/>
              </w:rPr>
            </w:pPr>
            <w:r>
              <w:rPr>
                <w:rFonts w:ascii="Arial" w:cs="Arial" w:eastAsia="Arial" w:hAnsi="Arial"/>
                <w:sz w:val="18"/>
                <w:szCs w:val="18"/>
                <w:color w:val="auto"/>
              </w:rPr>
              <w:t>10.24</w:t>
            </w:r>
          </w:p>
        </w:tc>
        <w:tc>
          <w:tcPr>
            <w:tcW w:w="920" w:type="dxa"/>
            <w:vAlign w:val="bottom"/>
          </w:tcPr>
          <w:p>
            <w:pPr>
              <w:spacing w:after="0"/>
              <w:rPr>
                <w:sz w:val="20"/>
                <w:szCs w:val="20"/>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0000EE"/>
              </w:rPr>
              <w:t>Form of Tax Matters Agreement</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10.25</w:t>
            </w:r>
          </w:p>
        </w:tc>
        <w:tc>
          <w:tcPr>
            <w:tcW w:w="920" w:type="dxa"/>
            <w:vAlign w:val="bottom"/>
          </w:tcPr>
          <w:p>
            <w:pPr>
              <w:spacing w:after="0"/>
              <w:rPr>
                <w:sz w:val="22"/>
                <w:szCs w:val="22"/>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0000EE"/>
                <w:w w:val="94"/>
              </w:rPr>
              <w:t>Form of Registration Rights Agreement between Packaging Finance Limited and Reynolds Consumer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Products Inc.</w:t>
            </w:r>
          </w:p>
        </w:tc>
        <w:tc>
          <w:tcPr>
            <w:tcW w:w="6400" w:type="dxa"/>
            <w:vAlign w:val="bottom"/>
            <w:tcBorders>
              <w:top w:val="single" w:sz="8" w:color="0000EE"/>
            </w:tcBorders>
            <w:gridSpan w:val="8"/>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10.26</w:t>
            </w:r>
          </w:p>
        </w:tc>
        <w:tc>
          <w:tcPr>
            <w:tcW w:w="920" w:type="dxa"/>
            <w:vAlign w:val="bottom"/>
          </w:tcPr>
          <w:p>
            <w:pPr>
              <w:spacing w:after="0"/>
              <w:rPr>
                <w:sz w:val="22"/>
                <w:szCs w:val="22"/>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0000EE"/>
                <w:w w:val="90"/>
              </w:rPr>
              <w:t>Form of Stockholders Agreement between Packaging Finance Limited and Reynolds Consumer Products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58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Inc.</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60" w:type="dxa"/>
            <w:vAlign w:val="bottom"/>
            <w:gridSpan w:val="2"/>
          </w:tcPr>
          <w:p>
            <w:pPr>
              <w:spacing w:after="0"/>
              <w:rPr>
                <w:sz w:val="20"/>
                <w:szCs w:val="20"/>
                <w:color w:val="auto"/>
              </w:rPr>
            </w:pPr>
            <w:r>
              <w:rPr>
                <w:rFonts w:ascii="Arial" w:cs="Arial" w:eastAsia="Arial" w:hAnsi="Arial"/>
                <w:sz w:val="18"/>
                <w:szCs w:val="18"/>
                <w:color w:val="auto"/>
              </w:rPr>
              <w:t>10.27*</w:t>
            </w:r>
          </w:p>
        </w:tc>
        <w:tc>
          <w:tcPr>
            <w:tcW w:w="92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auto"/>
                <w:w w:val="90"/>
              </w:rPr>
              <w:t>Form of Credit Agreement between Reynolds Consumer Products LLC, as borrower, Reynolds Consumer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auto"/>
              </w:rPr>
              <w:t>Products Inc., as parent, and certain lenders party thereto</w:t>
            </w:r>
          </w:p>
        </w:tc>
        <w:tc>
          <w:tcPr>
            <w:tcW w:w="0" w:type="dxa"/>
            <w:vAlign w:val="bottom"/>
          </w:tcPr>
          <w:p>
            <w:pPr>
              <w:spacing w:after="0"/>
              <w:rPr>
                <w:sz w:val="1"/>
                <w:szCs w:val="1"/>
                <w:color w:val="auto"/>
              </w:rPr>
            </w:pPr>
          </w:p>
        </w:tc>
      </w:tr>
      <w:tr>
        <w:trPr>
          <w:trHeight w:val="257"/>
        </w:trPr>
        <w:tc>
          <w:tcPr>
            <w:tcW w:w="560" w:type="dxa"/>
            <w:vAlign w:val="bottom"/>
            <w:gridSpan w:val="2"/>
          </w:tcPr>
          <w:p>
            <w:pPr>
              <w:spacing w:after="0"/>
              <w:rPr>
                <w:sz w:val="20"/>
                <w:szCs w:val="20"/>
                <w:color w:val="auto"/>
              </w:rPr>
            </w:pPr>
            <w:r>
              <w:rPr>
                <w:rFonts w:ascii="Arial" w:cs="Arial" w:eastAsia="Arial" w:hAnsi="Arial"/>
                <w:sz w:val="18"/>
                <w:szCs w:val="18"/>
                <w:color w:val="auto"/>
              </w:rPr>
              <w:t>10.28</w:t>
            </w:r>
          </w:p>
        </w:tc>
        <w:tc>
          <w:tcPr>
            <w:tcW w:w="920" w:type="dxa"/>
            <w:vAlign w:val="bottom"/>
          </w:tcPr>
          <w:p>
            <w:pPr>
              <w:spacing w:after="0"/>
              <w:rPr>
                <w:sz w:val="22"/>
                <w:szCs w:val="22"/>
                <w:color w:val="auto"/>
              </w:rPr>
            </w:pPr>
          </w:p>
        </w:tc>
        <w:tc>
          <w:tcPr>
            <w:tcW w:w="7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Form of Transition Services Agreement between Rank Group Limited and Reynolds Consumer Products</w:t>
            </w:r>
          </w:p>
        </w:tc>
        <w:tc>
          <w:tcPr>
            <w:tcW w:w="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40" w:type="dxa"/>
            <w:vAlign w:val="bottom"/>
            <w:gridSpan w:val="13"/>
          </w:tcPr>
          <w:p>
            <w:pPr>
              <w:spacing w:after="0" w:line="196" w:lineRule="exact"/>
              <w:rPr>
                <w:sz w:val="20"/>
                <w:szCs w:val="20"/>
                <w:color w:val="auto"/>
              </w:rPr>
            </w:pPr>
            <w:r>
              <w:rPr>
                <w:rFonts w:ascii="Arial" w:cs="Arial" w:eastAsia="Arial" w:hAnsi="Arial"/>
                <w:sz w:val="18"/>
                <w:szCs w:val="18"/>
                <w:color w:val="0000EE"/>
              </w:rPr>
              <w:t>Inc.</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22"/>
                <w:szCs w:val="22"/>
                <w:color w:val="auto"/>
              </w:rPr>
            </w:pPr>
          </w:p>
        </w:tc>
        <w:tc>
          <w:tcPr>
            <w:tcW w:w="1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List of subsidiaries</w:t>
            </w:r>
          </w:p>
        </w:tc>
        <w:tc>
          <w:tcPr>
            <w:tcW w:w="62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920" w:type="dxa"/>
            <w:vAlign w:val="bottom"/>
          </w:tcPr>
          <w:p>
            <w:pPr>
              <w:spacing w:after="0"/>
              <w:rPr>
                <w:sz w:val="22"/>
                <w:szCs w:val="22"/>
                <w:color w:val="auto"/>
              </w:rPr>
            </w:pPr>
          </w:p>
        </w:tc>
        <w:tc>
          <w:tcPr>
            <w:tcW w:w="3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Consent of PricewaterhouseCoopers LLP</w:t>
            </w:r>
          </w:p>
        </w:tc>
        <w:tc>
          <w:tcPr>
            <w:tcW w:w="46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auto"/>
              </w:rPr>
              <w:t>Consent of Davis Polk &amp; Wardwell LLP (included in Exhibit 5.1)</w:t>
            </w:r>
          </w:p>
        </w:tc>
        <w:tc>
          <w:tcPr>
            <w:tcW w:w="0" w:type="dxa"/>
            <w:vAlign w:val="bottom"/>
          </w:tcPr>
          <w:p>
            <w:pPr>
              <w:spacing w:after="0"/>
              <w:rPr>
                <w:sz w:val="1"/>
                <w:szCs w:val="1"/>
                <w:color w:val="auto"/>
              </w:rPr>
            </w:pPr>
          </w:p>
        </w:tc>
      </w:tr>
      <w:tr>
        <w:trPr>
          <w:trHeight w:val="243"/>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920" w:type="dxa"/>
            <w:vAlign w:val="bottom"/>
          </w:tcPr>
          <w:p>
            <w:pPr>
              <w:spacing w:after="0"/>
              <w:rPr>
                <w:sz w:val="21"/>
                <w:szCs w:val="21"/>
                <w:color w:val="auto"/>
              </w:rPr>
            </w:pPr>
          </w:p>
        </w:tc>
        <w:tc>
          <w:tcPr>
            <w:tcW w:w="55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41">
              <w:r>
                <w:rPr>
                  <w:rFonts w:ascii="Arial" w:cs="Arial" w:eastAsia="Arial" w:hAnsi="Arial"/>
                  <w:sz w:val="18"/>
                  <w:szCs w:val="18"/>
                  <w:color w:val="0000EE"/>
                  <w:w w:val="90"/>
                </w:rPr>
                <w:t>Power of Attorney (included on signature page to the registration statement)</w:t>
              </w:r>
            </w:hyperlink>
          </w:p>
        </w:tc>
        <w:tc>
          <w:tcPr>
            <w:tcW w:w="214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920" w:type="dxa"/>
            <w:vAlign w:val="bottom"/>
          </w:tcPr>
          <w:p>
            <w:pPr>
              <w:spacing w:after="0"/>
              <w:rPr>
                <w:sz w:val="22"/>
                <w:szCs w:val="22"/>
                <w:color w:val="auto"/>
              </w:rPr>
            </w:pPr>
          </w:p>
        </w:tc>
        <w:tc>
          <w:tcPr>
            <w:tcW w:w="7640" w:type="dxa"/>
            <w:vAlign w:val="bottom"/>
            <w:gridSpan w:val="13"/>
          </w:tcPr>
          <w:p>
            <w:pPr>
              <w:spacing w:after="0"/>
              <w:rPr>
                <w:sz w:val="20"/>
                <w:szCs w:val="20"/>
                <w:color w:val="auto"/>
              </w:rPr>
            </w:pPr>
            <w:r>
              <w:rPr>
                <w:rFonts w:ascii="Arial" w:cs="Arial" w:eastAsia="Arial" w:hAnsi="Arial"/>
                <w:sz w:val="18"/>
                <w:szCs w:val="18"/>
                <w:color w:val="0000EE"/>
              </w:rPr>
              <w:t>Consent of Marla Gottschalk to be named as a director nominee</w:t>
            </w: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8"/>
                <w:szCs w:val="18"/>
                <w:color w:val="auto"/>
              </w:rPr>
              <w:t>99.2</w:t>
            </w:r>
          </w:p>
        </w:tc>
        <w:tc>
          <w:tcPr>
            <w:tcW w:w="920" w:type="dxa"/>
            <w:vAlign w:val="bottom"/>
          </w:tcPr>
          <w:p>
            <w:pPr>
              <w:spacing w:after="0"/>
              <w:rPr>
                <w:sz w:val="22"/>
                <w:szCs w:val="22"/>
                <w:color w:val="auto"/>
              </w:rPr>
            </w:pPr>
          </w:p>
        </w:tc>
        <w:tc>
          <w:tcPr>
            <w:tcW w:w="46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w w:val="96"/>
              </w:rPr>
              <w:t>Consent of Richard Noll to be named as a director nominee</w:t>
            </w:r>
          </w:p>
        </w:tc>
        <w:tc>
          <w:tcPr>
            <w:tcW w:w="30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18180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200" w:right="3580" w:firstLine="4"/>
        <w:spacing w:after="0" w:line="277" w:lineRule="auto"/>
        <w:tabs>
          <w:tab w:leader="none" w:pos="63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Consists of a management contract or compensatory plan or arrangement. * To be filed by amendment.</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Sequentially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Numbered Page</w:t>
      </w:r>
    </w:p>
    <w:p>
      <w:pPr>
        <w:sectPr>
          <w:pgSz w:w="11900" w:h="16838" w:orient="portrait"/>
          <w:cols w:equalWidth="0" w:num="2">
            <w:col w:w="9520" w:space="720"/>
            <w:col w:w="98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State of Delaware, on the 15th day of November,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Lance Mitchell</w:t>
      </w:r>
    </w:p>
    <w:p>
      <w:pPr>
        <w:spacing w:after="0" w:line="23" w:lineRule="exact"/>
        <w:rPr>
          <w:sz w:val="20"/>
          <w:szCs w:val="20"/>
          <w:color w:val="auto"/>
        </w:rPr>
      </w:pPr>
    </w:p>
    <w:tbl>
      <w:tblPr>
        <w:tblLayout w:type="fixed"/>
        <w:tblInd w:w="71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Lance Mitchell</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Lance Mitchell, Michael Graham and Joseph Doyle,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9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60" w:type="dxa"/>
            <w:vAlign w:val="bottom"/>
          </w:tcPr>
          <w:p>
            <w:pPr>
              <w:spacing w:after="0"/>
              <w:rPr>
                <w:sz w:val="14"/>
                <w:szCs w:val="14"/>
                <w:color w:val="auto"/>
              </w:rPr>
            </w:pPr>
          </w:p>
        </w:tc>
      </w:tr>
      <w:tr>
        <w:trPr>
          <w:trHeight w:val="426"/>
        </w:trPr>
        <w:tc>
          <w:tcPr>
            <w:tcW w:w="3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Lance Mitchell</w:t>
            </w:r>
          </w:p>
        </w:tc>
        <w:tc>
          <w:tcPr>
            <w:tcW w:w="48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Chief Executive Officer and Director</w:t>
            </w:r>
          </w:p>
        </w:tc>
        <w:tc>
          <w:tcPr>
            <w:tcW w:w="226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November 15, 2019</w:t>
            </w:r>
          </w:p>
        </w:tc>
      </w:tr>
      <w:tr>
        <w:trPr>
          <w:trHeight w:val="224"/>
        </w:trPr>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Lance Mitchell</w:t>
            </w:r>
          </w:p>
        </w:tc>
        <w:tc>
          <w:tcPr>
            <w:tcW w:w="482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(principal executive officer)</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Michael Graham</w:t>
            </w:r>
          </w:p>
        </w:tc>
        <w:tc>
          <w:tcPr>
            <w:tcW w:w="48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Chief Financial Officer</w:t>
            </w:r>
          </w:p>
        </w:tc>
        <w:tc>
          <w:tcPr>
            <w:tcW w:w="226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November 15, 2019</w:t>
            </w:r>
          </w:p>
        </w:tc>
      </w:tr>
      <w:tr>
        <w:trPr>
          <w:trHeight w:val="224"/>
        </w:trPr>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Michael Graham</w:t>
            </w:r>
          </w:p>
        </w:tc>
        <w:tc>
          <w:tcPr>
            <w:tcW w:w="48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(principal financial officer)</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Gregory Cole</w:t>
            </w:r>
          </w:p>
        </w:tc>
        <w:tc>
          <w:tcPr>
            <w:tcW w:w="482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November 15, 2019</w:t>
            </w:r>
          </w:p>
        </w:tc>
      </w:tr>
      <w:tr>
        <w:trPr>
          <w:trHeight w:val="224"/>
        </w:trPr>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Gregory Cole</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Thomas Degnan</w:t>
            </w:r>
          </w:p>
        </w:tc>
        <w:tc>
          <w:tcPr>
            <w:tcW w:w="482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November 15, 2019</w:t>
            </w:r>
          </w:p>
        </w:tc>
      </w:tr>
      <w:tr>
        <w:trPr>
          <w:trHeight w:val="224"/>
        </w:trPr>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Thomas Degnan</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3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Helen Golding</w:t>
            </w:r>
          </w:p>
        </w:tc>
        <w:tc>
          <w:tcPr>
            <w:tcW w:w="482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November 15, 2019</w:t>
            </w:r>
          </w:p>
        </w:tc>
      </w:tr>
      <w:tr>
        <w:trPr>
          <w:trHeight w:val="224"/>
        </w:trPr>
        <w:tc>
          <w:tcPr>
            <w:tcW w:w="36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Helen Golding</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4"/>
        </w:trPr>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20" w:type="dxa"/>
            <w:vAlign w:val="bottom"/>
            <w:gridSpan w:val="3"/>
          </w:tcPr>
          <w:p>
            <w:pPr>
              <w:ind w:left="1720"/>
              <w:spacing w:after="0"/>
              <w:rPr>
                <w:sz w:val="20"/>
                <w:szCs w:val="20"/>
                <w:color w:val="auto"/>
              </w:rPr>
            </w:pPr>
            <w:r>
              <w:rPr>
                <w:rFonts w:ascii="Arial" w:cs="Arial" w:eastAsia="Arial" w:hAnsi="Arial"/>
                <w:sz w:val="18"/>
                <w:szCs w:val="18"/>
                <w:color w:val="auto"/>
              </w:rPr>
              <w:t>II-8</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60"/>
          </w:cols>
          <w:pgMar w:left="240" w:top="459" w:right="59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25"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color w:val="auto"/>
        </w:rPr>
        <w:t>Reynolds Consumer Products Inc. (the “</w:t>
      </w:r>
      <w:r>
        <w:rPr>
          <w:rFonts w:ascii="Arial" w:cs="Arial" w:eastAsia="Arial" w:hAnsi="Arial"/>
          <w:sz w:val="16"/>
          <w:szCs w:val="16"/>
          <w:b w:val="1"/>
          <w:bCs w:val="1"/>
          <w:color w:val="auto"/>
        </w:rPr>
        <w:t>Corporation</w:t>
      </w:r>
      <w:r>
        <w:rPr>
          <w:rFonts w:ascii="Arial" w:cs="Arial" w:eastAsia="Arial" w:hAnsi="Arial"/>
          <w:sz w:val="16"/>
          <w:szCs w:val="16"/>
          <w:color w:val="auto"/>
        </w:rPr>
        <w:t>”) is a corporation organized and existing under the laws of the State of Delaware. The Corporation was incorporated under the name “RenPac Holdings Inc.” pursuant to the certificate of formation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filed with the Secretary of State of the State of Delaware on September 29, 2011, which was amended on June 26, 2019 to change the name of the Corporation to Reynolds Consumer Products Inc. This amended and restated certificate of incorporation (“</w:t>
      </w:r>
      <w:r>
        <w:rPr>
          <w:rFonts w:ascii="Arial" w:cs="Arial" w:eastAsia="Arial" w:hAnsi="Arial"/>
          <w:sz w:val="16"/>
          <w:szCs w:val="16"/>
          <w:b w:val="1"/>
          <w:bCs w:val="1"/>
          <w:color w:val="auto"/>
        </w:rPr>
        <w:t>Amended and Restated 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which restates, integrates and further amends the provisions of the Certificate of Incorporation (as the same was amended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in its entirety, was duly adopted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the stockholders of the Corporation in accordance with the provisions of Sections 228, 242 and 245 of the General Corporation Law of the State of Delaware.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Reynolds Consumer Products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211"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POWERS</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the same exists or may hereafter be amended (“</w:t>
      </w:r>
      <w:r>
        <w:rPr>
          <w:rFonts w:ascii="Arial" w:cs="Arial" w:eastAsia="Arial" w:hAnsi="Arial"/>
          <w:sz w:val="18"/>
          <w:szCs w:val="18"/>
          <w:b w:val="1"/>
          <w:bCs w:val="1"/>
          <w:color w:val="auto"/>
        </w:rPr>
        <w:t>Delaware Law</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Authorized Shares</w:t>
      </w:r>
    </w:p>
    <w:p>
      <w:pPr>
        <w:spacing w:after="0" w:line="117" w:lineRule="exact"/>
        <w:rPr>
          <w:sz w:val="20"/>
          <w:szCs w:val="20"/>
          <w:color w:val="auto"/>
        </w:rPr>
      </w:pPr>
    </w:p>
    <w:p>
      <w:pPr>
        <w:ind w:left="1000"/>
        <w:spacing w:after="0"/>
        <w:tabs>
          <w:tab w:leader="none" w:pos="9200" w:val="left"/>
          <w:tab w:leader="none" w:pos="1074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Classes of Stock.</w:t>
      </w:r>
      <w:r>
        <w:rPr>
          <w:rFonts w:ascii="Arial" w:cs="Arial" w:eastAsia="Arial" w:hAnsi="Arial"/>
          <w:sz w:val="18"/>
          <w:szCs w:val="18"/>
          <w:color w:val="auto"/>
        </w:rPr>
        <w:t xml:space="preserve"> The total number of shares of stock that the Corporation shall have authority to issue is [</w:t>
      </w:r>
      <w:r>
        <w:rPr>
          <w:sz w:val="20"/>
          <w:szCs w:val="20"/>
          <w:color w:val="auto"/>
        </w:rPr>
        <w:tab/>
      </w:r>
      <w:r>
        <w:rPr>
          <w:rFonts w:ascii="Arial" w:cs="Arial" w:eastAsia="Arial" w:hAnsi="Arial"/>
          <w:sz w:val="18"/>
          <w:szCs w:val="18"/>
          <w:color w:val="auto"/>
        </w:rPr>
        <w:t>], consisting of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shares of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shares of Preferred Stock, par value $0.001 per share (the</w:t>
      </w:r>
    </w:p>
    <w:p>
      <w:pPr>
        <w:spacing w:after="0" w:line="9" w:lineRule="exact"/>
        <w:rPr>
          <w:sz w:val="20"/>
          <w:szCs w:val="20"/>
          <w:color w:val="auto"/>
        </w:rPr>
      </w:pPr>
    </w:p>
    <w:p>
      <w:pPr>
        <w:spacing w:after="0"/>
        <w:tabs>
          <w:tab w:leader="none" w:pos="8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Upon the effectiveness of this Amended and Restated Certificate of Incorporation dated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b w:val="1"/>
          <w:bCs w:val="1"/>
          <w:color w:val="auto"/>
        </w:rPr>
        <w:t>Effective Time</w:t>
      </w:r>
      <w:r>
        <w:rPr>
          <w:rFonts w:ascii="Arial" w:cs="Arial" w:eastAsia="Arial" w:hAnsi="Arial"/>
          <w:sz w:val="16"/>
          <w:szCs w:val="16"/>
          <w:color w:val="auto"/>
        </w:rPr>
        <w:t>”), every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of the Corporation’s Common Stock issued and outstanding immediately prior to the Effective Time (“</w:t>
      </w:r>
      <w:r>
        <w:rPr>
          <w:rFonts w:ascii="Arial" w:cs="Arial" w:eastAsia="Arial" w:hAnsi="Arial"/>
          <w:sz w:val="18"/>
          <w:szCs w:val="18"/>
          <w:b w:val="1"/>
          <w:bCs w:val="1"/>
          <w:color w:val="auto"/>
        </w:rPr>
        <w:t>Old Common Stock</w:t>
      </w:r>
      <w:r>
        <w:rPr>
          <w:rFonts w:ascii="Arial" w:cs="Arial" w:eastAsia="Arial" w:hAnsi="Arial"/>
          <w:sz w:val="18"/>
          <w:szCs w:val="18"/>
          <w:color w:val="auto"/>
        </w:rPr>
        <w:t>”) will be</w:t>
      </w:r>
    </w:p>
    <w:p>
      <w:pPr>
        <w:spacing w:after="0" w:line="9"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automatically reclassified as, and converted into, [</w:t>
      </w:r>
      <w:r>
        <w:rPr>
          <w:sz w:val="20"/>
          <w:szCs w:val="20"/>
          <w:color w:val="auto"/>
        </w:rPr>
        <w:tab/>
      </w:r>
      <w:r>
        <w:rPr>
          <w:rFonts w:ascii="Arial" w:cs="Arial" w:eastAsia="Arial" w:hAnsi="Arial"/>
          <w:sz w:val="16"/>
          <w:szCs w:val="16"/>
          <w:color w:val="auto"/>
        </w:rPr>
        <w:t>] shares of Common Stock (the “</w:t>
      </w:r>
      <w:r>
        <w:rPr>
          <w:rFonts w:ascii="Arial" w:cs="Arial" w:eastAsia="Arial" w:hAnsi="Arial"/>
          <w:sz w:val="16"/>
          <w:szCs w:val="16"/>
          <w:b w:val="1"/>
          <w:bCs w:val="1"/>
          <w:color w:val="auto"/>
        </w:rPr>
        <w:t>Stock Split</w:t>
      </w:r>
      <w:r>
        <w:rPr>
          <w:rFonts w:ascii="Arial" w:cs="Arial" w:eastAsia="Arial" w:hAnsi="Arial"/>
          <w:sz w:val="16"/>
          <w:szCs w:val="16"/>
          <w:color w:val="auto"/>
        </w:rPr>
        <w:t>”). Any stock certificate that, immediately prior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Time, represented shares of Old Common Stock will, from and after the Effective Time, automatically and without the necessity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presenting the same for exchange, represent the number of shares of Common Stock as equals the product obtained by multiplying the number of shares</w:t>
      </w:r>
    </w:p>
    <w:p>
      <w:pPr>
        <w:spacing w:after="0" w:line="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of Old Common Stock represented by such certificate immediately prior to the Effective Time by [ ]; provided that each person holding of record a stock certificate or certificates that represented shares of Old Common Stock shall receive, upon surrender of such certificate or certificates, a new certificate or certificates evidencing and representing the number of shares of Common Stock to which such person is entitled pursuant to the Stock Split.</w:t>
      </w:r>
    </w:p>
    <w:p>
      <w:pPr>
        <w:spacing w:after="0" w:line="78" w:lineRule="exact"/>
        <w:rPr>
          <w:sz w:val="20"/>
          <w:szCs w:val="20"/>
          <w:color w:val="auto"/>
        </w:rPr>
      </w:pPr>
    </w:p>
    <w:p>
      <w:pPr>
        <w:ind w:firstLine="996"/>
        <w:spacing w:after="0" w:line="256" w:lineRule="auto"/>
        <w:tabs>
          <w:tab w:leader="none" w:pos="1172" w:val="left"/>
        </w:tabs>
        <w:numPr>
          <w:ilvl w:val="1"/>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hereby empowered, without any action or vote by the Corporation’s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Delaware Law.</w:t>
      </w:r>
    </w:p>
    <w:p>
      <w:pPr>
        <w:spacing w:after="0" w:line="79" w:lineRule="exact"/>
        <w:rPr>
          <w:rFonts w:ascii="Arial" w:cs="Arial" w:eastAsia="Arial" w:hAnsi="Arial"/>
          <w:sz w:val="18"/>
          <w:szCs w:val="18"/>
          <w:color w:val="auto"/>
        </w:rPr>
      </w:pPr>
    </w:p>
    <w:p>
      <w:pPr>
        <w:ind w:left="720" w:hanging="276"/>
        <w:spacing w:after="0"/>
        <w:tabs>
          <w:tab w:leader="none" w:pos="7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Each holder of Common Stock, as such, shall be entitled to one vote for each share of Common Stock held of record by such holder on all matters on which stockholders generally are entitled to vote;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otherwise required by law, holders of Common Stock, as such, shall not be entitled to vote on any amendment to this Amended and Restated Certificate of Incorporation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Amended and Restated Certificate of Incorporation (including any certificate of designations relating to any class or series of Preferred Stock) or pursuant to Delaware Law.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of Directors shall have the power to adopt, amend or repeal the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 So long as the Stockholders’</w:t>
      </w:r>
    </w:p>
    <w:p>
      <w:pPr>
        <w:spacing w:after="0" w:line="50"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Agreement, among the Corporation and certain of its shareholders, dated as of [ ] (the “</w:t>
      </w:r>
      <w:r>
        <w:rPr>
          <w:rFonts w:ascii="Arial" w:cs="Arial" w:eastAsia="Arial" w:hAnsi="Arial"/>
          <w:sz w:val="18"/>
          <w:szCs w:val="18"/>
          <w:b w:val="1"/>
          <w:bCs w:val="1"/>
          <w:color w:val="auto"/>
        </w:rPr>
        <w:t>Stockholders’ Agreement</w:t>
      </w:r>
      <w:r>
        <w:rPr>
          <w:rFonts w:ascii="Arial" w:cs="Arial" w:eastAsia="Arial" w:hAnsi="Arial"/>
          <w:sz w:val="18"/>
          <w:szCs w:val="18"/>
          <w:color w:val="auto"/>
        </w:rPr>
        <w:t>”) remains in effect, the Board of Directors shall not approve any amendment, alteration or repeal of any provision of these Bylaws, or the adoption of any new Bylaw, that would be contrary to or inconsistent with the then-applicable terms of the Stockholders’ Agreement.</w:t>
      </w:r>
    </w:p>
    <w:p>
      <w:pPr>
        <w:spacing w:after="0" w:line="186"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From and after the first date on which Packaging Finance Limited (“</w:t>
      </w:r>
      <w:r>
        <w:rPr>
          <w:rFonts w:ascii="Arial" w:cs="Arial" w:eastAsia="Arial" w:hAnsi="Arial"/>
          <w:sz w:val="18"/>
          <w:szCs w:val="18"/>
          <w:b w:val="1"/>
          <w:bCs w:val="1"/>
          <w:color w:val="auto"/>
        </w:rPr>
        <w:t>PFL</w:t>
      </w:r>
      <w:r>
        <w:rPr>
          <w:rFonts w:ascii="Arial" w:cs="Arial" w:eastAsia="Arial" w:hAnsi="Arial"/>
          <w:sz w:val="18"/>
          <w:szCs w:val="18"/>
          <w:color w:val="auto"/>
        </w:rPr>
        <w:t>”)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w:t>
      </w:r>
      <w:r>
        <w:rPr>
          <w:rFonts w:ascii="Arial" w:cs="Arial" w:eastAsia="Arial" w:hAnsi="Arial"/>
          <w:sz w:val="18"/>
          <w:szCs w:val="18"/>
          <w:b w:val="1"/>
          <w:bCs w:val="1"/>
          <w:color w:val="auto"/>
        </w:rPr>
        <w:t>Hart Entities</w:t>
      </w:r>
      <w:r>
        <w:rPr>
          <w:rFonts w:ascii="Arial" w:cs="Arial" w:eastAsia="Arial" w:hAnsi="Arial"/>
          <w:sz w:val="18"/>
          <w:szCs w:val="18"/>
          <w:color w:val="auto"/>
        </w:rPr>
        <w:t>”) and any other transferee of all of the outstanding shares of common stock held at any time by the Hart Entities which are transferred other than pursuant to a widely distributed public sale (“</w:t>
      </w:r>
      <w:r>
        <w:rPr>
          <w:rFonts w:ascii="Arial" w:cs="Arial" w:eastAsia="Arial" w:hAnsi="Arial"/>
          <w:sz w:val="18"/>
          <w:szCs w:val="18"/>
          <w:b w:val="1"/>
          <w:bCs w:val="1"/>
          <w:color w:val="auto"/>
        </w:rPr>
        <w:t>Permitted Assigns</w:t>
      </w:r>
      <w:r>
        <w:rPr>
          <w:rFonts w:ascii="Arial" w:cs="Arial" w:eastAsia="Arial" w:hAnsi="Arial"/>
          <w:sz w:val="18"/>
          <w:szCs w:val="18"/>
          <w:color w:val="auto"/>
        </w:rPr>
        <w:t>”) no longer beneficially own more than 50% of the outstanding shares of Common Stock of the Corporation, the stockholders may adopt, amend or repeal the Bylaws only with the affirmative vote of the holders of not less than 662/3% of the voting power of all outstanding securities of the Corporation generally entitled to vote in the election of directors, voting together as a single class.</w:t>
      </w:r>
    </w:p>
    <w:p>
      <w:pPr>
        <w:spacing w:after="0" w:line="189"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Until the first date on which the Hart Entities or Permitted Assigns no longer beneficially own more than 50% of the outstanding shares of Common Stock of the Corporation, the stockholders may adopt, amend or repeal the Bylaws only with the affirmative vote of the holders of not less than a majority of the total voting power of all outstanding securities of the Corporation.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left="740" w:hanging="296"/>
        <w:spacing w:after="0"/>
        <w:tabs>
          <w:tab w:leader="none" w:pos="7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Power of the Board of Directors</w:t>
      </w:r>
      <w:r>
        <w:rPr>
          <w:rFonts w:ascii="Arial" w:cs="Arial" w:eastAsia="Arial" w:hAnsi="Arial"/>
          <w:sz w:val="17"/>
          <w:szCs w:val="17"/>
          <w:color w:val="auto"/>
        </w:rPr>
        <w:t>. The business and affairs of the Corporation shall be managed by or under the direction of a Board of</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Directors.</w:t>
      </w:r>
    </w:p>
    <w:p>
      <w:pPr>
        <w:spacing w:after="0" w:line="98" w:lineRule="exact"/>
        <w:rPr>
          <w:rFonts w:ascii="Arial" w:cs="Arial" w:eastAsia="Arial" w:hAnsi="Arial"/>
          <w:sz w:val="17"/>
          <w:szCs w:val="17"/>
          <w:b w:val="1"/>
          <w:bCs w:val="1"/>
          <w:color w:val="auto"/>
        </w:rPr>
      </w:pPr>
    </w:p>
    <w:p>
      <w:pPr>
        <w:ind w:right="300" w:firstLine="444"/>
        <w:spacing w:after="0" w:line="261" w:lineRule="auto"/>
        <w:tabs>
          <w:tab w:leader="none" w:pos="726"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Directors. </w:t>
      </w:r>
      <w:r>
        <w:rPr>
          <w:rFonts w:ascii="Arial" w:cs="Arial" w:eastAsia="Arial" w:hAnsi="Arial"/>
          <w:sz w:val="18"/>
          <w:szCs w:val="18"/>
          <w:color w:val="auto"/>
        </w:rPr>
        <w:t>Subject to the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number of directors which shall constitute the Board of Directors shall, as of the date this Amended and Restated Certificate of Incorporation becomes effective, be six and, thereafter, shall be fixed exclusively by one or more resolutions adopted from time to time solely by the affirmative vote of a majority of the Board of Directors.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45" w:name="page246"/>
    <w:bookmarkEnd w:id="245"/>
    <w:p>
      <w:pPr>
        <w:ind w:left="740" w:hanging="296"/>
        <w:spacing w:after="0"/>
        <w:tabs>
          <w:tab w:leader="none" w:pos="7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of Directors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80" w:firstLine="996"/>
        <w:spacing w:after="0" w:line="291" w:lineRule="auto"/>
        <w:tabs>
          <w:tab w:leader="none" w:pos="124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directors shall be divided into three classes, designated Class I, Class II and Class III. Each class shall consist, as nearly as may be practicable, of one-third of the total number of directors constituting the entire Board of Directors. Each director shall serve for a term ending on the</w:t>
      </w:r>
    </w:p>
    <w:p>
      <w:pPr>
        <w:spacing w:after="0"/>
        <w:rPr>
          <w:rFonts w:ascii="Arial" w:cs="Arial" w:eastAsia="Arial" w:hAnsi="Arial"/>
          <w:sz w:val="16"/>
          <w:szCs w:val="16"/>
          <w:color w:val="auto"/>
        </w:rPr>
      </w:pPr>
      <w:r>
        <w:rPr>
          <w:rFonts w:ascii="Arial" w:cs="Arial" w:eastAsia="Arial" w:hAnsi="Arial"/>
          <w:sz w:val="16"/>
          <w:szCs w:val="16"/>
          <w:color w:val="auto"/>
        </w:rPr>
        <w:t xml:space="preserve">date of the third annual meeting of stockholders next following the annual meeting at which such director was elected;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directors initially</w:t>
      </w:r>
    </w:p>
    <w:p>
      <w:pPr>
        <w:spacing w:after="0" w:line="20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designated as Class I directors shall serve for a term ending on the date of the [ ] annual meeting, directors initially designated as Class II directors shall serve for a term ending on the [ ] annual meeting, and directors initially designated as Class III directors shall serve for a term ending on the date of the [ ] annual meeting. Notwithstanding the foregoing, each director shall hold office until such director’s successor shall have been duly</w:t>
      </w:r>
    </w:p>
    <w:p>
      <w:pPr>
        <w:ind w:right="20"/>
        <w:spacing w:after="0" w:line="254" w:lineRule="auto"/>
        <w:rPr>
          <w:sz w:val="20"/>
          <w:szCs w:val="20"/>
          <w:color w:val="auto"/>
        </w:rPr>
      </w:pPr>
      <w:r>
        <w:rPr>
          <w:rFonts w:ascii="Arial" w:cs="Arial" w:eastAsia="Arial" w:hAnsi="Arial"/>
          <w:sz w:val="18"/>
          <w:szCs w:val="18"/>
          <w:color w:val="auto"/>
        </w:rPr>
        <w:t>elected and qualified or until such director’s earlier death, resignation or removal, and, subject to the then-applicable terms of the Stockholders’ Agreement. In the event of any change in the number of directors, the Board of Directors shall apportion any newly created directorships among, or reduce the number of directorships in, such class or classes as shall equalize, as nearly as possible, the number of directors in each class. In no event will a decrease in the number of directors shorten the term of any incumbent director.</w:t>
      </w:r>
    </w:p>
    <w:p>
      <w:pPr>
        <w:spacing w:after="0" w:line="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 The names and mailing addresses of the persons who are to serve initially as directors of each Class are:</w:t>
      </w:r>
    </w:p>
    <w:p>
      <w:pPr>
        <w:spacing w:after="0" w:line="240"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640" w:type="dxa"/>
            <w:vAlign w:val="bottom"/>
          </w:tcPr>
          <w:p>
            <w:pPr>
              <w:ind w:left="460"/>
              <w:spacing w:after="0"/>
              <w:rPr>
                <w:sz w:val="20"/>
                <w:szCs w:val="20"/>
                <w:color w:val="auto"/>
              </w:rPr>
            </w:pPr>
            <w:r>
              <w:rPr>
                <w:rFonts w:ascii="Arial" w:cs="Arial" w:eastAsia="Arial" w:hAnsi="Arial"/>
                <w:sz w:val="14"/>
                <w:szCs w:val="14"/>
                <w:b w:val="1"/>
                <w:bCs w:val="1"/>
                <w:color w:val="auto"/>
              </w:rPr>
              <w:t>Name</w:t>
            </w:r>
          </w:p>
        </w:tc>
        <w:tc>
          <w:tcPr>
            <w:tcW w:w="2920" w:type="dxa"/>
            <w:vAlign w:val="bottom"/>
          </w:tcPr>
          <w:p>
            <w:pPr>
              <w:ind w:left="920"/>
              <w:spacing w:after="0"/>
              <w:rPr>
                <w:sz w:val="20"/>
                <w:szCs w:val="20"/>
                <w:color w:val="auto"/>
              </w:rPr>
            </w:pPr>
            <w:r>
              <w:rPr>
                <w:rFonts w:ascii="Arial" w:cs="Arial" w:eastAsia="Arial" w:hAnsi="Arial"/>
                <w:sz w:val="14"/>
                <w:szCs w:val="14"/>
                <w:b w:val="1"/>
                <w:bCs w:val="1"/>
                <w:color w:val="auto"/>
              </w:rPr>
              <w:t>Mailing Address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Class I</w:t>
            </w:r>
          </w:p>
        </w:tc>
        <w:tc>
          <w:tcPr>
            <w:tcW w:w="2640" w:type="dxa"/>
            <w:vAlign w:val="bottom"/>
          </w:tcPr>
          <w:p>
            <w:pPr>
              <w:ind w:left="460"/>
              <w:spacing w:after="0"/>
              <w:rPr>
                <w:sz w:val="20"/>
                <w:szCs w:val="20"/>
                <w:color w:val="auto"/>
              </w:rPr>
            </w:pPr>
            <w:r>
              <w:rPr>
                <w:rFonts w:ascii="Arial" w:cs="Arial" w:eastAsia="Arial" w:hAnsi="Arial"/>
                <w:sz w:val="18"/>
                <w:szCs w:val="18"/>
                <w:color w:val="auto"/>
              </w:rPr>
              <w:t>Thomas Degnan</w:t>
            </w:r>
          </w:p>
        </w:tc>
        <w:tc>
          <w:tcPr>
            <w:tcW w:w="2920" w:type="dxa"/>
            <w:vAlign w:val="bottom"/>
          </w:tcPr>
          <w:p>
            <w:pPr>
              <w:ind w:left="920"/>
              <w:spacing w:after="0"/>
              <w:rPr>
                <w:sz w:val="20"/>
                <w:szCs w:val="20"/>
                <w:color w:val="auto"/>
              </w:rPr>
            </w:pPr>
            <w:r>
              <w:rPr>
                <w:rFonts w:ascii="Arial" w:cs="Arial" w:eastAsia="Arial" w:hAnsi="Arial"/>
                <w:sz w:val="18"/>
                <w:szCs w:val="18"/>
                <w:color w:val="auto"/>
              </w:rPr>
              <w:t>c/o 1900 W. Field Court,</w:t>
            </w:r>
          </w:p>
        </w:tc>
      </w:tr>
      <w:tr>
        <w:trPr>
          <w:trHeight w:val="230"/>
        </w:trPr>
        <w:tc>
          <w:tcPr>
            <w:tcW w:w="1080" w:type="dxa"/>
            <w:vAlign w:val="bottom"/>
          </w:tcPr>
          <w:p>
            <w:pPr>
              <w:spacing w:after="0"/>
              <w:rPr>
                <w:sz w:val="20"/>
                <w:szCs w:val="20"/>
                <w:color w:val="auto"/>
              </w:rPr>
            </w:pPr>
          </w:p>
        </w:tc>
        <w:tc>
          <w:tcPr>
            <w:tcW w:w="2640" w:type="dxa"/>
            <w:vAlign w:val="bottom"/>
          </w:tcPr>
          <w:p>
            <w:pPr>
              <w:ind w:left="460"/>
              <w:spacing w:after="0"/>
              <w:rPr>
                <w:sz w:val="20"/>
                <w:szCs w:val="20"/>
                <w:color w:val="auto"/>
              </w:rPr>
            </w:pPr>
            <w:r>
              <w:rPr>
                <w:rFonts w:ascii="Arial" w:cs="Arial" w:eastAsia="Arial" w:hAnsi="Arial"/>
                <w:sz w:val="18"/>
                <w:szCs w:val="18"/>
                <w:color w:val="auto"/>
              </w:rPr>
              <w:t>Helen Golding</w:t>
            </w:r>
          </w:p>
        </w:tc>
        <w:tc>
          <w:tcPr>
            <w:tcW w:w="2920" w:type="dxa"/>
            <w:vAlign w:val="bottom"/>
          </w:tcPr>
          <w:p>
            <w:pPr>
              <w:ind w:left="920"/>
              <w:spacing w:after="0"/>
              <w:rPr>
                <w:sz w:val="20"/>
                <w:szCs w:val="20"/>
                <w:color w:val="auto"/>
              </w:rPr>
            </w:pPr>
            <w:r>
              <w:rPr>
                <w:rFonts w:ascii="Arial" w:cs="Arial" w:eastAsia="Arial" w:hAnsi="Arial"/>
                <w:sz w:val="18"/>
                <w:szCs w:val="18"/>
                <w:color w:val="auto"/>
                <w:w w:val="92"/>
              </w:rPr>
              <w:t>Lake Forest, Illinois, 60045</w:t>
            </w: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rPr>
              <w:t>Class II</w:t>
            </w:r>
          </w:p>
        </w:tc>
        <w:tc>
          <w:tcPr>
            <w:tcW w:w="2640" w:type="dxa"/>
            <w:vAlign w:val="bottom"/>
          </w:tcPr>
          <w:p>
            <w:pPr>
              <w:ind w:left="460"/>
              <w:spacing w:after="0"/>
              <w:rPr>
                <w:sz w:val="20"/>
                <w:szCs w:val="20"/>
                <w:color w:val="auto"/>
              </w:rPr>
            </w:pPr>
            <w:r>
              <w:rPr>
                <w:rFonts w:ascii="Arial" w:cs="Arial" w:eastAsia="Arial" w:hAnsi="Arial"/>
                <w:sz w:val="18"/>
                <w:szCs w:val="18"/>
                <w:color w:val="auto"/>
              </w:rPr>
              <w:t>Gregory Cole</w:t>
            </w:r>
          </w:p>
        </w:tc>
        <w:tc>
          <w:tcPr>
            <w:tcW w:w="2920" w:type="dxa"/>
            <w:vAlign w:val="bottom"/>
          </w:tcPr>
          <w:p>
            <w:pPr>
              <w:ind w:left="920"/>
              <w:spacing w:after="0"/>
              <w:rPr>
                <w:sz w:val="20"/>
                <w:szCs w:val="20"/>
                <w:color w:val="auto"/>
              </w:rPr>
            </w:pPr>
            <w:r>
              <w:rPr>
                <w:rFonts w:ascii="Arial" w:cs="Arial" w:eastAsia="Arial" w:hAnsi="Arial"/>
                <w:sz w:val="18"/>
                <w:szCs w:val="18"/>
                <w:color w:val="auto"/>
              </w:rPr>
              <w:t>c/o 1900 W. Field Court,</w:t>
            </w:r>
          </w:p>
        </w:tc>
      </w:tr>
      <w:tr>
        <w:trPr>
          <w:trHeight w:val="230"/>
        </w:trPr>
        <w:tc>
          <w:tcPr>
            <w:tcW w:w="10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920" w:type="dxa"/>
            <w:vAlign w:val="bottom"/>
          </w:tcPr>
          <w:p>
            <w:pPr>
              <w:ind w:left="920"/>
              <w:spacing w:after="0"/>
              <w:rPr>
                <w:sz w:val="20"/>
                <w:szCs w:val="20"/>
                <w:color w:val="auto"/>
              </w:rPr>
            </w:pPr>
            <w:r>
              <w:rPr>
                <w:rFonts w:ascii="Arial" w:cs="Arial" w:eastAsia="Arial" w:hAnsi="Arial"/>
                <w:sz w:val="18"/>
                <w:szCs w:val="18"/>
                <w:color w:val="auto"/>
                <w:w w:val="92"/>
              </w:rPr>
              <w:t>Lake Forest, Illinois, 60045</w:t>
            </w: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rPr>
              <w:t>Class III</w:t>
            </w:r>
          </w:p>
        </w:tc>
        <w:tc>
          <w:tcPr>
            <w:tcW w:w="2640" w:type="dxa"/>
            <w:vAlign w:val="bottom"/>
          </w:tcPr>
          <w:p>
            <w:pPr>
              <w:ind w:left="460"/>
              <w:spacing w:after="0"/>
              <w:rPr>
                <w:sz w:val="20"/>
                <w:szCs w:val="20"/>
                <w:color w:val="auto"/>
              </w:rPr>
            </w:pPr>
            <w:r>
              <w:rPr>
                <w:rFonts w:ascii="Arial" w:cs="Arial" w:eastAsia="Arial" w:hAnsi="Arial"/>
                <w:sz w:val="18"/>
                <w:szCs w:val="18"/>
                <w:color w:val="auto"/>
              </w:rPr>
              <w:t>Lance Mitchell</w:t>
            </w:r>
          </w:p>
        </w:tc>
        <w:tc>
          <w:tcPr>
            <w:tcW w:w="2920" w:type="dxa"/>
            <w:vAlign w:val="bottom"/>
          </w:tcPr>
          <w:p>
            <w:pPr>
              <w:ind w:left="920"/>
              <w:spacing w:after="0"/>
              <w:rPr>
                <w:sz w:val="20"/>
                <w:szCs w:val="20"/>
                <w:color w:val="auto"/>
              </w:rPr>
            </w:pPr>
            <w:r>
              <w:rPr>
                <w:rFonts w:ascii="Arial" w:cs="Arial" w:eastAsia="Arial" w:hAnsi="Arial"/>
                <w:sz w:val="18"/>
                <w:szCs w:val="18"/>
                <w:color w:val="auto"/>
              </w:rPr>
              <w:t>c/o 1900 W. Field Court,</w:t>
            </w:r>
          </w:p>
        </w:tc>
      </w:tr>
      <w:tr>
        <w:trPr>
          <w:trHeight w:val="216"/>
        </w:trPr>
        <w:tc>
          <w:tcPr>
            <w:tcW w:w="1080" w:type="dxa"/>
            <w:vAlign w:val="bottom"/>
          </w:tcPr>
          <w:p>
            <w:pPr>
              <w:spacing w:after="0"/>
              <w:rPr>
                <w:sz w:val="18"/>
                <w:szCs w:val="18"/>
                <w:color w:val="auto"/>
              </w:rPr>
            </w:pPr>
          </w:p>
        </w:tc>
        <w:tc>
          <w:tcPr>
            <w:tcW w:w="2640" w:type="dxa"/>
            <w:vAlign w:val="bottom"/>
          </w:tcPr>
          <w:p>
            <w:pPr>
              <w:ind w:left="460"/>
              <w:spacing w:after="0"/>
              <w:rPr>
                <w:sz w:val="20"/>
                <w:szCs w:val="20"/>
                <w:color w:val="auto"/>
              </w:rPr>
            </w:pPr>
            <w:r>
              <w:rPr>
                <w:rFonts w:ascii="Arial" w:cs="Arial" w:eastAsia="Arial" w:hAnsi="Arial"/>
                <w:sz w:val="18"/>
                <w:szCs w:val="18"/>
                <w:color w:val="auto"/>
              </w:rPr>
              <w:t>Marla Gottschalk</w:t>
            </w:r>
          </w:p>
        </w:tc>
        <w:tc>
          <w:tcPr>
            <w:tcW w:w="2920" w:type="dxa"/>
            <w:vAlign w:val="bottom"/>
          </w:tcPr>
          <w:p>
            <w:pPr>
              <w:ind w:left="920"/>
              <w:spacing w:after="0"/>
              <w:rPr>
                <w:sz w:val="20"/>
                <w:szCs w:val="20"/>
                <w:color w:val="auto"/>
              </w:rPr>
            </w:pPr>
            <w:r>
              <w:rPr>
                <w:rFonts w:ascii="Arial" w:cs="Arial" w:eastAsia="Arial" w:hAnsi="Arial"/>
                <w:sz w:val="18"/>
                <w:szCs w:val="18"/>
                <w:color w:val="auto"/>
                <w:w w:val="92"/>
              </w:rPr>
              <w:t>Lake Forest, Illinois, 60045</w:t>
            </w:r>
          </w:p>
        </w:tc>
      </w:tr>
      <w:tr>
        <w:trPr>
          <w:trHeight w:val="230"/>
        </w:trPr>
        <w:tc>
          <w:tcPr>
            <w:tcW w:w="1080" w:type="dxa"/>
            <w:vAlign w:val="bottom"/>
          </w:tcPr>
          <w:p>
            <w:pPr>
              <w:spacing w:after="0"/>
              <w:rPr>
                <w:sz w:val="20"/>
                <w:szCs w:val="20"/>
                <w:color w:val="auto"/>
              </w:rPr>
            </w:pPr>
          </w:p>
        </w:tc>
        <w:tc>
          <w:tcPr>
            <w:tcW w:w="2640" w:type="dxa"/>
            <w:vAlign w:val="bottom"/>
          </w:tcPr>
          <w:p>
            <w:pPr>
              <w:ind w:left="460"/>
              <w:spacing w:after="0"/>
              <w:rPr>
                <w:sz w:val="20"/>
                <w:szCs w:val="20"/>
                <w:color w:val="auto"/>
              </w:rPr>
            </w:pPr>
            <w:r>
              <w:rPr>
                <w:rFonts w:ascii="Arial" w:cs="Arial" w:eastAsia="Arial" w:hAnsi="Arial"/>
                <w:sz w:val="18"/>
                <w:szCs w:val="18"/>
                <w:color w:val="auto"/>
              </w:rPr>
              <w:t>Richard Noll</w:t>
            </w:r>
          </w:p>
        </w:tc>
        <w:tc>
          <w:tcPr>
            <w:tcW w:w="2920" w:type="dxa"/>
            <w:vAlign w:val="bottom"/>
          </w:tcPr>
          <w:p>
            <w:pPr>
              <w:spacing w:after="0"/>
              <w:rPr>
                <w:sz w:val="20"/>
                <w:szCs w:val="20"/>
                <w:color w:val="auto"/>
              </w:rPr>
            </w:pPr>
          </w:p>
        </w:tc>
      </w:tr>
    </w:tbl>
    <w:p>
      <w:pPr>
        <w:spacing w:after="0" w:line="10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 There shall be no cumulative voting in the election of directors. Election of directors need not be by written ballot unless the Bylaws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provide.</w:t>
      </w:r>
    </w:p>
    <w:p>
      <w:pPr>
        <w:spacing w:after="0" w:line="99" w:lineRule="exact"/>
        <w:rPr>
          <w:sz w:val="20"/>
          <w:szCs w:val="20"/>
          <w:color w:val="auto"/>
        </w:rPr>
      </w:pPr>
    </w:p>
    <w:p>
      <w:pPr>
        <w:ind w:firstLine="444"/>
        <w:spacing w:after="0" w:line="281" w:lineRule="auto"/>
        <w:tabs>
          <w:tab w:leader="none" w:pos="736"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Vacancies. </w:t>
      </w:r>
      <w:r>
        <w:rPr>
          <w:rFonts w:ascii="Arial" w:cs="Arial" w:eastAsia="Arial" w:hAnsi="Arial"/>
          <w:sz w:val="17"/>
          <w:szCs w:val="17"/>
          <w:color w:val="auto"/>
        </w:rPr>
        <w:t>Vacancies on the Board of Directors resulting from death, resignation, removal or otherwise and newly created directorships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any increase in the number of directors shall, except as otherwise required by law, be filled solely by a majority vote of the directors then in office and entitled to vote thereon (although less than a quorum) or by the sole remaining director entitled to vote thereon, and each director so elected shall hold office for a term that shall coincide with the term of the Class to which such director shall have been elected.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46" w:name="page247"/>
    <w:bookmarkEnd w:id="246"/>
    <w:p>
      <w:pPr>
        <w:ind w:right="60" w:firstLine="444"/>
        <w:spacing w:after="0" w:line="261" w:lineRule="auto"/>
        <w:tabs>
          <w:tab w:leader="none" w:pos="726"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Removal. </w:t>
      </w:r>
      <w:r>
        <w:rPr>
          <w:rFonts w:ascii="Arial" w:cs="Arial" w:eastAsia="Arial" w:hAnsi="Arial"/>
          <w:sz w:val="18"/>
          <w:szCs w:val="18"/>
          <w:color w:val="auto"/>
        </w:rPr>
        <w:t>Subject to the rights of the holders of any series of Preferred Stock then outstanding and the then-applicable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Agreement, 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spacing w:after="0" w:line="71" w:lineRule="exact"/>
        <w:rPr>
          <w:rFonts w:ascii="Arial" w:cs="Arial" w:eastAsia="Arial" w:hAnsi="Arial"/>
          <w:sz w:val="18"/>
          <w:szCs w:val="18"/>
          <w:b w:val="1"/>
          <w:bCs w:val="1"/>
          <w:color w:val="auto"/>
        </w:rPr>
      </w:pPr>
    </w:p>
    <w:p>
      <w:pPr>
        <w:ind w:firstLine="444"/>
        <w:spacing w:after="0" w:line="258" w:lineRule="auto"/>
        <w:tabs>
          <w:tab w:leader="none" w:pos="716"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Preferred Stock Directors. </w:t>
      </w:r>
      <w:r>
        <w:rPr>
          <w:rFonts w:ascii="Arial" w:cs="Arial" w:eastAsia="Arial" w:hAnsi="Arial"/>
          <w:sz w:val="18"/>
          <w:szCs w:val="18"/>
          <w:color w:val="auto"/>
        </w:rPr>
        <w:t>Notwithstanding anything else contained herein, whenever the holders of one or more classes or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shall have the right, voting separately as a class or series, to elect directors, the election, term of office, filling of vacancies, removal and other features of such directorships shall be governed by the terms of such class or series of Preferred Stock adopted by resolution or resolutions adopted by the Board of Directors pursuant to Article 4(A) hereto, and such directors so elected shall not be subject to the provisions of this Article 6 unless otherwise provided therein.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ind w:right="20" w:firstLine="444"/>
        <w:spacing w:after="0" w:line="266" w:lineRule="auto"/>
        <w:tabs>
          <w:tab w:leader="none" w:pos="736"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Meetings. </w:t>
      </w:r>
      <w:r>
        <w:rPr>
          <w:rFonts w:ascii="Arial" w:cs="Arial" w:eastAsia="Arial" w:hAnsi="Arial"/>
          <w:sz w:val="18"/>
          <w:szCs w:val="18"/>
          <w:color w:val="auto"/>
        </w:rPr>
        <w:t>An annual meeting of stockholders for the election of directors to succeed those whose terms expire and for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other business as may properly come before the meeting shall be held at such place, on such date, and at such time as the Board of Directors shall determine.</w:t>
      </w:r>
    </w:p>
    <w:p>
      <w:pPr>
        <w:spacing w:after="0" w:line="68" w:lineRule="exact"/>
        <w:rPr>
          <w:rFonts w:ascii="Arial" w:cs="Arial" w:eastAsia="Arial" w:hAnsi="Arial"/>
          <w:sz w:val="18"/>
          <w:szCs w:val="18"/>
          <w:b w:val="1"/>
          <w:bCs w:val="1"/>
          <w:color w:val="auto"/>
        </w:rPr>
      </w:pPr>
    </w:p>
    <w:p>
      <w:pPr>
        <w:ind w:left="720" w:hanging="276"/>
        <w:spacing w:after="0"/>
        <w:tabs>
          <w:tab w:leader="none" w:pos="7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the stockholders may be called only by:</w:t>
      </w:r>
    </w:p>
    <w:p>
      <w:pPr>
        <w:spacing w:after="0" w:line="121" w:lineRule="exact"/>
        <w:rPr>
          <w:sz w:val="20"/>
          <w:szCs w:val="20"/>
          <w:color w:val="auto"/>
        </w:rPr>
      </w:pPr>
    </w:p>
    <w:p>
      <w:pPr>
        <w:ind w:left="700" w:hanging="256"/>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Chief Executive Officer of the Corporation or the Chairman;</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Board of Directors acting pursuant to a resolution adopted by a majority of the Board of Directors; or</w:t>
      </w:r>
    </w:p>
    <w:p>
      <w:pPr>
        <w:spacing w:after="0" w:line="117" w:lineRule="exact"/>
        <w:rPr>
          <w:rFonts w:ascii="Arial" w:cs="Arial" w:eastAsia="Arial" w:hAnsi="Arial"/>
          <w:sz w:val="18"/>
          <w:szCs w:val="18"/>
          <w:color w:val="auto"/>
        </w:rPr>
      </w:pPr>
    </w:p>
    <w:p>
      <w:pPr>
        <w:jc w:val="both"/>
        <w:ind w:right="380" w:firstLine="444"/>
        <w:spacing w:after="0" w:line="264" w:lineRule="auto"/>
        <w:tabs>
          <w:tab w:leader="none" w:pos="69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until the first date on which the Hart Entities or Permitted Assigns no longer beneficially own more than 50% of the outstanding shares of Common Stock of the Corporation, special meetings of the stockholders may also be called by the Secretary of the Corporation at the request of the holders of a majority of the outstanding shares of Common Stock.</w:t>
      </w:r>
    </w:p>
    <w:p>
      <w:pPr>
        <w:spacing w:after="0" w:line="181"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Notwithstanding the foregoing, whenever holders of one or more classes or series of Preferred Stock shall have the right, voting separately as a class or series, to elect directors, such holders may call, pursuant to the terms of such class or series of Preferred Stock adopted by resolution or resolutions of the Board of Directors pursuant to Article 4(A) hereto, special meetings of holders of such Preferred Stock.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247" w:name="page248"/>
    <w:bookmarkEnd w:id="247"/>
    <w:p>
      <w:pPr>
        <w:ind w:left="-40" w:firstLine="444"/>
        <w:spacing w:after="0" w:line="266" w:lineRule="auto"/>
        <w:tabs>
          <w:tab w:leader="none" w:pos="69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Action by Written Consent. </w:t>
      </w:r>
      <w:r>
        <w:rPr>
          <w:rFonts w:ascii="Arial" w:cs="Arial" w:eastAsia="Arial" w:hAnsi="Arial"/>
          <w:sz w:val="18"/>
          <w:szCs w:val="18"/>
          <w:color w:val="auto"/>
        </w:rPr>
        <w:t>Subject to the rights of the holders of any class or series of Preferred Stock then outstanding, as may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resolution or resolutions adopted by the Board of Directors pursuant to Article 4(A) hereto for such class or series of Preferred Stock, any action required or permitted to be taken at any annual or special meeting of stockholders may be taken:</w:t>
      </w:r>
    </w:p>
    <w:p>
      <w:pPr>
        <w:spacing w:after="0" w:line="72" w:lineRule="exact"/>
        <w:rPr>
          <w:sz w:val="20"/>
          <w:szCs w:val="20"/>
          <w:color w:val="auto"/>
        </w:rPr>
      </w:pPr>
    </w:p>
    <w:p>
      <w:pPr>
        <w:ind w:left="-40" w:right="400" w:firstLine="444"/>
        <w:spacing w:after="0" w:line="277" w:lineRule="auto"/>
        <w:tabs>
          <w:tab w:leader="none" w:pos="65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until the first date on which the Hart entities or Permitted Assigns no longer beneficially own more than 50% of the outstanding shares of Common Stock, by written consent of the stockholders without a meeting; and</w:t>
      </w:r>
    </w:p>
    <w:p>
      <w:pPr>
        <w:spacing w:after="0" w:line="62" w:lineRule="exact"/>
        <w:rPr>
          <w:rFonts w:ascii="Arial" w:cs="Arial" w:eastAsia="Arial" w:hAnsi="Arial"/>
          <w:sz w:val="18"/>
          <w:szCs w:val="18"/>
          <w:color w:val="auto"/>
        </w:rPr>
      </w:pPr>
    </w:p>
    <w:p>
      <w:pPr>
        <w:ind w:left="-40" w:right="40" w:firstLine="444"/>
        <w:spacing w:after="0" w:line="286" w:lineRule="auto"/>
        <w:tabs>
          <w:tab w:leader="none" w:pos="65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from and after the first date on which the Hart Entities or Permitted Assigns no longer beneficially own more than 50% of the outstanding shares of Common Stock, only upon the vote of stockholders at an annual or special meeting duly noticed and called in accordance with Delaware Law, as amended from time to time, and this Article 7 and may not be taken by written consent of stockholders without a meeting.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40" w:right="60" w:firstLine="444"/>
        <w:spacing w:after="0" w:line="282" w:lineRule="auto"/>
        <w:tabs>
          <w:tab w:leader="none" w:pos="696"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Limited Liability. </w:t>
      </w:r>
      <w:r>
        <w:rPr>
          <w:rFonts w:ascii="Arial" w:cs="Arial" w:eastAsia="Arial" w:hAnsi="Arial"/>
          <w:sz w:val="18"/>
          <w:szCs w:val="18"/>
          <w:color w:val="auto"/>
        </w:rPr>
        <w:t>A director of the Corporation shall not be liable to the Corporation or its stockholders for monetary damages for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duty as a director to the fullest extent permitted by Delaware Law.</w:t>
      </w:r>
    </w:p>
    <w:p>
      <w:pPr>
        <w:spacing w:after="0" w:line="53" w:lineRule="exact"/>
        <w:rPr>
          <w:rFonts w:ascii="Arial" w:cs="Arial" w:eastAsia="Arial" w:hAnsi="Arial"/>
          <w:sz w:val="18"/>
          <w:szCs w:val="18"/>
          <w:b w:val="1"/>
          <w:bCs w:val="1"/>
          <w:color w:val="auto"/>
        </w:rPr>
      </w:pPr>
    </w:p>
    <w:p>
      <w:pPr>
        <w:ind w:left="680" w:hanging="276"/>
        <w:spacing w:after="0"/>
        <w:tabs>
          <w:tab w:leader="none" w:pos="6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Right to Indemnification.</w:t>
      </w:r>
    </w:p>
    <w:p>
      <w:pPr>
        <w:spacing w:after="0" w:line="121" w:lineRule="exact"/>
        <w:rPr>
          <w:rFonts w:ascii="Arial" w:cs="Arial" w:eastAsia="Arial" w:hAnsi="Arial"/>
          <w:sz w:val="18"/>
          <w:szCs w:val="18"/>
          <w:b w:val="1"/>
          <w:bCs w:val="1"/>
          <w:color w:val="auto"/>
        </w:rPr>
      </w:pPr>
    </w:p>
    <w:p>
      <w:pPr>
        <w:ind w:left="-40" w:right="40" w:firstLine="996"/>
        <w:spacing w:after="0" w:line="272" w:lineRule="auto"/>
        <w:tabs>
          <w:tab w:leader="none" w:pos="1207"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Delaware Law. The right to indemnification conferred in this Article 8 shall also include the right to be paid by the Corporation the expenses incurred in connection with any such proceeding in advance of its final disposition to the fullest extent authorized by Delaware Law. The right to indemnification conferred in this Article 8 shall be a contract right.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0" w:right="479" w:bottom="1440" w:gutter="0" w:footer="0" w:header="0"/>
        </w:sectPr>
      </w:pPr>
    </w:p>
    <w:bookmarkStart w:id="248" w:name="page249"/>
    <w:bookmarkEnd w:id="248"/>
    <w:p>
      <w:pPr>
        <w:ind w:left="-20" w:right="740" w:firstLine="996"/>
        <w:spacing w:after="0" w:line="342" w:lineRule="auto"/>
        <w:tabs>
          <w:tab w:leader="none" w:pos="1227" w:val="left"/>
        </w:tabs>
        <w:numPr>
          <w:ilvl w:val="1"/>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may, by action of its Board of Directors, provide indemnification to such of the employees and agents of the Corporation to such extent and to such effect as the Board of Directors shall determine to be appropriate and authorized by Delaware Law.</w:t>
      </w:r>
    </w:p>
    <w:p>
      <w:pPr>
        <w:spacing w:after="0" w:line="11" w:lineRule="exact"/>
        <w:rPr>
          <w:rFonts w:ascii="Arial" w:cs="Arial" w:eastAsia="Arial" w:hAnsi="Arial"/>
          <w:sz w:val="16"/>
          <w:szCs w:val="16"/>
          <w:color w:val="auto"/>
        </w:rPr>
      </w:pPr>
    </w:p>
    <w:p>
      <w:pPr>
        <w:ind w:left="-20" w:right="200" w:firstLine="444"/>
        <w:spacing w:after="0" w:line="258" w:lineRule="auto"/>
        <w:tabs>
          <w:tab w:leader="none" w:pos="71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Corporation shall have power to purchase and maintain insurance on behalf of any person who is or was a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Delaware Law.</w:t>
      </w:r>
    </w:p>
    <w:p>
      <w:pPr>
        <w:spacing w:after="0" w:line="75" w:lineRule="exact"/>
        <w:rPr>
          <w:rFonts w:ascii="Arial" w:cs="Arial" w:eastAsia="Arial" w:hAnsi="Arial"/>
          <w:sz w:val="18"/>
          <w:szCs w:val="18"/>
          <w:b w:val="1"/>
          <w:bCs w:val="1"/>
          <w:color w:val="auto"/>
        </w:rPr>
      </w:pPr>
    </w:p>
    <w:p>
      <w:pPr>
        <w:ind w:left="-20" w:right="280" w:firstLine="444"/>
        <w:spacing w:after="0" w:line="282" w:lineRule="auto"/>
        <w:tabs>
          <w:tab w:leader="none" w:pos="71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Nonexclusivity of Rights. </w:t>
      </w:r>
      <w:r>
        <w:rPr>
          <w:rFonts w:ascii="Arial" w:cs="Arial" w:eastAsia="Arial" w:hAnsi="Arial"/>
          <w:sz w:val="18"/>
          <w:szCs w:val="18"/>
          <w:color w:val="auto"/>
        </w:rPr>
        <w:t>The rights and authority conferred in this Article 8 shall not be exclusive of any other right that any person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have or hereafter acquire.</w:t>
      </w:r>
    </w:p>
    <w:p>
      <w:pPr>
        <w:spacing w:after="0" w:line="53" w:lineRule="exact"/>
        <w:rPr>
          <w:rFonts w:ascii="Arial" w:cs="Arial" w:eastAsia="Arial" w:hAnsi="Arial"/>
          <w:sz w:val="18"/>
          <w:szCs w:val="18"/>
          <w:b w:val="1"/>
          <w:bCs w:val="1"/>
          <w:color w:val="auto"/>
        </w:rPr>
      </w:pPr>
    </w:p>
    <w:p>
      <w:pPr>
        <w:ind w:left="-20" w:firstLine="444"/>
        <w:spacing w:after="0" w:line="258" w:lineRule="auto"/>
        <w:tabs>
          <w:tab w:leader="none" w:pos="70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Preservation of Rights. </w:t>
      </w:r>
      <w:r>
        <w:rPr>
          <w:rFonts w:ascii="Arial" w:cs="Arial" w:eastAsia="Arial" w:hAnsi="Arial"/>
          <w:sz w:val="18"/>
          <w:szCs w:val="18"/>
          <w:color w:val="auto"/>
        </w:rPr>
        <w:t>Neither the amendment nor repeal of this Article 8, nor the adoption of any provision of this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the Bylaws, nor, to the fullest extent permitted by Delaware Law,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Corporation reserves the right to amend this Amended and Restated Certificate of Incorporation, provided such amendment is approved by:</w:t>
      </w:r>
    </w:p>
    <w:p>
      <w:pPr>
        <w:spacing w:after="0" w:line="140" w:lineRule="exact"/>
        <w:rPr>
          <w:sz w:val="20"/>
          <w:szCs w:val="20"/>
          <w:color w:val="auto"/>
        </w:rPr>
      </w:pPr>
    </w:p>
    <w:p>
      <w:pPr>
        <w:ind w:left="-20" w:firstLine="444"/>
        <w:spacing w:after="0" w:line="259" w:lineRule="auto"/>
        <w:tabs>
          <w:tab w:leader="none" w:pos="67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until the first date on which the Hart entities or Permitted Assigns no longer beneficially own more than 50% of the outstanding shares of Common Stock of the Corporation, the affirmative vote of the holders of not less than a majority of the total voting power of all outstanding securities of the Corporation, generally entitled to vote in the election of directors, voting together as a single class and all rights and powers conferred upon stockholders, directors and officers herein are granted subject to this reservation; or</w:t>
      </w:r>
    </w:p>
    <w:p>
      <w:pPr>
        <w:spacing w:after="0" w:line="78" w:lineRule="exact"/>
        <w:rPr>
          <w:rFonts w:ascii="Arial" w:cs="Arial" w:eastAsia="Arial" w:hAnsi="Arial"/>
          <w:sz w:val="18"/>
          <w:szCs w:val="18"/>
          <w:color w:val="auto"/>
        </w:rPr>
      </w:pPr>
    </w:p>
    <w:p>
      <w:pPr>
        <w:ind w:left="-20" w:right="40" w:firstLine="444"/>
        <w:spacing w:after="0" w:line="259" w:lineRule="auto"/>
        <w:tabs>
          <w:tab w:leader="none" w:pos="67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from and after the date on which the Hart Entities or Permitted Assigns no longer beneficially own more than 50% of the outstanding shares of Common Stock, the affirmative vote of the holders of not less than 66 </w:t>
      </w:r>
      <w:r>
        <w:rPr>
          <w:rFonts w:ascii="Arial" w:cs="Arial" w:eastAsia="Arial" w:hAnsi="Arial"/>
          <w:sz w:val="15"/>
          <w:szCs w:val="15"/>
          <w:color w:val="auto"/>
        </w:rPr>
        <w:t>2/3</w:t>
      </w:r>
      <w:r>
        <w:rPr>
          <w:rFonts w:ascii="Arial" w:cs="Arial" w:eastAsia="Arial" w:hAnsi="Arial"/>
          <w:sz w:val="18"/>
          <w:szCs w:val="18"/>
          <w:color w:val="auto"/>
        </w:rPr>
        <w:t>% of the total voting power of all outstanding securities of the Corporation generally entitled to vote in the election of directors, voting together as a single class and all rights and powers conferred upon stockholders, directors and officers herein are granted subject to this reservation.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To the fullest extent permitted by the laws of the State of Delaware, (a) the Corporation hereby renounces all interest and expectancy that it otherwise would be entitled to have in, and all rights to be offered an opportunity to participate in, any business opportunity that from time to time may be presented to (i) the Board of Directors or any Director, (ii) any stockholder, officer or agent of the Corporation, or (iii) any affiliate of any person or entity identified in the preceding clause (i) or (ii), but in each case excluding any such person in its capacity as an employee of the Corporation or its subsidiaries; (b) no holder of Common Stock or Preferred Stock (collectively, “Capital Stock”) and no Director that is not an employee of the Corporation or its subsidiaries will have any duty to refrain from (i) engaging in a corporate opportunity in the same or similar lines of business in which the Corporation or its subsidiaries from time to time is engaged or proposes to engage or (ii) otherwise competing, directly or indirectly, with the Corporation or any of its subsidiaries; and (c) if any holder of Capital Stock or any Director that is not an employee of the Corporation or its subsidiaries acquires knowledge of a potential transaction or other business opportunity which may be a corporate opportunity both for such holder of Capital Stock or such Director or any of their respective affiliates, on the one hand, and for the Corporation or its subsidiaries, on the other hand, such holder of Capital Stock or Director shall have no duty to communicate or offer such transaction or business opportunity to the Corporation or its subsidiaries and such holder of Capital Stock or Director may take any and all such transactions or opportunities for itself or offer such transactions or opportunities to any other person or entity. The preceding sentence of this Article 10 shall not apply to any potential transaction or business opportunity that is expressly offered to a Director, who is not an employee of the Corporation or its subsidiaries, solely in his or her capacity as a Director.</w:t>
      </w:r>
    </w:p>
    <w:p>
      <w:pPr>
        <w:spacing w:after="0" w:line="17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the fullest extent permitted by the laws of the State of Delaware, no potential transaction or business opportunity may be deemed to be a potential corporate opportunity of the Corporation or its subsidiaries unless (a) the Corporation and its subsidiaries would be permitted to undertake such transaction or opportunity in accordance with this Amended and Restated Certificate of Incorporation, (b) the Corporation and its subsidiaries at such time have sufficient financial resources to undertake such transaction or opportunity and (c) such transaction or opportunity would be in the same or similar line of business in which the Corporation and its subsidiaries are then engaged or a line of business that is reasonably related to, or a reasonable extension of, such line of business.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250" w:name="page251"/>
    <w:bookmarkEnd w:id="250"/>
    <w:p>
      <w:pPr>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holder of Capital Stock and no Director will be liable to the Corporation or its subsidiaries or stockholders for breach of any duty (contractual or otherwise) by reason of any activities or omissions of the types referred to in this Article 10, except to the extent such actions or omissions are in breach of this Certificate of Incorporation.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w:t>
      </w:r>
    </w:p>
    <w:p>
      <w:pPr>
        <w:spacing w:after="0" w:line="20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(the “</w:t>
      </w:r>
      <w:r>
        <w:rPr>
          <w:rFonts w:ascii="Arial" w:cs="Arial" w:eastAsia="Arial" w:hAnsi="Arial"/>
          <w:sz w:val="16"/>
          <w:szCs w:val="16"/>
          <w:b w:val="1"/>
          <w:bCs w:val="1"/>
          <w:color w:val="auto"/>
        </w:rPr>
        <w:t>Court of</w:t>
      </w:r>
      <w:r>
        <w:rPr>
          <w:rFonts w:ascii="Arial" w:cs="Arial" w:eastAsia="Arial" w:hAnsi="Arial"/>
          <w:sz w:val="16"/>
          <w:szCs w:val="16"/>
          <w:color w:val="auto"/>
        </w:rPr>
        <w:t xml:space="preserve"> </w:t>
      </w:r>
      <w:r>
        <w:rPr>
          <w:rFonts w:ascii="Arial" w:cs="Arial" w:eastAsia="Arial" w:hAnsi="Arial"/>
          <w:sz w:val="16"/>
          <w:szCs w:val="16"/>
          <w:b w:val="1"/>
          <w:bCs w:val="1"/>
          <w:color w:val="auto"/>
        </w:rPr>
        <w:t>Chancery</w:t>
      </w:r>
      <w:r>
        <w:rPr>
          <w:rFonts w:ascii="Arial" w:cs="Arial" w:eastAsia="Arial" w:hAnsi="Arial"/>
          <w:sz w:val="16"/>
          <w:szCs w:val="16"/>
          <w:color w:val="auto"/>
        </w:rPr>
        <w:t>”) shall be the sole and exclusive forum for any stockholder (including a beneficial owner) to bring (i) any derivative action or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brought on behalf of the Corporation, (ii) any action asserting a claim of breach of a fiduciary duty owed by any director, officer, other employee or agent of the Corporation to the Corporation or the Corporation’s stockholders, (iii) any action asserting a claim against the Corporation, any director or the Corporation’s officers or employees arising pursuant to any provision of Delaware Law or this Amended and Restated Certificate of Incorporation or the Bylaws, or (iv) any action asserting a claim against the Corporation, any Director or the Corporation’s officers or employees governed by the internal affairs doctrine, except, as to each of clauses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any interest in shares of capital stock of the Corporation shall be deemed to have notice of and consented to the provisions of this Article 11.</w:t>
      </w:r>
    </w:p>
    <w:p>
      <w:pPr>
        <w:spacing w:after="0" w:line="16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The foregoing exclusive forum provision of this Article 11 shall not apply to any action brought to enforce any liability or duty created by the Securities Exchange Act of 1934, as amended, the Securities Act of 1933, as amended, or any other claim for which the federal courts have exclusive jurisdiction.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expressly elects not to be governed by Section 203 of the Delaware Law.</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51" w:name="page252"/>
    <w:bookmarkEnd w:id="25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13</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Certificate of Incorporation, the following terms have the following meanings:</w:t>
      </w:r>
    </w:p>
    <w:p>
      <w:pPr>
        <w:spacing w:after="0" w:line="113"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For the purpose of this definition, the term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1"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40" w:top="270" w:right="579" w:bottom="1440" w:gutter="0" w:footer="0" w:header="0"/>
        </w:sectPr>
      </w:pPr>
    </w:p>
    <w:bookmarkStart w:id="252" w:name="page253"/>
    <w:bookmarkEnd w:id="25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Amended and Restated Certificate of Incorporation this _____ day of 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5461000</wp:posOffset>
            </wp:positionH>
            <wp:positionV relativeFrom="paragraph">
              <wp:posOffset>245745</wp:posOffset>
            </wp:positionV>
            <wp:extent cx="15347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900"/>
          </w:cols>
          <w:pgMar w:left="440" w:top="274" w:right="55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29" w:lineRule="exact"/>
        <w:rPr>
          <w:sz w:val="20"/>
          <w:szCs w:val="20"/>
          <w:color w:val="auto"/>
        </w:rPr>
      </w:pPr>
    </w:p>
    <w:p>
      <w:pPr>
        <w:ind w:left="4580"/>
        <w:spacing w:after="0"/>
        <w:tabs>
          <w:tab w:leader="none" w:pos="63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 * *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07"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Reynolds Consumer Products Inc.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in the City of Wilmington, State of Delaware.</w:t>
      </w:r>
    </w:p>
    <w:p>
      <w:pPr>
        <w:spacing w:after="0" w:line="166"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166"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Books.</w:t>
      </w:r>
      <w:r>
        <w:rPr>
          <w:rFonts w:ascii="Arial" w:cs="Arial" w:eastAsia="Arial" w:hAnsi="Arial"/>
          <w:sz w:val="18"/>
          <w:szCs w:val="18"/>
          <w:color w:val="auto"/>
        </w:rPr>
        <w:t xml:space="preserve"> The books of the Corporation may be kept within or without the State of Delaware as the board of directors (the “</w:t>
      </w:r>
      <w:r>
        <w:rPr>
          <w:rFonts w:ascii="Arial" w:cs="Arial" w:eastAsia="Arial" w:hAnsi="Arial"/>
          <w:sz w:val="18"/>
          <w:szCs w:val="18"/>
          <w:b w:val="1"/>
          <w:bCs w:val="1"/>
          <w:color w:val="auto"/>
        </w:rPr>
        <w:t>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w:t>
      </w:r>
      <w:r>
        <w:rPr>
          <w:rFonts w:ascii="Arial" w:cs="Arial" w:eastAsia="Arial" w:hAnsi="Arial"/>
          <w:sz w:val="18"/>
          <w:szCs w:val="18"/>
          <w:color w:val="auto"/>
        </w:rPr>
        <w:t>”) may from time to time determine or the business of the Corporation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Time and Place of Meetings.</w:t>
      </w:r>
      <w:r>
        <w:rPr>
          <w:rFonts w:ascii="Arial" w:cs="Arial" w:eastAsia="Arial" w:hAnsi="Arial"/>
          <w:sz w:val="18"/>
          <w:szCs w:val="18"/>
          <w:color w:val="auto"/>
        </w:rPr>
        <w:t xml:space="preserve"> All meetings of stockholders shall be held at such place, either within or without the State of Delaware, on such date and at such time as may be determined from time to time by the Board of Directors (or the chairman of the Board of Directors (the “</w:t>
      </w:r>
      <w:r>
        <w:rPr>
          <w:rFonts w:ascii="Arial" w:cs="Arial" w:eastAsia="Arial" w:hAnsi="Arial"/>
          <w:sz w:val="18"/>
          <w:szCs w:val="18"/>
          <w:b w:val="1"/>
          <w:bCs w:val="1"/>
          <w:color w:val="auto"/>
        </w:rPr>
        <w:t>Chairman</w:t>
      </w:r>
      <w:r>
        <w:rPr>
          <w:rFonts w:ascii="Arial" w:cs="Arial" w:eastAsia="Arial" w:hAnsi="Arial"/>
          <w:sz w:val="18"/>
          <w:szCs w:val="18"/>
          <w:color w:val="auto"/>
        </w:rPr>
        <w:t>”) in the absence of a designation by the Board of Directors).</w:t>
      </w:r>
    </w:p>
    <w:p>
      <w:pPr>
        <w:sectPr>
          <w:pgSz w:w="11900" w:h="16838" w:orient="portrait"/>
          <w:cols w:equalWidth="0" w:num="1">
            <w:col w:w="11020"/>
          </w:cols>
          <w:pgMar w:left="440" w:top="121" w:right="439" w:bottom="1440" w:gutter="0" w:footer="0" w:header="0"/>
        </w:sectPr>
      </w:pP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Section 2.02</w:t>
      </w:r>
      <w:r>
        <w:rPr>
          <w:rFonts w:ascii="Arial" w:cs="Arial" w:eastAsia="Arial" w:hAnsi="Arial"/>
          <w:sz w:val="17"/>
          <w:szCs w:val="17"/>
          <w:i w:val="1"/>
          <w:iCs w:val="1"/>
          <w:color w:val="auto"/>
        </w:rPr>
        <w:t>. Annual Meetings.</w:t>
      </w:r>
      <w:r>
        <w:rPr>
          <w:rFonts w:ascii="Arial" w:cs="Arial" w:eastAsia="Arial" w:hAnsi="Arial"/>
          <w:sz w:val="17"/>
          <w:szCs w:val="17"/>
          <w:color w:val="auto"/>
        </w:rPr>
        <w:t xml:space="preserve"> An annual meeting of stockholders, commencing with the year [ and to transact such other business as may properly be brought before the meeting.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shall be held for the election of directors</w:t>
      </w:r>
    </w:p>
    <w:p>
      <w:pPr>
        <w:spacing w:after="0" w:line="464" w:lineRule="exact"/>
        <w:rPr>
          <w:sz w:val="20"/>
          <w:szCs w:val="20"/>
          <w:color w:val="auto"/>
        </w:rPr>
      </w:pPr>
    </w:p>
    <w:p>
      <w:pPr>
        <w:sectPr>
          <w:pgSz w:w="11900" w:h="16838" w:orient="portrait"/>
          <w:cols w:equalWidth="0" w:num="2">
            <w:col w:w="7380" w:space="360"/>
            <w:col w:w="3280"/>
          </w:cols>
          <w:pgMar w:left="440" w:top="121" w:right="4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Special Meetings.</w:t>
      </w:r>
      <w:r>
        <w:rPr>
          <w:rFonts w:ascii="Arial" w:cs="Arial" w:eastAsia="Arial" w:hAnsi="Arial"/>
          <w:sz w:val="16"/>
          <w:szCs w:val="16"/>
          <w:color w:val="auto"/>
        </w:rPr>
        <w:t xml:space="preserve"> (a) Except as otherwise provided in the amended and restated certificate of incorporation filed with the Secretary</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of State of the State of Delaware on [ ] (as the same may be further amended, restated, amended and restated or otherwise modified from time to time,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special meetings of the stockholders may be called only by (a) the Chief Executive Officer of the Corporation or the Chairman, (b) the Board of Directors acting pursuant to a resolution adopted by a majority of the Board of Directors, or (c) until the first date on which Packaging Finance Limited (“</w:t>
      </w:r>
      <w:r>
        <w:rPr>
          <w:rFonts w:ascii="Arial" w:cs="Arial" w:eastAsia="Arial" w:hAnsi="Arial"/>
          <w:sz w:val="17"/>
          <w:szCs w:val="17"/>
          <w:b w:val="1"/>
          <w:bCs w:val="1"/>
          <w:color w:val="auto"/>
        </w:rPr>
        <w:t>PFL</w:t>
      </w:r>
      <w:r>
        <w:rPr>
          <w:rFonts w:ascii="Arial" w:cs="Arial" w:eastAsia="Arial" w:hAnsi="Arial"/>
          <w:sz w:val="17"/>
          <w:szCs w:val="17"/>
          <w:color w:val="auto"/>
        </w:rPr>
        <w:t>”) and all other entities beneficially owned by Mr. Graeme Richard Hart or his estate, heirs, executor, administrator or other personal representative, or any of his immediate family members or any</w:t>
      </w:r>
    </w:p>
    <w:p>
      <w:pPr>
        <w:sectPr>
          <w:pgSz w:w="11900" w:h="16838" w:orient="portrait"/>
          <w:cols w:equalWidth="0" w:num="1">
            <w:col w:w="11020"/>
          </w:cols>
          <w:pgMar w:left="440" w:top="121" w:right="439" w:bottom="1440" w:gutter="0" w:footer="0" w:header="0"/>
          <w:type w:val="continuous"/>
        </w:sectPr>
      </w:pPr>
    </w:p>
    <w:bookmarkStart w:id="254" w:name="page255"/>
    <w:bookmarkEnd w:id="254"/>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 fund or other entity which is controlled by his estate, heirs, any of his immediate family members or any of their respective affiliates (PFL and all of the foregoing, collectively, the “</w:t>
      </w:r>
      <w:r>
        <w:rPr>
          <w:rFonts w:ascii="Arial" w:cs="Arial" w:eastAsia="Arial" w:hAnsi="Arial"/>
          <w:sz w:val="16"/>
          <w:szCs w:val="16"/>
          <w:b w:val="1"/>
          <w:bCs w:val="1"/>
          <w:color w:val="auto"/>
        </w:rPr>
        <w:t>Hart Entities</w:t>
      </w:r>
      <w:r>
        <w:rPr>
          <w:rFonts w:ascii="Arial" w:cs="Arial" w:eastAsia="Arial" w:hAnsi="Arial"/>
          <w:sz w:val="16"/>
          <w:szCs w:val="16"/>
          <w:color w:val="auto"/>
        </w:rPr>
        <w:t>”) and any other transferee of all of the outstanding shares of common stock held at any time by the Hart Entities which are transferred other than pursuant to a widely distributed public sale (“</w:t>
      </w:r>
      <w:r>
        <w:rPr>
          <w:rFonts w:ascii="Arial" w:cs="Arial" w:eastAsia="Arial" w:hAnsi="Arial"/>
          <w:sz w:val="16"/>
          <w:szCs w:val="16"/>
          <w:b w:val="1"/>
          <w:bCs w:val="1"/>
          <w:color w:val="auto"/>
        </w:rPr>
        <w:t>Permitted Assigns</w:t>
      </w:r>
      <w:r>
        <w:rPr>
          <w:rFonts w:ascii="Arial" w:cs="Arial" w:eastAsia="Arial" w:hAnsi="Arial"/>
          <w:sz w:val="16"/>
          <w:szCs w:val="16"/>
          <w:color w:val="auto"/>
        </w:rPr>
        <w:t>”) no longer beneficially own more than 50% of the outstanding shares of common stock of the Corporation, by the Secretary of the Corporation at the request of the holders of a majority of the outstanding shares of common stock of the Corporation. Such request shall state the purpose or purposes of the proposed meeting.</w:t>
      </w:r>
    </w:p>
    <w:p>
      <w:pPr>
        <w:spacing w:after="0" w:line="50" w:lineRule="exact"/>
        <w:rPr>
          <w:sz w:val="20"/>
          <w:szCs w:val="20"/>
          <w:color w:val="auto"/>
        </w:rPr>
      </w:pPr>
    </w:p>
    <w:p>
      <w:pPr>
        <w:ind w:right="280" w:firstLine="444"/>
        <w:spacing w:after="0" w:line="277" w:lineRule="auto"/>
        <w:tabs>
          <w:tab w:leader="none" w:pos="69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Business conducted at a special meeting shall be limited to the matters described in the applicable request for such special meeting and any other matters as the Board of Directors shall determine.</w:t>
      </w:r>
    </w:p>
    <w:p>
      <w:pPr>
        <w:spacing w:after="0" w:line="170"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Section 2.04</w:t>
      </w:r>
      <w:r>
        <w:rPr>
          <w:rFonts w:ascii="Arial" w:cs="Arial" w:eastAsia="Arial" w:hAnsi="Arial"/>
          <w:sz w:val="16"/>
          <w:szCs w:val="16"/>
          <w:i w:val="1"/>
          <w:iCs w:val="1"/>
          <w:color w:val="auto"/>
        </w:rPr>
        <w:t>. Notice of Meetings and Adjourned Meetings; Waivers of Notice.</w:t>
      </w:r>
      <w:r>
        <w:rPr>
          <w:rFonts w:ascii="Arial" w:cs="Arial" w:eastAsia="Arial" w:hAnsi="Arial"/>
          <w:sz w:val="16"/>
          <w:szCs w:val="16"/>
          <w:color w:val="auto"/>
        </w:rPr>
        <w:t xml:space="preserve"> (a)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the General Corporation Law of the State of Delaware as the same exists or may hereafter be amended (“</w:t>
      </w:r>
      <w:r>
        <w:rPr>
          <w:rFonts w:ascii="Arial" w:cs="Arial" w:eastAsia="Arial" w:hAnsi="Arial"/>
          <w:sz w:val="16"/>
          <w:szCs w:val="16"/>
          <w:b w:val="1"/>
          <w:bCs w:val="1"/>
          <w:color w:val="auto"/>
        </w:rPr>
        <w:t>Delaware Law</w:t>
      </w:r>
      <w:r>
        <w:rPr>
          <w:rFonts w:ascii="Arial" w:cs="Arial" w:eastAsia="Arial" w:hAnsi="Arial"/>
          <w:sz w:val="16"/>
          <w:szCs w:val="16"/>
          <w:color w:val="auto"/>
        </w:rPr>
        <w:t>”), such notice shall be given not less than 10 nor more than 60 days before the date of the meeting to each stockholder of record entitled to vote at such meeting. If mailed, such notice shall be deemed to be given when deposited in the United States mail, postage prepaid, directed to the stockholder at such stockholder’s address as it appears on the records of the Corporation. The Board of Directors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 If mailed, such notice shall be deemed to be given when deposited in the United States mail, postage prepaid, directed to the stockholder at such stockholder’s address as it appears on the records of the Corporation.</w:t>
      </w:r>
    </w:p>
    <w:p>
      <w:pPr>
        <w:spacing w:after="0" w:line="64" w:lineRule="exact"/>
        <w:rPr>
          <w:sz w:val="20"/>
          <w:szCs w:val="20"/>
          <w:color w:val="auto"/>
        </w:rPr>
      </w:pPr>
    </w:p>
    <w:p>
      <w:pPr>
        <w:ind w:firstLine="444"/>
        <w:spacing w:after="0" w:line="257" w:lineRule="auto"/>
        <w:tabs>
          <w:tab w:leader="none" w:pos="69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p>
      <w:pPr>
        <w:spacing w:after="0" w:line="18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Quorum.</w:t>
      </w:r>
      <w:r>
        <w:rPr>
          <w:rFonts w:ascii="Arial" w:cs="Arial" w:eastAsia="Arial" w:hAnsi="Arial"/>
          <w:sz w:val="18"/>
          <w:szCs w:val="18"/>
          <w:color w:val="auto"/>
        </w:rPr>
        <w:t xml:space="preserve"> Unless otherwise provided under the Certificate of Incorporation or these Bylaws and subject to Delaware Law, the presence, in person or by proxy, of the holders of a majority of the total voting power of all outstanding securities of the Corporation generally entitled to vote at a meeting of stockholders shall constitute a quorum for the transaction of</w:t>
      </w:r>
    </w:p>
    <w:p>
      <w:pPr>
        <w:sectPr>
          <w:pgSz w:w="11900" w:h="16838" w:orient="portrait"/>
          <w:cols w:equalWidth="0" w:num="1">
            <w:col w:w="11000"/>
          </w:cols>
          <w:pgMar w:left="440" w:top="274" w:right="459" w:bottom="1440" w:gutter="0" w:footer="0" w:header="0"/>
        </w:sectPr>
      </w:pPr>
    </w:p>
    <w:bookmarkStart w:id="255" w:name="page256"/>
    <w:bookmarkEnd w:id="255"/>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except that when specified business is to be voted on by a class or series of securities voting as a class, the holders of a majority in voting power of the outstanding securities of such class or series shall constitute a quorum of such class or series for the transaction of business. If, however, such quorum shall not be present or represented at any meeting of the stockholders, the chairman of the meeting or a majority in voting interest of the stockholders present in person or represented by proxy may adjourn the meeting without notice other than announcement at the meeting, until a quorum shall be present or represented. At such adjourned meeting at which a quorum shall be present or represented any business may be transacted that might have been transacted at the meeting as originally notified.</w:t>
      </w:r>
    </w:p>
    <w:p>
      <w:pPr>
        <w:spacing w:after="0" w:line="17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Section 2.06</w:t>
      </w:r>
      <w:r>
        <w:rPr>
          <w:rFonts w:ascii="Arial" w:cs="Arial" w:eastAsia="Arial" w:hAnsi="Arial"/>
          <w:sz w:val="17"/>
          <w:szCs w:val="17"/>
          <w:i w:val="1"/>
          <w:iCs w:val="1"/>
          <w:color w:val="auto"/>
        </w:rPr>
        <w:t>. Voting.</w:t>
      </w:r>
      <w:r>
        <w:rPr>
          <w:rFonts w:ascii="Arial" w:cs="Arial" w:eastAsia="Arial" w:hAnsi="Arial"/>
          <w:sz w:val="17"/>
          <w:szCs w:val="17"/>
          <w:color w:val="auto"/>
        </w:rPr>
        <w:t xml:space="preserve"> (a) Unless otherwise provided in the Certificate of Incorporation and subject to Delaware Law, each stockholder shall be entitled to one vote for each outstanding share of capital stock of the Corporation held by such stockholder. Any share of capital stock of the Corporation held by the Corporation shall have no voting rights. Except as otherwise required by law, the Certificate of Incorporation or these Bylaws, in all matters other than the election of directors, the affirmative vote of the holders of a majority of the votes cast at the meeting on the subject matter shall be the act of the stockholders. Abstentions and broker non-votes shall not be counted as votes cast. Subject to the rights of the holders of any class or series of preferred stock to elect additional directors under specific circumstances, as may be set forth in the certificate of designations for such class or series of preferred stock, directors shall be elected by a plurality of the votes of the shares of capital stock of the Corporation present in person or represented by proxy at the meeting and entitled to vote on the election of directors.</w:t>
      </w:r>
    </w:p>
    <w:p>
      <w:pPr>
        <w:spacing w:after="0" w:line="71" w:lineRule="exact"/>
        <w:rPr>
          <w:sz w:val="20"/>
          <w:szCs w:val="20"/>
          <w:color w:val="auto"/>
        </w:rPr>
      </w:pPr>
    </w:p>
    <w:p>
      <w:pPr>
        <w:jc w:val="both"/>
        <w:ind w:right="60" w:firstLine="444"/>
        <w:spacing w:after="0" w:line="286" w:lineRule="auto"/>
        <w:tabs>
          <w:tab w:leader="none" w:pos="69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Each stockholder entitled to vote at a meeting of stockholders or to express consent or dissent to a corporate action in writing without a meeting may authorize another person or persons to act for such stockholder by proxy, appointed by an instrument in writing, subscribed by such stockholder or by his attorney thereunto authorized, or by proxy sent by cable, telegram or by any means of electronic communication permitted by law, which results in a writing from such stockholder or by his attorney, and delivered to the secretary of the meeting. No proxy shall be voted after three</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years from its date, unless said proxy provides for a longer period.</w:t>
      </w:r>
    </w:p>
    <w:p>
      <w:pPr>
        <w:spacing w:after="0" w:line="211"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Action by Consent.</w:t>
      </w:r>
      <w:r>
        <w:rPr>
          <w:rFonts w:ascii="Arial" w:cs="Arial" w:eastAsia="Arial" w:hAnsi="Arial"/>
          <w:sz w:val="17"/>
          <w:szCs w:val="17"/>
          <w:color w:val="auto"/>
        </w:rPr>
        <w:t xml:space="preserve"> 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(a) until the first date on which the Hart Entities or Permitted Assigns no longer beneficially own more than 50% of the outstanding shares of common stock of the Corporation, by written consent of stockholders without a meeting and (b) from and after the first date on which the Hart Entities or Permitted Assigns no longer beneficially own more than 50% of the outstanding shares of common stock of the Corporation, only upon the vote of stockholders at an annual or special meeting duly noticed and called in accordance with Delaware Law and may not be taken by written consent of stockholders without a meeting.</w:t>
      </w:r>
    </w:p>
    <w:p>
      <w:pPr>
        <w:spacing w:after="0" w:line="178"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Section 2.08</w:t>
      </w:r>
      <w:r>
        <w:rPr>
          <w:rFonts w:ascii="Arial" w:cs="Arial" w:eastAsia="Arial" w:hAnsi="Arial"/>
          <w:sz w:val="17"/>
          <w:szCs w:val="17"/>
          <w:i w:val="1"/>
          <w:iCs w:val="1"/>
          <w:color w:val="auto"/>
        </w:rPr>
        <w:t>. Organization.</w:t>
      </w:r>
      <w:r>
        <w:rPr>
          <w:rFonts w:ascii="Arial" w:cs="Arial" w:eastAsia="Arial" w:hAnsi="Arial"/>
          <w:sz w:val="17"/>
          <w:szCs w:val="17"/>
          <w:color w:val="auto"/>
        </w:rPr>
        <w:t xml:space="preserve"> At each meeting of stockholders, the Chairman of the Board of Directors, if one shall have been elected, or in the Chairman’s absence or if one shall not have been elected, the director designated by the vote of the majority of the directors present at such meeting, shall act as chairman of the meeting. The Secretary (or in the Secretary’s absence or inability to act, the person whom the chairman of the meeting shall appoint secretary of the meeting) shall act as secretary of the meeting and keep the minutes thereof.</w:t>
      </w:r>
    </w:p>
    <w:p>
      <w:pPr>
        <w:sectPr>
          <w:pgSz w:w="11900" w:h="16838" w:orient="portrait"/>
          <w:cols w:equalWidth="0" w:num="1">
            <w:col w:w="11020"/>
          </w:cols>
          <w:pgMar w:left="440" w:top="274" w:right="439" w:bottom="1440" w:gutter="0" w:footer="0" w:header="0"/>
        </w:sectPr>
      </w:pPr>
    </w:p>
    <w:bookmarkStart w:id="256" w:name="page257"/>
    <w:bookmarkEnd w:id="25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2.09</w:t>
      </w:r>
      <w:r>
        <w:rPr>
          <w:rFonts w:ascii="Arial" w:cs="Arial" w:eastAsia="Arial" w:hAnsi="Arial"/>
          <w:sz w:val="16"/>
          <w:szCs w:val="16"/>
          <w:i w:val="1"/>
          <w:iCs w:val="1"/>
          <w:color w:val="auto"/>
        </w:rPr>
        <w:t>. Order of Business.</w:t>
      </w:r>
      <w:r>
        <w:rPr>
          <w:rFonts w:ascii="Arial" w:cs="Arial" w:eastAsia="Arial" w:hAnsi="Arial"/>
          <w:sz w:val="16"/>
          <w:szCs w:val="16"/>
          <w:color w:val="auto"/>
        </w:rPr>
        <w:t xml:space="preserve"> The order of business at all meetings of stockholders shall be as determined by the chairman of the meeting.</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Nomination of Directors and Proposal of Other Business.</w:t>
      </w:r>
    </w:p>
    <w:p>
      <w:pPr>
        <w:spacing w:after="0" w:line="117" w:lineRule="exact"/>
        <w:rPr>
          <w:sz w:val="20"/>
          <w:szCs w:val="20"/>
          <w:color w:val="auto"/>
        </w:rPr>
      </w:pPr>
    </w:p>
    <w:p>
      <w:pPr>
        <w:jc w:val="both"/>
        <w:ind w:right="340" w:firstLine="444"/>
        <w:spacing w:after="0" w:line="286" w:lineRule="auto"/>
        <w:tabs>
          <w:tab w:leader="none" w:pos="685"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(i) Nominations of persons for election to the Board of Directors or the proposal of other business to be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transacted by the stockholders at an annual meeting of stockholders may be made only (A) pursuant to the Corporation’s notice of meeting (or any supplement thereto), (B) by or at the direction of the Board of Directors or any committee thereof or (C) as may be provided in the certificate of designations for any class or series of preferred stock or (D) subject to the then-applicable terms of the Stockholders’ Agreement, among the</w:t>
      </w:r>
    </w:p>
    <w:p>
      <w:pPr>
        <w:spacing w:after="0" w:line="1"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Corporation and certain of its shareholders, dated as of [ ] (the “</w:t>
      </w:r>
      <w:r>
        <w:rPr>
          <w:rFonts w:ascii="Arial" w:cs="Arial" w:eastAsia="Arial" w:hAnsi="Arial"/>
          <w:sz w:val="18"/>
          <w:szCs w:val="18"/>
          <w:b w:val="1"/>
          <w:bCs w:val="1"/>
          <w:color w:val="auto"/>
        </w:rPr>
        <w:t>Stockholders’ Agreement</w:t>
      </w:r>
      <w:r>
        <w:rPr>
          <w:rFonts w:ascii="Arial" w:cs="Arial" w:eastAsia="Arial" w:hAnsi="Arial"/>
          <w:sz w:val="18"/>
          <w:szCs w:val="18"/>
          <w:color w:val="auto"/>
        </w:rPr>
        <w:t>”), by any stockholder of the Corporation who is a stockholder of record at the time of giving of notice provided for in paragraph (ii) of this Section 2.10(a) and at the time of the annual meeting, who shall be entitled to vote at the meeting and who complies with the procedures set forth in this Section 2.10(a), and, except as otherwise required by law, any failure to comply with these procedures shall result in the nullification of such nomination or proposal.</w:t>
      </w:r>
    </w:p>
    <w:p>
      <w:pPr>
        <w:spacing w:after="0" w:line="81" w:lineRule="exact"/>
        <w:rPr>
          <w:rFonts w:ascii="Arial" w:cs="Arial" w:eastAsia="Arial" w:hAnsi="Arial"/>
          <w:sz w:val="16"/>
          <w:szCs w:val="16"/>
          <w:color w:val="auto"/>
        </w:rPr>
      </w:pPr>
    </w:p>
    <w:p>
      <w:pPr>
        <w:ind w:left="1140" w:hanging="272"/>
        <w:spacing w:after="0"/>
        <w:tabs>
          <w:tab w:leader="none" w:pos="114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of stockholders by a stockholder pursuant to clause</w:t>
      </w:r>
    </w:p>
    <w:p>
      <w:pPr>
        <w:spacing w:after="0" w:line="46" w:lineRule="exact"/>
        <w:rPr>
          <w:rFonts w:ascii="Arial" w:cs="Arial" w:eastAsia="Arial" w:hAnsi="Arial"/>
          <w:sz w:val="16"/>
          <w:szCs w:val="16"/>
          <w:color w:val="auto"/>
        </w:rPr>
      </w:pPr>
    </w:p>
    <w:p>
      <w:pPr>
        <w:ind w:left="4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(D) of paragraph (i) of this Section 2.10(a),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or mailed and received by, the Secretary of the Corporation at the principal executive offices of the Corporation not less than 120 days nor more than 180 days prior to the first anniversary of the preceding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such anniversary date or delayed more than 60 days after such anniversary date then to be timely such notice must be received by the Corporation no earlier than 120 days prior to such annual meeting and no later than the later of 70 days prior to the date of the meeting or the 10</w:t>
      </w:r>
      <w:r>
        <w:rPr>
          <w:rFonts w:ascii="Arial" w:cs="Arial" w:eastAsia="Arial" w:hAnsi="Arial"/>
          <w:sz w:val="13"/>
          <w:szCs w:val="13"/>
          <w:color w:val="auto"/>
        </w:rPr>
        <w:t>th</w:t>
      </w:r>
      <w:r>
        <w:rPr>
          <w:rFonts w:ascii="Arial" w:cs="Arial" w:eastAsia="Arial" w:hAnsi="Arial"/>
          <w:sz w:val="16"/>
          <w:szCs w:val="16"/>
          <w:color w:val="auto"/>
        </w:rPr>
        <w:t xml:space="preserve"> day</w:t>
      </w:r>
    </w:p>
    <w:p>
      <w:pPr>
        <w:spacing w:after="0" w:line="4"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following the day on which public announcement of the date of the meeting was first made by the Corporation, provided, further, that, solely for</w:t>
      </w:r>
    </w:p>
    <w:p>
      <w:pPr>
        <w:spacing w:after="0" w:line="206"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purposes of the notice requirements under this Section 2.10(a), with respect to the annual meeting of stockholders of the Company for [ ], the anniversary of the preceding year’s annual meeting of stockholders shall be deemed to be [ ]. In no event shall the adjournment or postponement of any meeting, or any announcement thereof, commence a new time period (or extend any time period) for the giving of a stockholder’s notice as described above.</w:t>
      </w:r>
    </w:p>
    <w:p>
      <w:pPr>
        <w:sectPr>
          <w:pgSz w:w="11900" w:h="16838" w:orient="portrait"/>
          <w:cols w:equalWidth="0" w:num="1">
            <w:col w:w="10940"/>
          </w:cols>
          <w:pgMar w:left="440" w:top="274" w:right="519" w:bottom="1440" w:gutter="0" w:footer="0" w:header="0"/>
        </w:sectPr>
      </w:pPr>
    </w:p>
    <w:bookmarkStart w:id="257" w:name="page258"/>
    <w:bookmarkEnd w:id="257"/>
    <w:p>
      <w:pPr>
        <w:ind w:left="-428" w:firstLine="428"/>
        <w:spacing w:after="0" w:line="268" w:lineRule="auto"/>
        <w:tabs>
          <w:tab w:leader="none" w:pos="310" w:val="left"/>
        </w:tabs>
        <w:numPr>
          <w:ilvl w:val="0"/>
          <w:numId w:val="1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stockholder’s notice to the Secretary shall set forth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Securities Exchange Act of 1934 (as amended (together with the rules and regulations promulgated thereunder), the “</w:t>
      </w:r>
      <w:r>
        <w:rPr>
          <w:rFonts w:ascii="Arial" w:cs="Arial" w:eastAsia="Arial" w:hAnsi="Arial"/>
          <w:sz w:val="17"/>
          <w:szCs w:val="17"/>
          <w:b w:val="1"/>
          <w:bCs w:val="1"/>
          <w:color w:val="auto"/>
        </w:rPr>
        <w:t>Exchange Act</w:t>
      </w:r>
      <w:r>
        <w:rPr>
          <w:rFonts w:ascii="Arial" w:cs="Arial" w:eastAsia="Arial" w:hAnsi="Arial"/>
          <w:sz w:val="17"/>
          <w:szCs w:val="17"/>
          <w:color w:val="auto"/>
        </w:rPr>
        <w:t>”)) including such person’s written consent to being named in the proxy statement as a nominee and to serving as a director if elected; and (2)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 (a “</w:t>
      </w:r>
      <w:r>
        <w:rPr>
          <w:rFonts w:ascii="Arial" w:cs="Arial" w:eastAsia="Arial" w:hAnsi="Arial"/>
          <w:sz w:val="17"/>
          <w:szCs w:val="17"/>
          <w:b w:val="1"/>
          <w:bCs w:val="1"/>
          <w:color w:val="auto"/>
        </w:rPr>
        <w:t>Third-Party Compensation Arrangement</w:t>
      </w:r>
      <w:r>
        <w:rPr>
          <w:rFonts w:ascii="Arial" w:cs="Arial" w:eastAsia="Arial" w:hAnsi="Arial"/>
          <w:sz w:val="17"/>
          <w:szCs w:val="17"/>
          <w:color w:val="auto"/>
        </w:rPr>
        <w:t>”),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79" w:lineRule="exact"/>
        <w:rPr>
          <w:rFonts w:ascii="Arial" w:cs="Arial" w:eastAsia="Arial" w:hAnsi="Arial"/>
          <w:sz w:val="17"/>
          <w:szCs w:val="17"/>
          <w:color w:val="auto"/>
        </w:rPr>
      </w:pPr>
    </w:p>
    <w:p>
      <w:pPr>
        <w:ind w:left="792" w:hanging="263"/>
        <w:spacing w:after="0"/>
        <w:tabs>
          <w:tab w:leader="none" w:pos="79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name and address of such stockholder (as they appear on the Corporation’s books) and any such beneficial owner;</w:t>
      </w:r>
    </w:p>
    <w:p>
      <w:pPr>
        <w:spacing w:after="0" w:line="128" w:lineRule="exact"/>
        <w:rPr>
          <w:rFonts w:ascii="Arial" w:cs="Arial" w:eastAsia="Arial" w:hAnsi="Arial"/>
          <w:sz w:val="17"/>
          <w:szCs w:val="17"/>
          <w:color w:val="auto"/>
        </w:rPr>
      </w:pPr>
    </w:p>
    <w:p>
      <w:pPr>
        <w:ind w:left="132" w:right="120" w:firstLine="397"/>
        <w:spacing w:after="0" w:line="277" w:lineRule="auto"/>
        <w:tabs>
          <w:tab w:leader="none" w:pos="7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 each class or series, the number of shares of capital stock of the Corporation that are held of record or are beneficially owned by such stockholder and by any such beneficial owner;</w:t>
      </w:r>
    </w:p>
    <w:p>
      <w:pPr>
        <w:spacing w:after="0" w:line="62" w:lineRule="exact"/>
        <w:rPr>
          <w:rFonts w:ascii="Arial" w:cs="Arial" w:eastAsia="Arial" w:hAnsi="Arial"/>
          <w:sz w:val="18"/>
          <w:szCs w:val="18"/>
          <w:color w:val="auto"/>
        </w:rPr>
      </w:pPr>
    </w:p>
    <w:p>
      <w:pPr>
        <w:jc w:val="both"/>
        <w:ind w:left="132" w:right="500" w:firstLine="397"/>
        <w:spacing w:after="0" w:line="264" w:lineRule="auto"/>
        <w:tabs>
          <w:tab w:leader="none" w:pos="7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73" w:lineRule="exact"/>
        <w:rPr>
          <w:rFonts w:ascii="Arial" w:cs="Arial" w:eastAsia="Arial" w:hAnsi="Arial"/>
          <w:sz w:val="18"/>
          <w:szCs w:val="18"/>
          <w:color w:val="auto"/>
        </w:rPr>
      </w:pPr>
    </w:p>
    <w:p>
      <w:pPr>
        <w:ind w:left="132" w:right="300" w:firstLine="397"/>
        <w:spacing w:after="0" w:line="255" w:lineRule="auto"/>
        <w:tabs>
          <w:tab w:leader="none" w:pos="7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with respect to the Corporation’s securities;</w:t>
      </w:r>
    </w:p>
    <w:p>
      <w:pPr>
        <w:spacing w:after="0" w:line="85" w:lineRule="exact"/>
        <w:rPr>
          <w:rFonts w:ascii="Arial" w:cs="Arial" w:eastAsia="Arial" w:hAnsi="Arial"/>
          <w:sz w:val="18"/>
          <w:szCs w:val="18"/>
          <w:color w:val="auto"/>
        </w:rPr>
      </w:pPr>
    </w:p>
    <w:p>
      <w:pPr>
        <w:ind w:left="132" w:right="100" w:firstLine="397"/>
        <w:spacing w:after="0" w:line="308" w:lineRule="auto"/>
        <w:tabs>
          <w:tab w:leader="none" w:pos="78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stock of the Corporation entitled to vote at such meeting and intends to appear in person or by proxy at the meeting to bring such nomination or other business before the meeting;</w:t>
      </w:r>
    </w:p>
    <w:p>
      <w:pPr>
        <w:sectPr>
          <w:pgSz w:w="11900" w:h="16838" w:orient="portrait"/>
          <w:cols w:equalWidth="0" w:num="1">
            <w:col w:w="10152"/>
          </w:cols>
          <w:pgMar w:left="1308" w:top="274" w:right="439" w:bottom="1440" w:gutter="0" w:footer="0" w:header="0"/>
        </w:sectPr>
      </w:pPr>
    </w:p>
    <w:bookmarkStart w:id="258" w:name="page259"/>
    <w:bookmarkEnd w:id="258"/>
    <w:p>
      <w:pPr>
        <w:ind w:left="1220" w:hanging="263"/>
        <w:spacing w:after="0"/>
        <w:tabs>
          <w:tab w:leader="none" w:pos="12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representation as to whether such stockholder or any such beneficial owner intends or is part of a group that intends to</w:t>
      </w:r>
    </w:p>
    <w:p>
      <w:pPr>
        <w:spacing w:after="0" w:line="34" w:lineRule="exact"/>
        <w:rPr>
          <w:rFonts w:ascii="Arial" w:cs="Arial" w:eastAsia="Arial" w:hAnsi="Arial"/>
          <w:sz w:val="17"/>
          <w:szCs w:val="17"/>
          <w:color w:val="auto"/>
        </w:rPr>
      </w:pPr>
    </w:p>
    <w:p>
      <w:pPr>
        <w:ind w:left="560" w:right="280" w:hanging="4"/>
        <w:spacing w:after="0" w:line="255" w:lineRule="auto"/>
        <w:tabs>
          <w:tab w:leader="none" w:pos="77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deliver a proxy statement and/or form of proxy to holders of at least the percentage of the voting power of the Corporation’s outstanding capital stock required to approve or adopt the proposal or to elect each such nominee and/or (ii) otherwise to solicit proxies from stockholders in support of such proposal or nomination;</w:t>
      </w:r>
    </w:p>
    <w:p>
      <w:pPr>
        <w:spacing w:after="0" w:line="82" w:lineRule="exact"/>
        <w:rPr>
          <w:rFonts w:ascii="Arial" w:cs="Arial" w:eastAsia="Arial" w:hAnsi="Arial"/>
          <w:sz w:val="18"/>
          <w:szCs w:val="18"/>
          <w:color w:val="auto"/>
        </w:rPr>
      </w:pPr>
    </w:p>
    <w:p>
      <w:pPr>
        <w:ind w:left="560" w:right="20" w:firstLine="397"/>
        <w:spacing w:after="0" w:line="264" w:lineRule="auto"/>
        <w:tabs>
          <w:tab w:leader="none" w:pos="121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beneficial owner,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73" w:lineRule="exact"/>
        <w:rPr>
          <w:rFonts w:ascii="Arial" w:cs="Arial" w:eastAsia="Arial" w:hAnsi="Arial"/>
          <w:sz w:val="18"/>
          <w:szCs w:val="18"/>
          <w:color w:val="auto"/>
        </w:rPr>
      </w:pPr>
    </w:p>
    <w:p>
      <w:pPr>
        <w:ind w:left="560" w:right="40" w:firstLine="397"/>
        <w:spacing w:after="0" w:line="277" w:lineRule="auto"/>
        <w:tabs>
          <w:tab w:leader="none" w:pos="121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such other information relating to any proposed item of business as the Corporation may reasonably require to determine whether such proposed item of business is a proper matter for stockholder action.</w:t>
      </w:r>
    </w:p>
    <w:p>
      <w:pPr>
        <w:spacing w:after="0" w:line="62"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If requested by the Corporation, the information required under clauses 2.10(a)(iii)(C)(2), (3) and (4) of the preceding sentence of this Section 2.10 shall be supplemented by such stockholder and any such beneficial owner not later than 10 days after the record date for the meeting to disclose such information as of the record date.</w:t>
      </w:r>
    </w:p>
    <w:p>
      <w:pPr>
        <w:spacing w:after="0" w:line="73" w:lineRule="exact"/>
        <w:rPr>
          <w:sz w:val="20"/>
          <w:szCs w:val="20"/>
          <w:color w:val="auto"/>
        </w:rPr>
      </w:pPr>
    </w:p>
    <w:p>
      <w:pPr>
        <w:ind w:left="-440" w:firstLine="444"/>
        <w:spacing w:after="0" w:line="253" w:lineRule="auto"/>
        <w:tabs>
          <w:tab w:leader="none" w:pos="255"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Special Meetings of Stockholders</w:t>
      </w:r>
      <w:r>
        <w:rPr>
          <w:rFonts w:ascii="Arial" w:cs="Arial" w:eastAsia="Arial" w:hAnsi="Arial"/>
          <w:sz w:val="18"/>
          <w:szCs w:val="18"/>
          <w:color w:val="auto"/>
        </w:rPr>
        <w:t>. If the election of directors is included as business to be brought before a special meeting in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meeting, then nominations of persons for election to the Board of Directors at a special meeting of stockholders may be made, subject to the then-applicable terms of the Stockholders’ Agreement, by any stockholder who is a stockholder of record at the time of giving of notice provided for in this Section 2.10(b) and at the time of the special meeting, who shall be entitled to vote at the meeting and who complies with the procedures set forth in this Section 2.10(b). For nominations to be properly brought by a stockholder before a special meeting of stockholders pursuant to this Section 2.10(b), the stockholder must have given timely notice thereof in writing to the Secretary of the Corporation. To be timely, a stockholder’s notice shall be delivered to or mailed and received at the principal executive offices of the Corporation (A) not earlier than 150 days prior to the date of the special meeting nor (B) later than the later of 120 days prior to the date of the special meeting or 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announcement of the date of the special meeting was first made. A stockholder’s notice to the Secretary shall comply with the notice requirements of Section 2.10(a) (iii).</w:t>
      </w:r>
    </w:p>
    <w:p>
      <w:pPr>
        <w:spacing w:after="0" w:line="86" w:lineRule="exact"/>
        <w:rPr>
          <w:rFonts w:ascii="Arial" w:cs="Arial" w:eastAsia="Arial" w:hAnsi="Arial"/>
          <w:sz w:val="18"/>
          <w:szCs w:val="18"/>
          <w:color w:val="auto"/>
        </w:rPr>
      </w:pPr>
    </w:p>
    <w:p>
      <w:pPr>
        <w:ind w:left="-440" w:firstLine="444"/>
        <w:spacing w:after="0" w:line="273" w:lineRule="auto"/>
        <w:tabs>
          <w:tab w:leader="none" w:pos="245"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 To be eligible to be a nominee for election as a director, the proposed nominee must provide to the Secretary of the Corporation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applicable time periods prescribed for delivery of notice under Section 2.10(a)(ii) or Section 2.10(b): (1) a completed D&amp;O questionnaire (in the form provided by the secretary of the Corporation at the request of the nominating stockholder) containing information regarding the nominee’s background and qualifications and such other information as may reasonably be required by the Corporation to determine the eligibility of such proposed nominee to serve as a director of the Corporation or to serve as an independent director of the Corporation, (2) a written representation that, unless previously disclosed to the Corporation, the nominee is not and will</w:t>
      </w:r>
    </w:p>
    <w:p>
      <w:pPr>
        <w:sectPr>
          <w:pgSz w:w="11900" w:h="16838" w:orient="portrait"/>
          <w:cols w:equalWidth="0" w:num="1">
            <w:col w:w="10580"/>
          </w:cols>
          <w:pgMar w:left="880" w:top="274" w:right="439" w:bottom="1440" w:gutter="0" w:footer="0" w:header="0"/>
        </w:sectPr>
      </w:pPr>
    </w:p>
    <w:bookmarkStart w:id="259" w:name="page260"/>
    <w:bookmarkEnd w:id="25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become a party to any voting agreement, arrangement or understanding with any person or entity as to how such nominee, if elected as a director, will vote on any issue or that could interfere with such person’s ability to comply, if elected as a director, with his/her fiduciary duties under applicable law, (3) a written representation and agreement that, unless previously disclosed to the Corporation pursuant to Section 2.10(a)(iii)(A)(2), the nominee is not and will not become party to any Third-Party Compensation Arrangement and (4) a written representation that, if elected as a director, such nominee would be in compliance and will continue to comply with the Corporation’s corporate governance guidelines as disclosed on the Corporation’s website, as amended from time to time. At the request of the Board of Directors, any person nominated by the Board of Directors for election as a director shall furnish to the Secretary of the Corporation the information that is required to be set forth in a stockholder’s notice of nomination that pertains to the nominee.</w:t>
      </w:r>
    </w:p>
    <w:p>
      <w:pPr>
        <w:spacing w:after="0" w:line="84" w:lineRule="exact"/>
        <w:rPr>
          <w:sz w:val="20"/>
          <w:szCs w:val="20"/>
          <w:color w:val="auto"/>
        </w:rPr>
      </w:pPr>
    </w:p>
    <w:p>
      <w:pPr>
        <w:jc w:val="both"/>
        <w:ind w:left="440" w:right="260" w:firstLine="428"/>
        <w:spacing w:after="0" w:line="264" w:lineRule="auto"/>
        <w:tabs>
          <w:tab w:leader="none" w:pos="112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person shall be eligible to be nominated by a stockholder to serve as a director of the Corporation unless nominated in accordance with the procedures set forth in this Section 2.10. No business proposed by a stockholder shall be conducted at a stockholder meeting except in accordance with this Section 2.10.</w:t>
      </w:r>
    </w:p>
    <w:p>
      <w:pPr>
        <w:spacing w:after="0" w:line="73" w:lineRule="exact"/>
        <w:rPr>
          <w:rFonts w:ascii="Arial" w:cs="Arial" w:eastAsia="Arial" w:hAnsi="Arial"/>
          <w:sz w:val="18"/>
          <w:szCs w:val="18"/>
          <w:color w:val="auto"/>
        </w:rPr>
      </w:pPr>
    </w:p>
    <w:p>
      <w:pPr>
        <w:ind w:left="440" w:right="60" w:firstLine="428"/>
        <w:spacing w:after="0" w:line="287" w:lineRule="auto"/>
        <w:tabs>
          <w:tab w:leader="none" w:pos="117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chairman of the meeting shall, if the facts warrant, determine and declare to the meeting that a nomination was not made in accordance with the procedures prescribed by these Bylaws or that business was not properly brought before the meeting, and if he/she should so determine, he/she shall so declare to the meeting and the defective nomination shall be disregarded or such business shall not be transacted, as the case may be. Notwithstanding the foregoing provisions of this Section 2.10, unless otherwise required by law, if the stockholder (or a qualified representative of the stockholder) does not appear at the annual or special meeting of stockholders of the Corporation to present a nomination or other proposed business, such nomination shall be disregarded or such proposed business shall not be transacted, as the case may be, notwithstanding that proxies in respect of such vote may have been received by the Corporation and counted for purposes of determining a quorum. For purposes of this Section 2.10,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4" w:lineRule="exact"/>
        <w:rPr>
          <w:rFonts w:ascii="Arial" w:cs="Arial" w:eastAsia="Arial" w:hAnsi="Arial"/>
          <w:sz w:val="16"/>
          <w:szCs w:val="16"/>
          <w:color w:val="auto"/>
        </w:rPr>
      </w:pPr>
    </w:p>
    <w:p>
      <w:pPr>
        <w:ind w:left="440" w:right="60" w:firstLine="428"/>
        <w:spacing w:after="0" w:line="276" w:lineRule="auto"/>
        <w:tabs>
          <w:tab w:leader="none" w:pos="116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Section 2.10, a stockholder shall also comply with all applicable requirements of the Exchange Act with respect to the matters set forth in this Section 2.10;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references in these Bylaws to the Exchange Act are not intended to and shall not limit any requirements applicable to nominations or proposals as to any other business to be considered pursuant to this Section 2.10, and compliance with paragraphs (a)(i)(C) and (b) of this Section 2.10 shall be the exclusive means for a stockholder to make nominations or submit other business (other than as provided in Section 2.10(c)(v)).</w:t>
      </w:r>
    </w:p>
    <w:p>
      <w:pPr>
        <w:sectPr>
          <w:pgSz w:w="11900" w:h="16838" w:orient="portrait"/>
          <w:cols w:equalWidth="0" w:num="1">
            <w:col w:w="11000"/>
          </w:cols>
          <w:pgMar w:left="440" w:top="274" w:right="459" w:bottom="1440" w:gutter="0" w:footer="0" w:header="0"/>
        </w:sectPr>
      </w:pPr>
    </w:p>
    <w:bookmarkStart w:id="260" w:name="page261"/>
    <w:bookmarkEnd w:id="260"/>
    <w:p>
      <w:pPr>
        <w:ind w:left="440" w:right="40" w:firstLine="428"/>
        <w:spacing w:after="0" w:line="259" w:lineRule="auto"/>
        <w:tabs>
          <w:tab w:leader="none" w:pos="11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the notice requirements set forth herein with respect to the proposal of any business pursuant to this Section 2.10 shall be deemed satisfied by a stockholder if such stockholder has submitted a proposal to the Corporation in compliance with Rule 14a-8 under the Exchange Act, and such stockholder’s proposal has been included in a proxy statement that has been prepared by the Corporation to solicit proxies for the meeting of stockholders.</w:t>
      </w:r>
    </w:p>
    <w:p>
      <w:pPr>
        <w:spacing w:after="0" w:line="200" w:lineRule="exact"/>
        <w:rPr>
          <w:sz w:val="20"/>
          <w:szCs w:val="20"/>
          <w:color w:val="auto"/>
        </w:rPr>
      </w:pPr>
    </w:p>
    <w:p>
      <w:pPr>
        <w:spacing w:after="0" w:line="20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General Powers.</w:t>
      </w:r>
      <w:r>
        <w:rPr>
          <w:rFonts w:ascii="Arial" w:cs="Arial" w:eastAsia="Arial" w:hAnsi="Arial"/>
          <w:sz w:val="18"/>
          <w:szCs w:val="18"/>
          <w:color w:val="auto"/>
        </w:rPr>
        <w:t xml:space="preserve"> Except as otherwise provided in Delaware Law or the Certificate of Incorporation, the business and affairs of the Corporation shall be managed by or under the direction of the Board of Directors.</w:t>
      </w:r>
    </w:p>
    <w:p>
      <w:pPr>
        <w:spacing w:after="0" w:line="170"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Section 3.02</w:t>
      </w:r>
      <w:r>
        <w:rPr>
          <w:rFonts w:ascii="Arial" w:cs="Arial" w:eastAsia="Arial" w:hAnsi="Arial"/>
          <w:sz w:val="16"/>
          <w:szCs w:val="16"/>
          <w:i w:val="1"/>
          <w:iCs w:val="1"/>
          <w:color w:val="auto"/>
        </w:rPr>
        <w:t>. Number, Election and Term Of Office.</w:t>
      </w:r>
      <w:r>
        <w:rPr>
          <w:rFonts w:ascii="Arial" w:cs="Arial" w:eastAsia="Arial" w:hAnsi="Arial"/>
          <w:sz w:val="16"/>
          <w:szCs w:val="16"/>
          <w:color w:val="auto"/>
        </w:rPr>
        <w:t xml:space="preserve"> Subject to the Certificate of Incorporation and the then-applicable terms of the Stockholders’ Agreement, the Board of Directors shall initially consist of not less than six directors, with the exact number of directors to be determined from time to time solely by resolution adopted by the affirmative vote of a majority of the Board. As set forth in Article 6 of the Certificate of Incorporation, the directors shall be divided into three classes, designated Class I, Class II and Class III. Each class shall consist, as nearly as may be practicable, of one-third of the total number of directors constituting the entire Board of Directors. Except as otherwise provided in the Certificate of Incorporation, each director shall serve for a term ending on the date of the third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Directors need not be stockholders.</w:t>
      </w:r>
    </w:p>
    <w:p>
      <w:pPr>
        <w:spacing w:after="0" w:line="16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Quorum and Manner of Acting.</w:t>
      </w:r>
      <w:r>
        <w:rPr>
          <w:rFonts w:ascii="Arial" w:cs="Arial" w:eastAsia="Arial" w:hAnsi="Arial"/>
          <w:sz w:val="17"/>
          <w:szCs w:val="17"/>
          <w:color w:val="auto"/>
        </w:rPr>
        <w:t xml:space="preserve"> Unless the Certificate of Incorporation or these Bylaws require a greater number, a majority of the Board of Directors shall constitute a quorum for the transaction of business at any meeting of the Board of Directors and, except as otherwise expressly required by law or by the Certificate of Incorporation, the act of a majority of the directors present at a meeting at which a quorum is present shall be the act of the Board of Directors.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 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p>
      <w:pPr>
        <w:spacing w:after="0" w:line="17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Time and Place of Meetings.</w:t>
      </w:r>
      <w:r>
        <w:rPr>
          <w:rFonts w:ascii="Arial" w:cs="Arial" w:eastAsia="Arial" w:hAnsi="Arial"/>
          <w:sz w:val="18"/>
          <w:szCs w:val="18"/>
          <w:color w:val="auto"/>
        </w:rPr>
        <w:t xml:space="preserve"> The Board of Directors shall hold its meetings at such place, either within or without the State of Delaware, and at such time as may be determined from time to time by the Board of Directors (or the Chairman of the Board of Directors in the absence of a determination by the Board of Directors).</w:t>
      </w:r>
    </w:p>
    <w:p>
      <w:pPr>
        <w:sectPr>
          <w:pgSz w:w="11900" w:h="16838" w:orient="portrait"/>
          <w:cols w:equalWidth="0" w:num="1">
            <w:col w:w="11000"/>
          </w:cols>
          <w:pgMar w:left="440" w:top="274" w:right="459" w:bottom="1440" w:gutter="0" w:footer="0" w:header="0"/>
        </w:sectPr>
      </w:pPr>
    </w:p>
    <w:bookmarkStart w:id="261" w:name="page262"/>
    <w:bookmarkEnd w:id="261"/>
    <w:p>
      <w:pPr>
        <w:ind w:right="6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3.05</w:t>
      </w:r>
      <w:r>
        <w:rPr>
          <w:rFonts w:ascii="Arial" w:cs="Arial" w:eastAsia="Arial" w:hAnsi="Arial"/>
          <w:sz w:val="16"/>
          <w:szCs w:val="16"/>
          <w:i w:val="1"/>
          <w:iCs w:val="1"/>
          <w:color w:val="auto"/>
        </w:rPr>
        <w:t>. Annual Meeting.</w:t>
      </w:r>
      <w:r>
        <w:rPr>
          <w:rFonts w:ascii="Arial" w:cs="Arial" w:eastAsia="Arial" w:hAnsi="Arial"/>
          <w:sz w:val="16"/>
          <w:szCs w:val="16"/>
          <w:color w:val="auto"/>
        </w:rPr>
        <w:t xml:space="preserve"> The Board of Directors shall meet for the purpose of organization, the election of officers and the transaction of other business, as soon as practicable after each annual meeting of stockholders, on the same day and at the same place where such annual meeting shall be held. Notice of such meeting need not be given. In the event such annual meeting is not so held, the annual meeting of the Board of Directors may be held at such place either within or without the State of Delaware, on such date and at such time as shall be specified in a notice thereof given as hereinafter provided in Section 3.07 herein or in a waiver of notice thereof signed by any director who chooses to waive the requirement of notice.</w:t>
      </w:r>
    </w:p>
    <w:p>
      <w:pPr>
        <w:spacing w:after="0" w:line="158"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Section 3.06</w:t>
      </w:r>
      <w:r>
        <w:rPr>
          <w:rFonts w:ascii="Arial" w:cs="Arial" w:eastAsia="Arial" w:hAnsi="Arial"/>
          <w:sz w:val="16"/>
          <w:szCs w:val="16"/>
          <w:i w:val="1"/>
          <w:iCs w:val="1"/>
          <w:color w:val="auto"/>
        </w:rPr>
        <w:t>. Regular Meetings.</w:t>
      </w:r>
      <w:r>
        <w:rPr>
          <w:rFonts w:ascii="Arial" w:cs="Arial" w:eastAsia="Arial" w:hAnsi="Arial"/>
          <w:sz w:val="16"/>
          <w:szCs w:val="16"/>
          <w:color w:val="auto"/>
        </w:rPr>
        <w:t xml:space="preserve"> After the place and time of regular meetings of the Board of Directors shall have been determined and notice thereof shall have been once given to each member of the Board of Directors, regular meetings may be held without further notice being given.</w:t>
      </w:r>
    </w:p>
    <w:p>
      <w:pPr>
        <w:spacing w:after="0" w:line="124"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may be called by the Chairman of the Board of Directors, the President or the Chief Executive Officer of the Corporation and shall be called by the Chairman of the Board of Directors, President or the Secretary, on the written request of three directors. Notice of special meetings of the Board of Directors shall be given to each director at least 48 hours before the date of the meeting in such manner as is determined by the Board of Directors.</w:t>
      </w:r>
    </w:p>
    <w:p>
      <w:pPr>
        <w:spacing w:after="0" w:line="18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Section 3.08</w:t>
      </w:r>
      <w:r>
        <w:rPr>
          <w:rFonts w:ascii="Arial" w:cs="Arial" w:eastAsia="Arial" w:hAnsi="Arial"/>
          <w:sz w:val="17"/>
          <w:szCs w:val="17"/>
          <w:i w:val="1"/>
          <w:iCs w:val="1"/>
          <w:color w:val="auto"/>
        </w:rPr>
        <w:t>. Committees.</w:t>
      </w:r>
      <w:r>
        <w:rPr>
          <w:rFonts w:ascii="Arial" w:cs="Arial" w:eastAsia="Arial" w:hAnsi="Arial"/>
          <w:sz w:val="17"/>
          <w:szCs w:val="17"/>
          <w:color w:val="auto"/>
        </w:rPr>
        <w:t xml:space="preserve"> Subject to the then-applicable terms of the Stockholders’ Agreement,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or (b) adopting, amending or repealing any Bylaw of the Corporation. Each committee shall keep regular minutes of its meetings and report the same to the Board of Directors when required.</w:t>
      </w:r>
    </w:p>
    <w:p>
      <w:pPr>
        <w:spacing w:after="0" w:line="183"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Action by Consent.</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ectPr>
          <w:pgSz w:w="11900" w:h="16838" w:orient="portrait"/>
          <w:cols w:equalWidth="0" w:num="1">
            <w:col w:w="11020"/>
          </w:cols>
          <w:pgMar w:left="440" w:top="274" w:right="439" w:bottom="1440" w:gutter="0" w:footer="0" w:header="0"/>
        </w:sectPr>
      </w:pPr>
    </w:p>
    <w:bookmarkStart w:id="262" w:name="page263"/>
    <w:bookmarkEnd w:id="262"/>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3.10</w:t>
      </w:r>
      <w:r>
        <w:rPr>
          <w:rFonts w:ascii="Arial" w:cs="Arial" w:eastAsia="Arial" w:hAnsi="Arial"/>
          <w:sz w:val="18"/>
          <w:szCs w:val="18"/>
          <w:i w:val="1"/>
          <w:iCs w:val="1"/>
          <w:color w:val="auto"/>
        </w:rPr>
        <w:t>. Telephonic Meetings.</w:t>
      </w:r>
      <w:r>
        <w:rPr>
          <w:rFonts w:ascii="Arial" w:cs="Arial" w:eastAsia="Arial" w:hAnsi="Arial"/>
          <w:sz w:val="18"/>
          <w:szCs w:val="18"/>
          <w:color w:val="auto"/>
        </w:rPr>
        <w:t xml:space="preserve"> Unless otherwise restricted by the Certificate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Section 3.11</w:t>
      </w:r>
      <w:r>
        <w:rPr>
          <w:rFonts w:ascii="Arial" w:cs="Arial" w:eastAsia="Arial" w:hAnsi="Arial"/>
          <w:sz w:val="17"/>
          <w:szCs w:val="17"/>
          <w:i w:val="1"/>
          <w:iCs w:val="1"/>
          <w:color w:val="auto"/>
        </w:rPr>
        <w:t>. Resignation.</w:t>
      </w:r>
      <w:r>
        <w:rPr>
          <w:rFonts w:ascii="Arial" w:cs="Arial" w:eastAsia="Arial" w:hAnsi="Arial"/>
          <w:sz w:val="17"/>
          <w:szCs w:val="17"/>
          <w:color w:val="auto"/>
        </w:rPr>
        <w:t xml:space="preserve"> Any director may resign from the Board of Directors at any time by giving notice to the Board of Directors or to the Secretary of the Corporation. Any such notice must be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71"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Section 3.12</w:t>
      </w:r>
      <w:r>
        <w:rPr>
          <w:rFonts w:ascii="Arial" w:cs="Arial" w:eastAsia="Arial" w:hAnsi="Arial"/>
          <w:sz w:val="16"/>
          <w:szCs w:val="16"/>
          <w:i w:val="1"/>
          <w:iCs w:val="1"/>
          <w:color w:val="auto"/>
        </w:rPr>
        <w:t>. Vacancies.</w:t>
      </w:r>
      <w:r>
        <w:rPr>
          <w:rFonts w:ascii="Arial" w:cs="Arial" w:eastAsia="Arial" w:hAnsi="Arial"/>
          <w:sz w:val="16"/>
          <w:szCs w:val="16"/>
          <w:color w:val="auto"/>
        </w:rPr>
        <w:t xml:space="preserve"> Unless otherwise provided in the Certificate of Incorporation, subject to the then-applicable terms of the Stockholders’ Agreement,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for a term that shall coincide with the term of the Class to which such director shall have been elected. If there are no directors in office, then an election of directors may be held in accordance with Delaware Law. Subject to the then-applicable terms of the Stockholders’ Agreement, unless otherwise provided in the Certificate of Incorporation,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spacing w:after="0" w:line="16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Section 3.13</w:t>
      </w:r>
      <w:r>
        <w:rPr>
          <w:rFonts w:ascii="Arial" w:cs="Arial" w:eastAsia="Arial" w:hAnsi="Arial"/>
          <w:sz w:val="18"/>
          <w:szCs w:val="18"/>
          <w:i w:val="1"/>
          <w:iCs w:val="1"/>
          <w:color w:val="auto"/>
        </w:rPr>
        <w:t>. Removal.</w:t>
      </w:r>
      <w:r>
        <w:rPr>
          <w:rFonts w:ascii="Arial" w:cs="Arial" w:eastAsia="Arial" w:hAnsi="Arial"/>
          <w:sz w:val="18"/>
          <w:szCs w:val="18"/>
          <w:color w:val="auto"/>
        </w:rPr>
        <w:t xml:space="preserve"> Subject to the then-applicable terms of the Stockholders’ Agreement, 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spacing w:after="0" w:line="181" w:lineRule="exact"/>
        <w:rPr>
          <w:sz w:val="20"/>
          <w:szCs w:val="20"/>
          <w:color w:val="auto"/>
        </w:rPr>
      </w:pPr>
    </w:p>
    <w:p>
      <w:pPr>
        <w:ind w:right="780" w:firstLine="441"/>
        <w:spacing w:after="0" w:line="342" w:lineRule="auto"/>
        <w:rPr>
          <w:sz w:val="20"/>
          <w:szCs w:val="20"/>
          <w:color w:val="auto"/>
        </w:rPr>
      </w:pPr>
      <w:r>
        <w:rPr>
          <w:rFonts w:ascii="Arial" w:cs="Arial" w:eastAsia="Arial" w:hAnsi="Arial"/>
          <w:sz w:val="16"/>
          <w:szCs w:val="16"/>
          <w:color w:val="auto"/>
        </w:rPr>
        <w:t>Section 3.14</w:t>
      </w:r>
      <w:r>
        <w:rPr>
          <w:rFonts w:ascii="Arial" w:cs="Arial" w:eastAsia="Arial" w:hAnsi="Arial"/>
          <w:sz w:val="16"/>
          <w:szCs w:val="16"/>
          <w:i w:val="1"/>
          <w:iCs w:val="1"/>
          <w:color w:val="auto"/>
        </w:rPr>
        <w:t>. Compensation.</w:t>
      </w:r>
      <w:r>
        <w:rPr>
          <w:rFonts w:ascii="Arial" w:cs="Arial" w:eastAsia="Arial" w:hAnsi="Arial"/>
          <w:sz w:val="16"/>
          <w:szCs w:val="16"/>
          <w:color w:val="auto"/>
        </w:rPr>
        <w:t xml:space="preserve"> Unless otherwise restricted by the Certificate of Incorporation or these Bylaws, the Board of Directors or a committee of the Board of Directors shall have authority to fix the compensation of directors, including fees and reimbursement of expenses.</w:t>
      </w:r>
    </w:p>
    <w:p>
      <w:pPr>
        <w:spacing w:after="0" w:line="12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Section 3.15</w:t>
      </w:r>
      <w:r>
        <w:rPr>
          <w:rFonts w:ascii="Arial" w:cs="Arial" w:eastAsia="Arial" w:hAnsi="Arial"/>
          <w:sz w:val="18"/>
          <w:szCs w:val="18"/>
          <w:i w:val="1"/>
          <w:iCs w:val="1"/>
          <w:color w:val="auto"/>
        </w:rPr>
        <w:t>. Preferred Stock Directors.</w:t>
      </w:r>
      <w:r>
        <w:rPr>
          <w:rFonts w:ascii="Arial" w:cs="Arial" w:eastAsia="Arial" w:hAnsi="Arial"/>
          <w:sz w:val="18"/>
          <w:szCs w:val="18"/>
          <w:color w:val="auto"/>
        </w:rPr>
        <w:t xml:space="preserve"> Notwithstanding anything else contained herein, whenever the holders of one or more classes or series of preferred stock shall have the right, voting separately as a class or series, to elect directors, the election, term of office, filling of vacancies, removal and other features of such directorships shall be governed by the terms of the resolutions applicable thereto adopted by the Board of Directors pursuant to the Certificate of Incorporation, and such directors so elected shall not be subject to the provisions of Sections 3.02, 3.12 and 3.13 of this Article 3 unless otherwise provided therein.</w:t>
      </w:r>
    </w:p>
    <w:p>
      <w:pPr>
        <w:sectPr>
          <w:pgSz w:w="11900" w:h="16838" w:orient="portrait"/>
          <w:cols w:equalWidth="0" w:num="1">
            <w:col w:w="11020"/>
          </w:cols>
          <w:pgMar w:left="440" w:top="274" w:right="439" w:bottom="1440" w:gutter="0" w:footer="0" w:header="0"/>
        </w:sectPr>
      </w:pPr>
    </w:p>
    <w:bookmarkStart w:id="263" w:name="page264"/>
    <w:bookmarkEnd w:id="263"/>
    <w:p>
      <w:pPr>
        <w:ind w:left="5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Section 4.01</w:t>
      </w:r>
      <w:r>
        <w:rPr>
          <w:rFonts w:ascii="Arial" w:cs="Arial" w:eastAsia="Arial" w:hAnsi="Arial"/>
          <w:sz w:val="17"/>
          <w:szCs w:val="17"/>
          <w:i w:val="1"/>
          <w:iCs w:val="1"/>
          <w:color w:val="auto"/>
        </w:rPr>
        <w:t>. Principal Officers.</w:t>
      </w:r>
      <w:r>
        <w:rPr>
          <w:rFonts w:ascii="Arial" w:cs="Arial" w:eastAsia="Arial" w:hAnsi="Arial"/>
          <w:sz w:val="17"/>
          <w:szCs w:val="17"/>
          <w:color w:val="auto"/>
        </w:rPr>
        <w:t xml:space="preserve"> The principal officers of the Corporation shall be a Chairman, a Chief Executive Officer, a President, a Chief Financial Officer, one or more Vice Presidents, a Treasurer and a Secretary who shall have the duty, among other things, to record the proceedings of the meetings of stockholders and directors in a book kept for that purpose. The Corporation may also have such other principal officers, including one or more Controllers, as the Board of Directors may in its discretion appoint. One person may hold the offices and perform the duties of any two or more of said offices, except that no one person shall hold the offices and perform the duties of President and Secretary.</w:t>
      </w:r>
    </w:p>
    <w:p>
      <w:pPr>
        <w:spacing w:after="0" w:line="173"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Appointment, Term of Office and Remuneration.</w:t>
      </w:r>
      <w:r>
        <w:rPr>
          <w:rFonts w:ascii="Arial" w:cs="Arial" w:eastAsia="Arial" w:hAnsi="Arial"/>
          <w:sz w:val="18"/>
          <w:szCs w:val="18"/>
          <w:color w:val="auto"/>
        </w:rPr>
        <w:t xml:space="preserve"> The principal officers of the Corporation shall be appointed by the Board of Directors in the manner determined by the Board of Directors. Each such officer shall hold office until his or her successor is appointed, or until his or her earlier death, resignation or removal. The remuneration of all officers of the Corporation shall be fixed by the Board of Directors. Any vacancy in any office shall be filled in such manner as the Board of Directors shall determine.</w:t>
      </w:r>
    </w:p>
    <w:p>
      <w:pPr>
        <w:spacing w:after="0" w:line="187"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Section 4.03</w:t>
      </w:r>
      <w:r>
        <w:rPr>
          <w:rFonts w:ascii="Arial" w:cs="Arial" w:eastAsia="Arial" w:hAnsi="Arial"/>
          <w:sz w:val="16"/>
          <w:szCs w:val="16"/>
          <w:i w:val="1"/>
          <w:iCs w:val="1"/>
          <w:color w:val="auto"/>
        </w:rPr>
        <w:t>. Subordinate Officers.</w:t>
      </w:r>
      <w:r>
        <w:rPr>
          <w:rFonts w:ascii="Arial" w:cs="Arial" w:eastAsia="Arial" w:hAnsi="Arial"/>
          <w:sz w:val="16"/>
          <w:szCs w:val="16"/>
          <w:color w:val="auto"/>
        </w:rPr>
        <w:t xml:space="preserve"> In addition to the principal officers enumerated in Section 4.01 herein, the Corporation may have one or more Assistant Treasurers, Assistant Secretaries and Assistant Controllers and such other subordinate officers, agents and employees as the Board of Directors may deem necessary, each of whom shall hold office for such period as the Board of Directors may from time to time determine. The Board of Directors may delegate to any principal officer the power to appoint and to remove any such subordinate officers, agents or employees.</w:t>
      </w:r>
    </w:p>
    <w:p>
      <w:pPr>
        <w:spacing w:after="0" w:line="154"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Removal.</w:t>
      </w:r>
      <w:r>
        <w:rPr>
          <w:rFonts w:ascii="Arial" w:cs="Arial" w:eastAsia="Arial" w:hAnsi="Arial"/>
          <w:sz w:val="18"/>
          <w:szCs w:val="18"/>
          <w:color w:val="auto"/>
        </w:rPr>
        <w:t xml:space="preserve"> Except as otherwise permitted with respect to subordinate officers, any officer may be removed, with or without cause, at any time, by resolution adopted by the Board of Directors.</w:t>
      </w:r>
    </w:p>
    <w:p>
      <w:pPr>
        <w:spacing w:after="0" w:line="17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Resignations.</w:t>
      </w:r>
      <w:r>
        <w:rPr>
          <w:rFonts w:ascii="Arial" w:cs="Arial" w:eastAsia="Arial" w:hAnsi="Arial"/>
          <w:sz w:val="18"/>
          <w:szCs w:val="18"/>
          <w:color w:val="auto"/>
        </w:rPr>
        <w:t xml:space="preserve"> Any officer may resign at any time by giving notice to the Board of Directors (or to a principal officer if the Board of Directors has delegated to such principal officer the power to appoint and to remove such officer). Any such notice must be in writing. The resignation of any officer shall take effect upon receipt of notice thereof or at such later time as shall be specified in such notice; and unless otherwise specified therein, the acceptance of such resignation shall not be necessary to make it effective.</w:t>
      </w:r>
    </w:p>
    <w:p>
      <w:pPr>
        <w:spacing w:after="0" w:line="187"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Section 4.06</w:t>
      </w:r>
      <w:r>
        <w:rPr>
          <w:rFonts w:ascii="Arial" w:cs="Arial" w:eastAsia="Arial" w:hAnsi="Arial"/>
          <w:sz w:val="16"/>
          <w:szCs w:val="16"/>
          <w:i w:val="1"/>
          <w:iCs w:val="1"/>
          <w:color w:val="auto"/>
        </w:rPr>
        <w:t>. Powers and Duties.</w:t>
      </w:r>
      <w:r>
        <w:rPr>
          <w:rFonts w:ascii="Arial" w:cs="Arial" w:eastAsia="Arial" w:hAnsi="Arial"/>
          <w:sz w:val="16"/>
          <w:szCs w:val="16"/>
          <w:color w:val="auto"/>
        </w:rPr>
        <w:t xml:space="preserve"> The officers of the Corporation shall have such powers and perform such duties incident to each of their respective offices and such other duties as may from time to time be conferred upon or assigned to them by the Board of Directors.</w:t>
      </w:r>
    </w:p>
    <w:p>
      <w:pPr>
        <w:sectPr>
          <w:pgSz w:w="11900" w:h="16838" w:orient="portrait"/>
          <w:cols w:equalWidth="0" w:num="1">
            <w:col w:w="11000"/>
          </w:cols>
          <w:pgMar w:left="440" w:top="274" w:right="459" w:bottom="1440" w:gutter="0" w:footer="0" w:header="0"/>
        </w:sectPr>
      </w:pPr>
    </w:p>
    <w:bookmarkStart w:id="264" w:name="page265"/>
    <w:bookmarkEnd w:id="26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Certificates For Stock; Uncertificated Shares.</w:t>
      </w:r>
      <w:r>
        <w:rPr>
          <w:rFonts w:ascii="Arial" w:cs="Arial" w:eastAsia="Arial" w:hAnsi="Arial"/>
          <w:sz w:val="17"/>
          <w:szCs w:val="17"/>
          <w:color w:val="auto"/>
        </w:rPr>
        <w:t xml:space="preserve"> The shares of the Corporation shall be represented by certificates, provided that the Board of Directors may provide by resolution or resolutions that some or all of any or all classes or series of its stock shall be uncertificated shares or a combination of certificated and uncertificated shares. Any such resolution that shares of a class or series will only be uncertificated shall not apply to shares represented by a certificate until such certificate is surrendered to the Corporation. Except as otherwise required by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representing the number of shares registered in certificate form signed by, or in the name of the Corporation by any two officers of such Corporation authorized to sign stock certificates.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A Corporation shall not have power to issue a certificate in bearer form.</w:t>
      </w:r>
    </w:p>
    <w:p>
      <w:pPr>
        <w:spacing w:after="0" w:line="183"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Section 5.02</w:t>
      </w:r>
      <w:r>
        <w:rPr>
          <w:rFonts w:ascii="Arial" w:cs="Arial" w:eastAsia="Arial" w:hAnsi="Arial"/>
          <w:sz w:val="17"/>
          <w:szCs w:val="17"/>
          <w:i w:val="1"/>
          <w:iCs w:val="1"/>
          <w:color w:val="auto"/>
        </w:rPr>
        <w:t>. Transfer Of Shares.</w:t>
      </w:r>
      <w:r>
        <w:rPr>
          <w:rFonts w:ascii="Arial" w:cs="Arial" w:eastAsia="Arial" w:hAnsi="Arial"/>
          <w:sz w:val="17"/>
          <w:szCs w:val="17"/>
          <w:color w:val="auto"/>
        </w:rPr>
        <w:t xml:space="preserve">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p>
      <w:pPr>
        <w:spacing w:after="0" w:line="17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Section 5.03</w:t>
      </w:r>
      <w:r>
        <w:rPr>
          <w:rFonts w:ascii="Arial" w:cs="Arial" w:eastAsia="Arial" w:hAnsi="Arial"/>
          <w:sz w:val="17"/>
          <w:szCs w:val="17"/>
          <w:i w:val="1"/>
          <w:iCs w:val="1"/>
          <w:color w:val="auto"/>
        </w:rPr>
        <w:t>. Authority for Additional Rules Regarding Transfer.</w:t>
      </w:r>
      <w:r>
        <w:rPr>
          <w:rFonts w:ascii="Arial" w:cs="Arial" w:eastAsia="Arial" w:hAnsi="Arial"/>
          <w:sz w:val="17"/>
          <w:szCs w:val="17"/>
          <w:color w:val="auto"/>
        </w:rPr>
        <w:t xml:space="preserve"> The Board of Directors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Section 6.01</w:t>
      </w:r>
      <w:r>
        <w:rPr>
          <w:rFonts w:ascii="Arial" w:cs="Arial" w:eastAsia="Arial" w:hAnsi="Arial"/>
          <w:sz w:val="17"/>
          <w:szCs w:val="17"/>
          <w:i w:val="1"/>
          <w:iCs w:val="1"/>
          <w:color w:val="auto"/>
        </w:rPr>
        <w:t>. Fixing the Record Date.</w:t>
      </w:r>
      <w:r>
        <w:rPr>
          <w:rFonts w:ascii="Arial" w:cs="Arial" w:eastAsia="Arial" w:hAnsi="Arial"/>
          <w:sz w:val="17"/>
          <w:szCs w:val="17"/>
          <w:color w:val="auto"/>
        </w:rPr>
        <w:t xml:space="preserve"> (a) In order that the Corporation may determine the stockholders entitled to notice of any meeting of stockholders or any adjournment thereof, the Board of Directors may fix a record date, which record date shall not precede the date upon which the resolution fixing such record date is adopted by the Board of Directors, and which record date shall not be more than 60 nor less than 10 days before the date of such meeting. If the Board of Directors so fixes a date, such date shall also be the record date for determining the</w:t>
      </w:r>
    </w:p>
    <w:p>
      <w:pPr>
        <w:sectPr>
          <w:pgSz w:w="11900" w:h="16838" w:orient="portrait"/>
          <w:cols w:equalWidth="0" w:num="1">
            <w:col w:w="10980"/>
          </w:cols>
          <w:pgMar w:left="440" w:top="274" w:right="479" w:bottom="1440" w:gutter="0" w:footer="0" w:header="0"/>
        </w:sectPr>
      </w:pPr>
    </w:p>
    <w:bookmarkStart w:id="265" w:name="page266"/>
    <w:bookmarkEnd w:id="26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may in its discretion or as required by law fix a new record date for determination of stockholders entitled to vote at the adjourned meeting, and in such case shall fix the same date or an earlier date as the record date for stockholders entitled to notice of such adjourned meeting.</w:t>
      </w:r>
    </w:p>
    <w:p>
      <w:pPr>
        <w:spacing w:after="0" w:line="59" w:lineRule="exact"/>
        <w:rPr>
          <w:sz w:val="20"/>
          <w:szCs w:val="20"/>
          <w:color w:val="auto"/>
        </w:rPr>
      </w:pPr>
    </w:p>
    <w:p>
      <w:pPr>
        <w:ind w:right="40" w:firstLine="444"/>
        <w:spacing w:after="0" w:line="297" w:lineRule="auto"/>
        <w:tabs>
          <w:tab w:leader="none" w:pos="69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Dividends.</w:t>
      </w:r>
      <w:r>
        <w:rPr>
          <w:rFonts w:ascii="Arial" w:cs="Arial" w:eastAsia="Arial" w:hAnsi="Arial"/>
          <w:sz w:val="18"/>
          <w:szCs w:val="18"/>
          <w:color w:val="auto"/>
        </w:rPr>
        <w:t xml:space="preserve"> Subject to limitations contained in Delaware Law and the Certificate of Incorporation, the Board of Directors may declare and pay dividends upon the shares of capital stock of the Corporation, which dividends may be paid either in cash, in property or in shares of the capital stock of the Corporation.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Year.</w:t>
      </w:r>
      <w:r>
        <w:rPr>
          <w:rFonts w:ascii="Arial" w:cs="Arial" w:eastAsia="Arial" w:hAnsi="Arial"/>
          <w:sz w:val="18"/>
          <w:szCs w:val="18"/>
          <w:color w:val="auto"/>
        </w:rPr>
        <w:t xml:space="preserve"> The fiscal year of the Corporation shall commence on January 1 and end on December 31 of each year.</w:t>
      </w:r>
    </w:p>
    <w:p>
      <w:pPr>
        <w:spacing w:after="0" w:line="225"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Corporate Seal.</w:t>
      </w:r>
      <w:r>
        <w:rPr>
          <w:rFonts w:ascii="Arial" w:cs="Arial" w:eastAsia="Arial" w:hAnsi="Arial"/>
          <w:sz w:val="16"/>
          <w:szCs w:val="16"/>
          <w:color w:val="auto"/>
        </w:rPr>
        <w:t xml:space="preserve"> The corporate seal shall have inscribed thereon the name of the Corporation, the year of its organization and the words “Corporate Seal, Delaware”. The seal may be used by causing it or a facsimile thereof to be impressed, affixed or otherwise reproduced.</w:t>
      </w:r>
    </w:p>
    <w:p>
      <w:pPr>
        <w:spacing w:after="0" w:line="124"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Voting of Stock Owned by the Corporation.</w:t>
      </w:r>
      <w:r>
        <w:rPr>
          <w:rFonts w:ascii="Arial" w:cs="Arial" w:eastAsia="Arial" w:hAnsi="Arial"/>
          <w:sz w:val="18"/>
          <w:szCs w:val="18"/>
          <w:color w:val="auto"/>
        </w:rPr>
        <w:t xml:space="preserve"> The Board of Directors may authorize any person, on behalf of the Corporation, to attend, vote at and grant proxies to be used at any meeting of stockholders of any corporation (except this Corporation) in which the Corporation may hold stock.</w:t>
      </w:r>
    </w:p>
    <w:p>
      <w:pPr>
        <w:spacing w:after="0" w:line="18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Amendments.</w:t>
      </w:r>
      <w:r>
        <w:rPr>
          <w:rFonts w:ascii="Arial" w:cs="Arial" w:eastAsia="Arial" w:hAnsi="Arial"/>
          <w:sz w:val="18"/>
          <w:szCs w:val="18"/>
          <w:color w:val="auto"/>
        </w:rPr>
        <w:t xml:space="preserve"> These Bylaws or any of them, may be altered, amended or repealed, or new Bylaws may be made, by the stockholders entitled to vote thereon at any annual or special meeting thereof or by the Board of Directors. Unless a higher percentage is required by the Certificate of Incorporation as to any matter that is the subject of these Bylaws, all such amendments must be approved by (a) until the first date on which the Hart Entities or Permitted Assigns no longer beneficially own more than 50% of the outstanding shares of common stock of the Corporation, the affirmative vote of the holders of not less than a majority of the total voting power of all</w:t>
      </w:r>
    </w:p>
    <w:p>
      <w:pPr>
        <w:sectPr>
          <w:pgSz w:w="11900" w:h="16838" w:orient="portrait"/>
          <w:cols w:equalWidth="0" w:num="1">
            <w:col w:w="11020"/>
          </w:cols>
          <w:pgMar w:left="440" w:top="274" w:right="439" w:bottom="1440" w:gutter="0" w:footer="0" w:header="0"/>
        </w:sectPr>
      </w:pPr>
    </w:p>
    <w:bookmarkStart w:id="266" w:name="page267"/>
    <w:bookmarkEnd w:id="26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securities of the Corporation, generally entitled to vote in the election of directors, voting together as a single class, (b) from and after the first date on which the Hart Entities or Permitted Assigns no longer beneficially own more than 50% of the outstanding shares of common stock of the Corporation, the affirmative vote of the holders of not less than 662/3% of the total voting power of all outstanding securities of the Corporation, generally entitled to vote in the election of directors, voting together as a single class, or (c) a majority of the Board of Directors. So long as the Stockholders’ Agreement remains in effect, the Board of Directors shall not approve any amendment, alteration or repeal of any provision of these Bylaws, or the adoption of any new Bylaw, that would be contrary to or inconsistent with the then-applicable terms of the Stockholders’ Agreement. Notwithstanding the foregoing, no amendment to the Stockholders’ Agreement (whether or not such amendment modifies any provision to the Stockholders’ Agreement to which these Bylaws are subject) shall be deemed an amendment of these Bylaws for purposes of this Section 6.06.</w:t>
      </w:r>
    </w:p>
    <w:p>
      <w:pPr>
        <w:sectPr>
          <w:pgSz w:w="11900" w:h="16838" w:orient="portrait"/>
          <w:cols w:equalWidth="0" w:num="1">
            <w:col w:w="10840"/>
          </w:cols>
          <w:pgMar w:left="440" w:top="274" w:right="61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INDEMNIFICATION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corporation)</w:t>
      </w:r>
    </w:p>
    <w:p>
      <w:pPr>
        <w:spacing w:after="0" w:line="221" w:lineRule="exact"/>
        <w:rPr>
          <w:sz w:val="20"/>
          <w:szCs w:val="20"/>
          <w:color w:val="auto"/>
        </w:rPr>
      </w:pPr>
    </w:p>
    <w:p>
      <w:pPr>
        <w:ind w:right="700" w:firstLine="441"/>
        <w:spacing w:after="0" w:line="282" w:lineRule="auto"/>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made and entered into as of the [ ] day of [ ], 20[ ], by and between Reynolds Consumer Products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 ]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WHEREAS, highly competent persons have become more reluctant to serve publicly-held corporations as directors or officers unless they are provided with adequate protection through insurance or adequate indemnification against inordinate risks of claims and actions against them arising out of their service to and activities on behalf of the corporation.</w:t>
      </w:r>
    </w:p>
    <w:p>
      <w:pPr>
        <w:spacing w:after="0" w:line="17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WHEREAS, the Amended and Restated Certificate of Incorporation of the Company provide that the Company shall indemnify and advance expenses to all directors and officers of the Company in the manner set forth therein and to the fullest extent permitted by applicable law, and the Company’s Certificate of Incorporation provides for limitation of liability for directors. In addition, Indemnitee may be entitled to indemnification pursuant to the General Corporation Law of the State of Delaware (“</w:t>
      </w:r>
      <w:r>
        <w:rPr>
          <w:rFonts w:ascii="Arial" w:cs="Arial" w:eastAsia="Arial" w:hAnsi="Arial"/>
          <w:sz w:val="17"/>
          <w:szCs w:val="17"/>
          <w:b w:val="1"/>
          <w:bCs w:val="1"/>
          <w:color w:val="auto"/>
        </w:rPr>
        <w:t>DGCL</w:t>
      </w:r>
      <w:r>
        <w:rPr>
          <w:rFonts w:ascii="Arial" w:cs="Arial" w:eastAsia="Arial" w:hAnsi="Arial"/>
          <w:sz w:val="17"/>
          <w:szCs w:val="17"/>
          <w:color w:val="auto"/>
        </w:rPr>
        <w:t>”) . The Amended and Restated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78"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WHEREAS, the uncertainties relating to such insurance and to indemnification have increased the difficulty of attracting and retaining such persons.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68" w:name="page269"/>
    <w:bookmarkEnd w:id="268"/>
    <w:p>
      <w:pPr>
        <w:ind w:right="2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WHEREAS, the Board has determined that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WHEREAS, this Agreement is a supplement to and in furtherance of the Amended and Restated Certificate of Incorporation and Bylaws of the Company and any resolutions adopted pursuant thereto and shall not be deemed a substitute therefor, nor to diminish or abrogate any rights of Indemnitee thereunder.</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WHEREAS, Indemnitee does not regard the protection available under the Company’s Certificate of Incorporation and Bylaws and insurance as adequate in the present circumstances, and may not be willing to serve as an officer or director of the Company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w:t>
      </w:r>
      <w:r>
        <w:rPr>
          <w:rFonts w:ascii="Arial" w:cs="Arial" w:eastAsia="Arial" w:hAnsi="Arial"/>
          <w:sz w:val="18"/>
          <w:szCs w:val="18"/>
          <w:color w:val="auto"/>
        </w:rPr>
        <w:t xml:space="preserve"> D</w:t>
      </w:r>
      <w:r>
        <w:rPr>
          <w:rFonts w:ascii="Arial" w:cs="Arial" w:eastAsia="Arial" w:hAnsi="Arial"/>
          <w:sz w:val="15"/>
          <w:szCs w:val="15"/>
          <w:color w:val="auto"/>
        </w:rPr>
        <w:t>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As used in this Agreement:</w:t>
      </w:r>
    </w:p>
    <w:p>
      <w:pPr>
        <w:spacing w:after="0" w:line="113"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one of the following circumstances occurring after the date hereof: (i) there shall have occurred an event required to be reported with respect to the Company in response to Item 6(e) of Schedule 14A of Regulation 14A (or in response to any similar item or any similar schedule or form) under the Exchange Act, regardless of whether the Company is then subject to such reporting requirement; (ii) any “person” or “group” (as such terms are used in Sections 13(d) and 14(d) of the Exchange Act) shall have become, without prior approval of the Company’s Board by approval of at least a majority of the Continuing Directors, the “beneficial owner” (as defined in Rule 13d-3 under the Exchange Act), directly or indirectly, of securities of the Company representing 15% or more of the combined voting power of the Company’s then outstanding voting securities (provided that, for purposes of this clause (ii), the term “person” shall exclude (x) the Company, (y) any trustee or other fiduciary holding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69" w:name="page270"/>
    <w:bookmarkEnd w:id="26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under an employee benefit plan of the Company, and (z) any corporation owned, directly or indirectly, by the stockholders of the Company in substantially the same proportions as their ownership of stock of the Company); (iii) there occurs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or other governing body of such surviving entity; (iv) all or substantially all the assets of the Company are sold or disposed of in a transaction or series of related transactions; (v) the approval by the stockholders of the Company of a complete liquidation of the Company; or (vi) the Continuing Directors cease for any reason to constitute at least a majority of the members of the Board.</w:t>
      </w:r>
    </w:p>
    <w:p>
      <w:pPr>
        <w:spacing w:after="0" w:line="162"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w:t>
      </w:r>
      <w:r>
        <w:rPr>
          <w:rFonts w:ascii="Arial" w:cs="Arial" w:eastAsia="Arial" w:hAnsi="Arial"/>
          <w:sz w:val="18"/>
          <w:szCs w:val="18"/>
          <w:color w:val="auto"/>
        </w:rPr>
        <w:t>” means (i) each director on the Board on the date hereof, (ii) any new director whose election or nomination for election by the Company’s stockholders was approved by a vote of at least a majority of the directors then still in office who were directors on the date hereof or whose election or nomination was so approved or (iii) any new director whose election or nomination was made pursuant to any shareholders agreements that the Company has entered into with any of its shareholders.</w:t>
      </w:r>
    </w:p>
    <w:p>
      <w:pPr>
        <w:spacing w:after="0" w:line="180"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means the status of a person who is or was a director, officer, trustee, general partner, managing member, fiduciary, Board’s committee member, employee or agent of the Company or of any other Enterprise.</w:t>
      </w:r>
    </w:p>
    <w:p>
      <w:pPr>
        <w:spacing w:after="0" w:line="162"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62"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Enterprise</w:t>
      </w:r>
      <w:r>
        <w:rPr>
          <w:rFonts w:ascii="Arial" w:cs="Arial" w:eastAsia="Arial" w:hAnsi="Arial"/>
          <w:sz w:val="18"/>
          <w:szCs w:val="18"/>
          <w:color w:val="auto"/>
        </w:rPr>
        <w:t>” means the Company and any other corporation, limited liability company, partnership, joint venture, trust, employee benefit plan or other enterprise of which Indemnitee is or was serving at the request of the Company as a director, officer, trustee, general partner, managing member, fiduciary, Board’s committee member, employee or agent.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means all direct and indirect costs (including attorneys’ fees, retainers, court costs, transcripts, fees of experts, witness fees, travel expenses, duplicating costs, printing and binding costs, telephone charges, postage, delivery service fees, and all other disbursements or expenses) reasonably incurred in connection with (i) prosecuting, defending, preparing to prosecute or defend, investigating, being or preparing to be a witness in, or otherwise participating in,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70" w:name="page271"/>
    <w:bookmarkEnd w:id="27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or (ii) establishing or enforcing a right to indemnification under this Agreement, the Company’s Amended and Restated Certificate of Incorporation and/or Bylaws, applicable law or otherwise. Expenses also shall include Expenses incurred in connection with any appeal resulting from any Proceeding, including the premium, security for, and other costs relating to any cost bond, supersedeas bond, or other appeal bond or its equivalent. For the avoidance of doubt, Expenses, however, shall not include any Liabilities.</w:t>
      </w:r>
    </w:p>
    <w:p>
      <w:pPr>
        <w:spacing w:after="0" w:line="183"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Counsel</w:t>
      </w:r>
      <w:r>
        <w:rPr>
          <w:rFonts w:ascii="Arial" w:cs="Arial" w:eastAsia="Arial" w:hAnsi="Arial"/>
          <w:sz w:val="16"/>
          <w:szCs w:val="16"/>
          <w:color w:val="auto"/>
        </w:rPr>
        <w:t>” means a law firm, or a member of a law firm, that is experienced in matters of corporate law and neither currently is, nor in the five years previous to its selection or appointment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6"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losses or liabilities, including any judgments, fines, excise taxes and penalties, penalties and amounts paid in settlement, arising out of or in connection with any Proceeding (including all interest, assessments and other charges paid or payable in connection with or in respect of any such judgments, fines, excise taxes and penalties, penalties or amounts paid in settlement).</w:t>
      </w:r>
    </w:p>
    <w:p>
      <w:pPr>
        <w:spacing w:after="0" w:line="17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means any threatened, pending or completed action, derivative action, suit, claim, counterclaim, cross claim, arbitration, alternate dispute resolution mechanism, investigation, inquiry, administrative hearing or any other actual, threatened or completed proceeding, whether civil (including intentional and unintentional tort claims), criminal, administrative or investigative, including any appeal therefrom, and whether instituted by or on behalf of the Company or any other party, or any inquiry or investigation that Indemnitee in good faith believes might lead to the institution of any such action, suit or other proceeding hereinabove listed in which Indemnitee was, is or will be involved as a party, potential party, non-party witness or otherwise by reason of any Corporate Status of Indemnitee, or by reason of any action taken (or failure to act) by him or her or of any action (or failure to act) on his or her part while serving in any Corporate Status.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71" w:name="page272"/>
    <w:bookmarkEnd w:id="2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For the purposes of this Agreement:</w:t>
      </w:r>
    </w:p>
    <w:p>
      <w:pPr>
        <w:spacing w:after="0" w:line="117"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References to “Company” shall include, in addition to the resulting or surviving corporation, any constituent corporation (including any constituent of a constituent) absorbed in a consolidation or merger which,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then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65" w:lineRule="exact"/>
        <w:rPr>
          <w:sz w:val="20"/>
          <w:szCs w:val="20"/>
          <w:color w:val="auto"/>
        </w:rPr>
      </w:pPr>
    </w:p>
    <w:p>
      <w:pPr>
        <w:jc w:val="both"/>
        <w:ind w:right="120" w:firstLine="441"/>
        <w:spacing w:after="0" w:line="255" w:lineRule="auto"/>
        <w:rPr>
          <w:sz w:val="20"/>
          <w:szCs w:val="20"/>
          <w:color w:val="auto"/>
        </w:rPr>
      </w:pPr>
      <w:r>
        <w:rPr>
          <w:rFonts w:ascii="Arial" w:cs="Arial" w:eastAsia="Arial" w:hAnsi="Arial"/>
          <w:sz w:val="18"/>
          <w:szCs w:val="18"/>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Company” as referred to in this Agreement.</w:t>
      </w:r>
    </w:p>
    <w:p>
      <w:pPr>
        <w:spacing w:after="0" w:line="193"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Reference to “including” shall mean “including, without limitation,” regardless of whether the words “without limitation” actually appear, references to the words “herein,” “hereof” and “hereunder” and other words of similar import shall refer to this Agreement as a whole and not to any particular paragraph, subparagraph, section, subsection or other subdivision.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ERVICES</w:t>
      </w:r>
      <w:r>
        <w:rPr>
          <w:rFonts w:ascii="Arial" w:cs="Arial" w:eastAsia="Arial" w:hAnsi="Arial"/>
          <w:sz w:val="18"/>
          <w:szCs w:val="18"/>
          <w:color w:val="auto"/>
        </w:rPr>
        <w:t xml:space="preserve"> B</w:t>
      </w:r>
      <w:r>
        <w:rPr>
          <w:rFonts w:ascii="Arial" w:cs="Arial" w:eastAsia="Arial" w:hAnsi="Arial"/>
          <w:sz w:val="15"/>
          <w:szCs w:val="15"/>
          <w:color w:val="auto"/>
        </w:rPr>
        <w:t>Y</w:t>
      </w:r>
      <w:r>
        <w:rPr>
          <w:rFonts w:ascii="Arial" w:cs="Arial" w:eastAsia="Arial" w:hAnsi="Arial"/>
          <w:sz w:val="18"/>
          <w:szCs w:val="18"/>
          <w:color w:val="auto"/>
        </w:rPr>
        <w:t xml:space="preserve"> I</w:t>
      </w:r>
      <w:r>
        <w:rPr>
          <w:rFonts w:ascii="Arial" w:cs="Arial" w:eastAsia="Arial" w:hAnsi="Arial"/>
          <w:sz w:val="15"/>
          <w:szCs w:val="15"/>
          <w:color w:val="auto"/>
        </w:rPr>
        <w:t>NDEMNITEE</w:t>
      </w:r>
    </w:p>
    <w:p>
      <w:pPr>
        <w:spacing w:after="0" w:line="21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Section 2.01</w:t>
      </w:r>
      <w:r>
        <w:rPr>
          <w:rFonts w:ascii="Arial" w:cs="Arial" w:eastAsia="Arial" w:hAnsi="Arial"/>
          <w:sz w:val="17"/>
          <w:szCs w:val="17"/>
          <w:i w:val="1"/>
          <w:iCs w:val="1"/>
          <w:color w:val="auto"/>
        </w:rPr>
        <w:t>. Services By Indemnitee.</w:t>
      </w:r>
      <w:r>
        <w:rPr>
          <w:rFonts w:ascii="Arial" w:cs="Arial" w:eastAsia="Arial" w:hAnsi="Arial"/>
          <w:sz w:val="17"/>
          <w:szCs w:val="17"/>
          <w:color w:val="auto"/>
        </w:rPr>
        <w:t xml:space="preserve"> Indemnitee hereby agrees to serve or continue to serve, at the will of the Company, as a director or officer of the Company, for so long as Indemnitee is duly elected or appointed or until Indemnitee tenders his or her resignation or is removed.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NDEMNIFICATION</w:t>
      </w:r>
    </w:p>
    <w:p>
      <w:pPr>
        <w:spacing w:after="0" w:line="21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General.</w:t>
      </w:r>
      <w:r>
        <w:rPr>
          <w:rFonts w:ascii="Arial" w:cs="Arial" w:eastAsia="Arial" w:hAnsi="Arial"/>
          <w:sz w:val="16"/>
          <w:szCs w:val="16"/>
          <w:color w:val="auto"/>
        </w:rPr>
        <w:t xml:space="preserve"> (a) The Company hereby agrees to and shall indemnify Indemnitee and hold Indemnitee harmless from and against any and all Expenses and Liabilities, in either case, actually and reasonably incurred by Indemnitee or on Indemnitee’s behalf by reason of Indemnitee’s Corporate Status, to the fullest extent permitted by applicable law. The Company’s indemnification obligations set forth in this Section 3.01 shall apply</w:t>
      </w:r>
    </w:p>
    <w:p>
      <w:pPr>
        <w:ind w:right="660" w:firstLine="4"/>
        <w:spacing w:after="0" w:line="261" w:lineRule="auto"/>
        <w:tabs>
          <w:tab w:leader="none" w:pos="2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respect of Indemnitee’s past, present and future service in any Corporate Status and (ii) regardless of whether Indemnitee is serving in any Corporate Status at the time any such Expense or Liability is incurred.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2" w:name="page273"/>
    <w:bookmarkEnd w:id="27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the meaning of the phrase “to the fullest extent permitted by applicable law” shall include, but not be limited to:</w:t>
      </w:r>
    </w:p>
    <w:p>
      <w:pPr>
        <w:spacing w:after="0" w:line="140" w:lineRule="exact"/>
        <w:rPr>
          <w:sz w:val="20"/>
          <w:szCs w:val="20"/>
          <w:color w:val="auto"/>
        </w:rPr>
      </w:pPr>
    </w:p>
    <w:p>
      <w:pPr>
        <w:ind w:left="1080" w:hanging="212"/>
        <w:spacing w:after="0"/>
        <w:tabs>
          <w:tab w:leader="none" w:pos="10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fullest extent permitted by any provision of the DGCL, or the corresponding provision of any successor statute, and</w:t>
      </w:r>
    </w:p>
    <w:p>
      <w:pPr>
        <w:spacing w:after="0" w:line="117" w:lineRule="exact"/>
        <w:rPr>
          <w:rFonts w:ascii="Arial" w:cs="Arial" w:eastAsia="Arial" w:hAnsi="Arial"/>
          <w:sz w:val="18"/>
          <w:szCs w:val="18"/>
          <w:color w:val="auto"/>
        </w:rPr>
      </w:pPr>
    </w:p>
    <w:p>
      <w:pPr>
        <w:ind w:left="440" w:right="740" w:firstLine="428"/>
        <w:spacing w:after="0" w:line="277" w:lineRule="auto"/>
        <w:tabs>
          <w:tab w:leader="none" w:pos="112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62" w:lineRule="exact"/>
        <w:rPr>
          <w:rFonts w:ascii="Arial" w:cs="Arial" w:eastAsia="Arial" w:hAnsi="Arial"/>
          <w:sz w:val="18"/>
          <w:szCs w:val="18"/>
          <w:color w:val="auto"/>
        </w:rPr>
      </w:pPr>
    </w:p>
    <w:p>
      <w:pPr>
        <w:ind w:right="20" w:firstLine="444"/>
        <w:spacing w:after="0" w:line="264" w:lineRule="auto"/>
        <w:tabs>
          <w:tab w:leader="none" w:pos="695"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Witness Expenses</w:t>
      </w:r>
      <w:r>
        <w:rPr>
          <w:rFonts w:ascii="Arial" w:cs="Arial" w:eastAsia="Arial" w:hAnsi="Arial"/>
          <w:sz w:val="18"/>
          <w:szCs w:val="18"/>
          <w:color w:val="auto"/>
        </w:rPr>
        <w:t>. Notwithstanding any other provision of this Agreement, to the extent that Indemnitee is, by reason of his or her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Status, a witness in any Proceeding to which Indemnitee is not a party, he shall be indemnified against all Expenses actually and reasonably incurred by Indemnitee or on his or her behalf in connection therewith.</w:t>
      </w:r>
    </w:p>
    <w:p>
      <w:pPr>
        <w:spacing w:after="0" w:line="73" w:lineRule="exact"/>
        <w:rPr>
          <w:rFonts w:ascii="Arial" w:cs="Arial" w:eastAsia="Arial" w:hAnsi="Arial"/>
          <w:sz w:val="18"/>
          <w:szCs w:val="18"/>
          <w:color w:val="auto"/>
        </w:rPr>
      </w:pPr>
    </w:p>
    <w:p>
      <w:pPr>
        <w:ind w:right="40" w:firstLine="444"/>
        <w:spacing w:after="0" w:line="290" w:lineRule="auto"/>
        <w:tabs>
          <w:tab w:leader="none" w:pos="685"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Expenses as a Party Where Wholly or Partly Successful</w:t>
      </w:r>
      <w:r>
        <w:rPr>
          <w:rFonts w:ascii="Arial" w:cs="Arial" w:eastAsia="Arial" w:hAnsi="Arial"/>
          <w:sz w:val="16"/>
          <w:szCs w:val="16"/>
          <w:color w:val="auto"/>
        </w:rPr>
        <w:t>. Notwithstanding any other provisions of this Agreement, to the fullest extent</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by applicable law,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6"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Exclusions.</w:t>
      </w:r>
      <w:r>
        <w:rPr>
          <w:rFonts w:ascii="Arial" w:cs="Arial" w:eastAsia="Arial" w:hAnsi="Arial"/>
          <w:sz w:val="18"/>
          <w:szCs w:val="18"/>
          <w:color w:val="auto"/>
        </w:rPr>
        <w:t xml:space="preserve"> Notwithstanding any provision of this Agreement and unless Indemnitee ultimately is successful on the merits with respect to any such claim, the Company shall not be obligated under this Agreement to make any indemnity in connection with any claim made against Indemnitee:</w:t>
      </w:r>
    </w:p>
    <w:p>
      <w:pPr>
        <w:spacing w:after="0" w:line="73" w:lineRule="exact"/>
        <w:rPr>
          <w:sz w:val="20"/>
          <w:szCs w:val="20"/>
          <w:color w:val="auto"/>
        </w:rPr>
      </w:pPr>
    </w:p>
    <w:p>
      <w:pPr>
        <w:jc w:val="both"/>
        <w:ind w:firstLine="444"/>
        <w:spacing w:after="0" w:line="264" w:lineRule="auto"/>
        <w:tabs>
          <w:tab w:leader="none" w:pos="6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(i) an accounting of profits made from the purchase and sale (or sale and purchase) by Indemnitee of securities of the Company within the meaning of Section 16(b) of the Exchange Act or similar provisions of state statutory law or common law or (ii) any reimbursement of the Company by Indemnitee of any bonus or other incentive-based or equity-based compensation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73" w:name="page274"/>
    <w:bookmarkEnd w:id="27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or the payment to the Company of profits arising from the purchase and sale by Indemnitee of securities in violation of Section 306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Sarbanes-Oxley Act);</w:t>
      </w:r>
    </w:p>
    <w:p>
      <w:pPr>
        <w:spacing w:after="0" w:line="79" w:lineRule="exact"/>
        <w:rPr>
          <w:sz w:val="20"/>
          <w:szCs w:val="20"/>
          <w:color w:val="auto"/>
        </w:rPr>
      </w:pPr>
    </w:p>
    <w:p>
      <w:pPr>
        <w:ind w:right="120" w:firstLine="444"/>
        <w:spacing w:after="0" w:line="257" w:lineRule="auto"/>
        <w:tabs>
          <w:tab w:leader="none" w:pos="6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otherwise provided in Sections 6.01(e), prior to a Change of Control, in connection with any Proceeding (or any part of any Proceeding) initiated by Indemnitee (other than any cross claim or counterclaim asserted by the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80" w:lineRule="exact"/>
        <w:rPr>
          <w:rFonts w:ascii="Arial" w:cs="Arial" w:eastAsia="Arial" w:hAnsi="Arial"/>
          <w:sz w:val="18"/>
          <w:szCs w:val="18"/>
          <w:color w:val="auto"/>
        </w:rPr>
      </w:pPr>
    </w:p>
    <w:p>
      <w:pPr>
        <w:ind w:right="640" w:firstLine="444"/>
        <w:spacing w:after="0" w:line="277" w:lineRule="auto"/>
        <w:tabs>
          <w:tab w:leader="none" w:pos="6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conduct that is established by a final judgment not subject to further appeal to be in bad faith, knowingly fraudulent or deliberately dishonest or constituting willful misconduct (but only to the extent of such specific determination); or</w:t>
      </w:r>
    </w:p>
    <w:p>
      <w:pPr>
        <w:spacing w:after="0" w:line="62" w:lineRule="exact"/>
        <w:rPr>
          <w:rFonts w:ascii="Arial" w:cs="Arial" w:eastAsia="Arial" w:hAnsi="Arial"/>
          <w:sz w:val="18"/>
          <w:szCs w:val="18"/>
          <w:color w:val="auto"/>
        </w:rPr>
      </w:pPr>
    </w:p>
    <w:p>
      <w:pPr>
        <w:ind w:right="180" w:firstLine="444"/>
        <w:spacing w:after="0" w:line="277" w:lineRule="auto"/>
        <w:tabs>
          <w:tab w:leader="none" w:pos="6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conduct that is established by a final judgment not subject to further appeal as constituting a breach of Indemnitee’s duty of loyalty to the Company or resulting in any personal profit or advantage to which Indemnitee is not legally entitled.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sentence, a final judgment may be reached solely in the underlying proceeding.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DVANCEMENT</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E</w:t>
      </w:r>
      <w:r>
        <w:rPr>
          <w:rFonts w:ascii="Arial" w:cs="Arial" w:eastAsia="Arial" w:hAnsi="Arial"/>
          <w:sz w:val="15"/>
          <w:szCs w:val="15"/>
          <w:color w:val="auto"/>
        </w:rPr>
        <w:t>XPENSES</w:t>
      </w:r>
      <w:r>
        <w:rPr>
          <w:rFonts w:ascii="Arial" w:cs="Arial" w:eastAsia="Arial" w:hAnsi="Arial"/>
          <w:sz w:val="18"/>
          <w:szCs w:val="18"/>
          <w:color w:val="auto"/>
        </w:rPr>
        <w:t>; D</w:t>
      </w:r>
      <w:r>
        <w:rPr>
          <w:rFonts w:ascii="Arial" w:cs="Arial" w:eastAsia="Arial" w:hAnsi="Arial"/>
          <w:sz w:val="15"/>
          <w:szCs w:val="15"/>
          <w:color w:val="auto"/>
        </w:rPr>
        <w:t>EFENSE OF</w:t>
      </w:r>
      <w:r>
        <w:rPr>
          <w:rFonts w:ascii="Arial" w:cs="Arial" w:eastAsia="Arial" w:hAnsi="Arial"/>
          <w:sz w:val="18"/>
          <w:szCs w:val="18"/>
          <w:color w:val="auto"/>
        </w:rPr>
        <w:t xml:space="preserve"> C</w:t>
      </w:r>
      <w:r>
        <w:rPr>
          <w:rFonts w:ascii="Arial" w:cs="Arial" w:eastAsia="Arial" w:hAnsi="Arial"/>
          <w:sz w:val="15"/>
          <w:szCs w:val="15"/>
          <w:color w:val="auto"/>
        </w:rPr>
        <w:t>LAIMS</w:t>
      </w:r>
    </w:p>
    <w:p>
      <w:pPr>
        <w:spacing w:after="0" w:line="211"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Advances.</w:t>
      </w:r>
      <w:r>
        <w:rPr>
          <w:rFonts w:ascii="Arial" w:cs="Arial" w:eastAsia="Arial" w:hAnsi="Arial"/>
          <w:sz w:val="16"/>
          <w:szCs w:val="16"/>
          <w:color w:val="auto"/>
        </w:rPr>
        <w:t xml:space="preserve"> Notwithstanding any provision of this Agreement to the contrary, the Company shall advance any Expenses actually and reasonably incurred by Indemnitee in connection with any Proceeding within ten (10) days after the receipt by the Company of each statement requesting such advance from time to time, whether prior to or after final disposition of any Proceeding. Advances shall be unsecured and interest free. Advances shall be made without regard to Indemnitee’s ability to repay such amounts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to the Company to support the advances claimed.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4" w:name="page275"/>
    <w:bookmarkEnd w:id="274"/>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4.02</w:t>
      </w:r>
      <w:r>
        <w:rPr>
          <w:rFonts w:ascii="Arial" w:cs="Arial" w:eastAsia="Arial" w:hAnsi="Arial"/>
          <w:sz w:val="18"/>
          <w:szCs w:val="18"/>
          <w:i w:val="1"/>
          <w:iCs w:val="1"/>
          <w:color w:val="auto"/>
        </w:rPr>
        <w:t>. Repayment of Advances or Other Expenses.</w:t>
      </w:r>
      <w:r>
        <w:rPr>
          <w:rFonts w:ascii="Arial" w:cs="Arial" w:eastAsia="Arial" w:hAnsi="Arial"/>
          <w:sz w:val="18"/>
          <w:szCs w:val="18"/>
          <w:color w:val="auto"/>
        </w:rPr>
        <w:t xml:space="preserve"> Indemnitee agrees that Indemnitee shall reimburse the Company for all Expenses advanced by the Company pursuant to Section 4.01, in the event and only to the extent that it shall be determined by final judgment or other final adjudication under the provisions of any applicable law (as to which all rights of appeal therefrom have been exhausted or lapsed) that Indemnitee is not entitled to be indemnified by the Company for such Expenses.</w:t>
      </w:r>
    </w:p>
    <w:p>
      <w:pPr>
        <w:spacing w:after="0" w:line="18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Section 4.03</w:t>
      </w:r>
      <w:r>
        <w:rPr>
          <w:rFonts w:ascii="Arial" w:cs="Arial" w:eastAsia="Arial" w:hAnsi="Arial"/>
          <w:sz w:val="16"/>
          <w:szCs w:val="16"/>
          <w:i w:val="1"/>
          <w:iCs w:val="1"/>
          <w:color w:val="auto"/>
        </w:rPr>
        <w:t>. Defense of Claims.</w:t>
      </w:r>
      <w:r>
        <w:rPr>
          <w:rFonts w:ascii="Arial" w:cs="Arial" w:eastAsia="Arial" w:hAnsi="Arial"/>
          <w:sz w:val="16"/>
          <w:szCs w:val="16"/>
          <w:color w:val="auto"/>
        </w:rPr>
        <w:t xml:space="preserve"> The Company will be entitled to participate in the Proceeding at its own expense. The Company shall be entitled to assume the defense of any Proceeding with counsel consented to by Indemnitee (such consent not to be unreasonably withheld) upon the delivery by the Company to Indemnitee of written notice of the Company’s election to do so. After delivery of such notice, consent to such counsel by Indemnitee and the retention of such counsel by the Company, the Company will not be liable to Indemnitee under this Agreement for any fees or expenses of counsel subsequently incurred by Indemnitee with respect to such Proceeding; provided that (i) Indemnitee shall have the right to employ separate counsel in respect of any Proceeding at Indemnitee’s expense and (ii) if (A) the employment of counsel by Indemnitee has been previously authorized in writing by the Company or (B) Indemnitee shall have reasonably concluded upon the advice of counsel that there is a conflict of interest between the Company and Indemnitee in the conduct of the defense of such Proceeding, then in each such case the fees and expenses of Indemnitee’s counsel shall be at the Company’s expense. The Company shall not settle any action, claim or Proceeding (in whole or in part) which would impose any Expense, judgment, fine, penalty or limitation on Indemnitee without Indemnitee’s prior written consent, such consent not to be unreasonably withheld. Indemnitee shall not settle any action, claim or Proceeding (in whole or in part) which would impose any Expense, judgment, fine, penalty or limitation on the Company without the Company’s prior written consent, such consent not to be unreasonably withheld.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ROCEDURES</w:t>
      </w:r>
      <w:r>
        <w:rPr>
          <w:rFonts w:ascii="Arial" w:cs="Arial" w:eastAsia="Arial" w:hAnsi="Arial"/>
          <w:sz w:val="18"/>
          <w:szCs w:val="18"/>
          <w:color w:val="auto"/>
        </w:rPr>
        <w:t xml:space="preserve"> F</w:t>
      </w:r>
      <w:r>
        <w:rPr>
          <w:rFonts w:ascii="Arial" w:cs="Arial" w:eastAsia="Arial" w:hAnsi="Arial"/>
          <w:sz w:val="15"/>
          <w:szCs w:val="15"/>
          <w:color w:val="auto"/>
        </w:rPr>
        <w:t>OR</w:t>
      </w:r>
      <w:r>
        <w:rPr>
          <w:rFonts w:ascii="Arial" w:cs="Arial" w:eastAsia="Arial" w:hAnsi="Arial"/>
          <w:sz w:val="18"/>
          <w:szCs w:val="18"/>
          <w:color w:val="auto"/>
        </w:rPr>
        <w:t xml:space="preserve"> N</w:t>
      </w:r>
      <w:r>
        <w:rPr>
          <w:rFonts w:ascii="Arial" w:cs="Arial" w:eastAsia="Arial" w:hAnsi="Arial"/>
          <w:sz w:val="15"/>
          <w:szCs w:val="15"/>
          <w:color w:val="auto"/>
        </w:rPr>
        <w:t>OTIFICATION OF AND</w:t>
      </w:r>
      <w:r>
        <w:rPr>
          <w:rFonts w:ascii="Arial" w:cs="Arial" w:eastAsia="Arial" w:hAnsi="Arial"/>
          <w:sz w:val="18"/>
          <w:szCs w:val="18"/>
          <w:color w:val="auto"/>
        </w:rPr>
        <w:t xml:space="preserve"> D</w:t>
      </w:r>
      <w:r>
        <w:rPr>
          <w:rFonts w:ascii="Arial" w:cs="Arial" w:eastAsia="Arial" w:hAnsi="Arial"/>
          <w:sz w:val="15"/>
          <w:szCs w:val="15"/>
          <w:color w:val="auto"/>
        </w:rPr>
        <w:t>ETERMINATION OF</w:t>
      </w:r>
      <w:r>
        <w:rPr>
          <w:rFonts w:ascii="Arial" w:cs="Arial" w:eastAsia="Arial" w:hAnsi="Arial"/>
          <w:sz w:val="18"/>
          <w:szCs w:val="18"/>
          <w:color w:val="auto"/>
        </w:rPr>
        <w:t xml:space="preserve"> E</w:t>
      </w:r>
      <w:r>
        <w:rPr>
          <w:rFonts w:ascii="Arial" w:cs="Arial" w:eastAsia="Arial" w:hAnsi="Arial"/>
          <w:sz w:val="15"/>
          <w:szCs w:val="15"/>
          <w:color w:val="auto"/>
        </w:rPr>
        <w:t>NTITLEMENT</w:t>
      </w:r>
      <w:r>
        <w:rPr>
          <w:rFonts w:ascii="Arial" w:cs="Arial" w:eastAsia="Arial" w:hAnsi="Arial"/>
          <w:sz w:val="18"/>
          <w:szCs w:val="18"/>
          <w:color w:val="auto"/>
        </w:rPr>
        <w:t xml:space="preserve"> T</w:t>
      </w:r>
      <w:r>
        <w:rPr>
          <w:rFonts w:ascii="Arial" w:cs="Arial" w:eastAsia="Arial" w:hAnsi="Arial"/>
          <w:sz w:val="15"/>
          <w:szCs w:val="15"/>
          <w:color w:val="auto"/>
        </w:rPr>
        <w:t>O</w:t>
      </w:r>
      <w:r>
        <w:rPr>
          <w:rFonts w:ascii="Arial" w:cs="Arial" w:eastAsia="Arial" w:hAnsi="Arial"/>
          <w:sz w:val="18"/>
          <w:szCs w:val="18"/>
          <w:color w:val="auto"/>
        </w:rPr>
        <w:t xml:space="preserve"> I</w:t>
      </w:r>
      <w:r>
        <w:rPr>
          <w:rFonts w:ascii="Arial" w:cs="Arial" w:eastAsia="Arial" w:hAnsi="Arial"/>
          <w:sz w:val="15"/>
          <w:szCs w:val="15"/>
          <w:color w:val="auto"/>
        </w:rPr>
        <w:t>NDEMNIFICATION</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Notification; Request For Indemnification.</w:t>
      </w:r>
      <w:r>
        <w:rPr>
          <w:rFonts w:ascii="Arial" w:cs="Arial" w:eastAsia="Arial" w:hAnsi="Arial"/>
          <w:sz w:val="18"/>
          <w:szCs w:val="18"/>
          <w:color w:val="auto"/>
        </w:rPr>
        <w:t xml:space="preserve"> (a) As soon as reasonably practicable after receipt by Indemnitee of written notice that he is a party to or a participant (as a witness or otherwise) in any Proceeding or of any other matter in respect of which Indemnitee intends to seek indemnification or advancement of Expenses hereunder, Indemnitee shall provide to the Company written notice thereof, including the nature of and the facts underlying the Proceeding. The omission by Indemnitee to so notify the Company will not relieve the Company from any liability which it may have to Indemnitee hereunder or otherwise.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75" w:name="page276"/>
    <w:bookmarkEnd w:id="275"/>
    <w:p>
      <w:pPr>
        <w:ind w:right="80" w:firstLine="444"/>
        <w:spacing w:after="0" w:line="302" w:lineRule="auto"/>
        <w:tabs>
          <w:tab w:leader="none" w:pos="696"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obtain indemnification under this Agreement, Indemnitee shall deliver to the Company a written request for indemnification, including therewith such information as is reasonably available to Indemnitee and reasonably necessary to determine Indemnitee’s entitlement to indemnification hereunder. Such request(s) may be delivered from time to time and at such time(s) as Indemnitee deems appropriate in his or her sole discretion. Indemnitee’s entitlement to indemnification shall be determined according to Section 5.02 of this Agreement and applicable law.</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5.02</w:t>
      </w:r>
      <w:r>
        <w:rPr>
          <w:rFonts w:ascii="Arial" w:cs="Arial" w:eastAsia="Arial" w:hAnsi="Arial"/>
          <w:sz w:val="17"/>
          <w:szCs w:val="17"/>
          <w:i w:val="1"/>
          <w:iCs w:val="1"/>
          <w:color w:val="auto"/>
        </w:rPr>
        <w:t>. Determination of Entitlement.</w:t>
      </w:r>
      <w:r>
        <w:rPr>
          <w:rFonts w:ascii="Arial" w:cs="Arial" w:eastAsia="Arial" w:hAnsi="Arial"/>
          <w:sz w:val="17"/>
          <w:szCs w:val="17"/>
          <w:color w:val="auto"/>
        </w:rPr>
        <w:t xml:space="preserve"> (a) Where there has been a written request by Indemnitee for indemnification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5.01(b), then as soon as is reasonably practicable (but in any event not later than 60 days) after final disposition of the relevant Proceeding,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determination, if required by applicable law, with respect to Indemnitee’s entitlement thereto shall be made in the specific case: (i) if a Change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Control shall not have occurred, (A) by a majority vote of the Disinterested Directors, even though less than a quorum of the Board, (B) by a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Disinterested Directors designated by a majority vote of the Disinterested Directors, even though less than a quorum of the Board, (C) if there are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Disinterested Directors or, if such Disinterested Directors so direct, by Independent Counsel in a written opinion to the Board, a copy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delivered to Indemnitee; or (ii) if a Change of Control shall have occurred, by Independent Counsel in a written opinion to the Board, a copy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shall be delivered to Indemnitee. If it is so determined that Indemnitee is entitled to indemnification, payment to Indemnitee shall be made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 (10) days after such determination. Indemnitee shall reasonably cooperate with the person, persons or entity making such determination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Indemnitee’s entitlement to indemnification, including providing to such person, persons or entity upon reasonable advance request 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documentation or information which is not privileged or otherwise protected from disclosure and which is reasonably available to Indemnitee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reasonably necessary to such determination. Any costs or expenses (including attorneys’ fees and disbursements) actually and reasonably incurred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Indemnitee in so cooperating with the person, persons or entity making such determination shall be borne by the Company (irrespective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determination as to Indemnitee’s entitlement to indemnification).</w:t>
      </w:r>
    </w:p>
    <w:p>
      <w:pPr>
        <w:spacing w:after="0" w:line="103" w:lineRule="exact"/>
        <w:rPr>
          <w:sz w:val="20"/>
          <w:szCs w:val="20"/>
          <w:color w:val="auto"/>
        </w:rPr>
      </w:pPr>
    </w:p>
    <w:p>
      <w:pPr>
        <w:ind w:firstLine="444"/>
        <w:spacing w:after="0" w:line="293" w:lineRule="auto"/>
        <w:tabs>
          <w:tab w:leader="none" w:pos="69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entitlement to indemnification is to be determined by Independent Counsel pursuant to Section 5.02(a)(ii), such Independent Counsel shall be selected by Indemnitee, and Indemnitee shall give written notice to the Company advising it of the identity of the Independent Counsel so selected. If entitlement to indemnification is to be determined by Independent Counsel pursuant to Section 5.02(a)(i)(C) (or if Indemnitee requests that such selection be made by the Board), such Independent Counsel shall be selected by the Company in which case the Company shall give written notice to Indemnitee advising him or her of the identity of the Independent Counsel so selected. In either event, Indemnitee or the Company, as the case may be, may, within 10 days after such written notice of selection shall have been received, deliver to the Company or to Indemnitee, as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76" w:name="page277"/>
    <w:bookmarkEnd w:id="27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case may be, a written objection to such selection; provided, however,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20 days after the later of submission by Indemnitee of a written request for indemnification pursuant to Section 5.01(b) hereof and the final disposition of the Proceeding,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5.02(a) hereof. Upon the due commencement of any judicial proceeding or arbitration pursuant to Section 6.01(a) of this Agreement, the Independent Counsel shall be discharged and relieved of any further responsibility in such capacity (subject to the applicable standards of professional conduct then prevailing).</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Company agrees to pay the reasonable fees and expenses of any Independent Counsel serving under this Agreement.</w:t>
      </w:r>
    </w:p>
    <w:p>
      <w:pPr>
        <w:spacing w:after="0" w:line="22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Section 5.03</w:t>
      </w:r>
      <w:r>
        <w:rPr>
          <w:rFonts w:ascii="Arial" w:cs="Arial" w:eastAsia="Arial" w:hAnsi="Arial"/>
          <w:sz w:val="17"/>
          <w:szCs w:val="17"/>
          <w:i w:val="1"/>
          <w:iCs w:val="1"/>
          <w:color w:val="auto"/>
        </w:rPr>
        <w:t>. Presumptions and Burdens of Proof; Effect of Certain Proceedings.</w:t>
      </w:r>
      <w:r>
        <w:rPr>
          <w:rFonts w:ascii="Arial" w:cs="Arial" w:eastAsia="Arial" w:hAnsi="Arial"/>
          <w:sz w:val="17"/>
          <w:szCs w:val="17"/>
          <w:color w:val="auto"/>
        </w:rPr>
        <w:t xml:space="preserve"> (a) In making any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5.01(b) of this Agreement, and the Company shall, to the fullest extent not prohibited by law, have the burden of proof to overcome that presumption in connection with the making by any person, persons or entity of any determination contrary to that presumption. Neither the failure of any person, persons or entity to have made a determination prior to the commencement of any action pursuant to this Agreement that indemnification is proper in the circumstances because Indemnitee has met the applicable standard of conduct, nor an actual determination by any person, persons or entity that Indemnitee has not met such applicable standard of conduct, shall be a defense to the action or create a presumption that Indemnitee has not met the applicable standard of conduct.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7" w:name="page278"/>
    <w:bookmarkEnd w:id="277"/>
    <w:p>
      <w:pPr>
        <w:ind w:right="40" w:firstLine="444"/>
        <w:spacing w:after="0" w:line="271" w:lineRule="auto"/>
        <w:tabs>
          <w:tab w:leader="none" w:pos="696" w:val="left"/>
        </w:tabs>
        <w:numPr>
          <w:ilvl w:val="0"/>
          <w:numId w:val="1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person, persons or entity empowered or selected under Section 5.02 of this Agreement to determine whether Indemnitee is entitled to indemnification shall not have made a determination within the sixty (60) day period referred to in Section 5.02(a),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however, that such 60-day period may be extended for a reasonable time, not to exceed an additional thirty (30) days, if the person, persons or</w:t>
      </w:r>
      <w:r>
        <w:rPr>
          <w:rFonts w:ascii="Arial" w:cs="Arial" w:eastAsia="Arial" w:hAnsi="Arial"/>
          <w:sz w:val="17"/>
          <w:szCs w:val="17"/>
          <w:i w:val="1"/>
          <w:iCs w:val="1"/>
          <w:color w:val="auto"/>
        </w:rPr>
        <w:t xml:space="preserve"> </w:t>
      </w:r>
      <w:r>
        <w:rPr>
          <w:rFonts w:ascii="Arial" w:cs="Arial" w:eastAsia="Arial" w:hAnsi="Arial"/>
          <w:sz w:val="17"/>
          <w:szCs w:val="17"/>
          <w:color w:val="auto"/>
        </w:rPr>
        <w:t>entity making the determination with respect to entitlement to indemnification in good faith requires such additional time for the obtaining or evaluating of documentation and/or information relating thereto.</w:t>
      </w:r>
    </w:p>
    <w:p>
      <w:pPr>
        <w:spacing w:after="0" w:line="70" w:lineRule="exact"/>
        <w:rPr>
          <w:rFonts w:ascii="Arial" w:cs="Arial" w:eastAsia="Arial" w:hAnsi="Arial"/>
          <w:sz w:val="17"/>
          <w:szCs w:val="17"/>
          <w:color w:val="auto"/>
        </w:rPr>
      </w:pPr>
    </w:p>
    <w:p>
      <w:pPr>
        <w:ind w:firstLine="444"/>
        <w:spacing w:after="0" w:line="257"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or her conduct was unlawful.</w:t>
      </w:r>
    </w:p>
    <w:p>
      <w:pPr>
        <w:spacing w:after="0" w:line="80" w:lineRule="exact"/>
        <w:rPr>
          <w:rFonts w:ascii="Arial" w:cs="Arial" w:eastAsia="Arial" w:hAnsi="Arial"/>
          <w:sz w:val="18"/>
          <w:szCs w:val="18"/>
          <w:color w:val="auto"/>
        </w:rPr>
      </w:pPr>
    </w:p>
    <w:p>
      <w:pPr>
        <w:ind w:firstLine="444"/>
        <w:spacing w:after="0" w:line="273" w:lineRule="auto"/>
        <w:tabs>
          <w:tab w:leader="none" w:pos="69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if Indemnitee’s action is in good faith reliance on the records or books of account of any Enterprise, including financial statements, or on information supplied to Indemnitee by the officers of such Enterprise in the course of their duties, or on the advice of legal counsel for such Enterprise or on information or records given or reports made to such Enterprise by an independent certified public accountant or by an appraiser or other expert selected by such Enterprise. The provisions of this Section 5.03(d) shall not be deemed to be exclusive or to limit in any way the other circumstances in which Indemnitee may be deemed or found to have met the applicable standard of conduct set forth in this Agreement.</w:t>
      </w:r>
    </w:p>
    <w:p>
      <w:pPr>
        <w:spacing w:after="0" w:line="70" w:lineRule="exact"/>
        <w:rPr>
          <w:rFonts w:ascii="Arial" w:cs="Arial" w:eastAsia="Arial" w:hAnsi="Arial"/>
          <w:sz w:val="17"/>
          <w:szCs w:val="17"/>
          <w:color w:val="auto"/>
        </w:rPr>
      </w:pPr>
    </w:p>
    <w:p>
      <w:pPr>
        <w:ind w:right="80" w:firstLine="444"/>
        <w:spacing w:after="0" w:line="308" w:lineRule="auto"/>
        <w:tabs>
          <w:tab w:leader="none" w:pos="68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trustee, partner, managing member, fiduciary, officer, agent or employee of any Enterprise shall not be imputed to Indemnitee for purposes of determining any right to indemnification under this Agreement.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EMEDIES OF</w:t>
      </w:r>
      <w:r>
        <w:rPr>
          <w:rFonts w:ascii="Arial" w:cs="Arial" w:eastAsia="Arial" w:hAnsi="Arial"/>
          <w:sz w:val="18"/>
          <w:szCs w:val="18"/>
          <w:color w:val="auto"/>
        </w:rPr>
        <w:t xml:space="preserve"> I</w:t>
      </w:r>
      <w:r>
        <w:rPr>
          <w:rFonts w:ascii="Arial" w:cs="Arial" w:eastAsia="Arial" w:hAnsi="Arial"/>
          <w:sz w:val="15"/>
          <w:szCs w:val="15"/>
          <w:color w:val="auto"/>
        </w:rPr>
        <w:t>NDEMNITEE</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Adjudication or Arbitration</w:t>
      </w:r>
      <w:r>
        <w:rPr>
          <w:rFonts w:ascii="Arial" w:cs="Arial" w:eastAsia="Arial" w:hAnsi="Arial"/>
          <w:sz w:val="18"/>
          <w:szCs w:val="18"/>
          <w:color w:val="auto"/>
        </w:rPr>
        <w:t>. (a) In the event of any dispute between Indemnitee and the Company hereunder as to entitlement to indemnification or advancement of Expenses (including where (i) a determination is made pursuant to Section 5.02 of this Agreement that Indemnitee is not entitled to indemnification under this Agreement, (ii) advancement of Expenses is not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78" w:name="page279"/>
    <w:bookmarkEnd w:id="27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timely made pursuant to Section 4.01 of this Agreement, (iii) payment of indemnification pursuant to Section 3.01 of this Agreement is not made within ten (10) days after a determination has been made that Indemnitee is entitled to indemnification, (iv) no determination as to entitlement to indemnification is timely made pursuant to Section 5.02 of this Agreement and no payment of indemnification is made within ten (10) days after entitlement is deemed to have been determined pursuant to Section 5.03(b)) or (v) a contribution payment is not made in a timely manner pursuant to Section 8.04 of this Agreement, then Indemnitee shall be entitled to an adjudication by a court of his or her entitlement to such indemnification, contribution or advancement. Alternatively, in such case, Indemnitee, at his or her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spacing w:after="0" w:line="84" w:lineRule="exact"/>
        <w:rPr>
          <w:sz w:val="20"/>
          <w:szCs w:val="20"/>
          <w:color w:val="auto"/>
        </w:rPr>
      </w:pPr>
    </w:p>
    <w:p>
      <w:pPr>
        <w:ind w:firstLine="444"/>
        <w:spacing w:after="0" w:line="271" w:lineRule="auto"/>
        <w:tabs>
          <w:tab w:leader="none" w:pos="69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In the event that a determination shall have been made pursuant to Section 5.02(a) of this Agreement that Indemnitee is not entitled to indemnification, any judicial proceeding or arbitration commenced pursuant to this Section 6.01 shall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shall not be prejudiced by reason of that adverse determination. In any judicial proceeding or arbitration commenced pursuant to this Section 6.01 the Company shall have the burden of proving Indemnitee is not entitled to indemnification or advancement of Expenses, as the case may be, and the Company may not refer to or introduce into evidence any determination pursuant to Section 5.02(a) of this Agreement adverse to Indemnitee for any purpose. If Indemnitee commences a judicial proceeding or arbitration pursuant to this Section 6.01, Indemnitee shall not be required to reimburse the Company for any advances pursuant to Section 4.02 until a final determination is made with respect to Indemnitee’s entitlement to indemnification (as to which all rights of appeal have been exhausted or lapsed).</w:t>
      </w:r>
    </w:p>
    <w:p>
      <w:pPr>
        <w:spacing w:after="0" w:line="70" w:lineRule="exact"/>
        <w:rPr>
          <w:rFonts w:ascii="Arial" w:cs="Arial" w:eastAsia="Arial" w:hAnsi="Arial"/>
          <w:sz w:val="17"/>
          <w:szCs w:val="17"/>
          <w:color w:val="auto"/>
        </w:rPr>
      </w:pPr>
    </w:p>
    <w:p>
      <w:pPr>
        <w:ind w:right="80" w:firstLine="444"/>
        <w:spacing w:after="0" w:line="279" w:lineRule="auto"/>
        <w:tabs>
          <w:tab w:leader="none" w:pos="68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5.02(a) of this Agreement that Indemnitee is entitled to indemnification, the Company shall be bound by such determination in any judicial proceeding or arbitration commenced pursuant to this Section 6.01,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63" w:lineRule="exact"/>
        <w:rPr>
          <w:rFonts w:ascii="Arial" w:cs="Arial" w:eastAsia="Arial" w:hAnsi="Arial"/>
          <w:sz w:val="17"/>
          <w:szCs w:val="17"/>
          <w:color w:val="auto"/>
        </w:rPr>
      </w:pPr>
    </w:p>
    <w:p>
      <w:pPr>
        <w:ind w:right="40" w:firstLine="444"/>
        <w:spacing w:after="0" w:line="264" w:lineRule="auto"/>
        <w:tabs>
          <w:tab w:leader="none" w:pos="69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6.01 that the procedures and presumptions of this Agreement are not valid, binding and enforceable and shall stipulate in any such court or before any such arbitrator that the Company is bound by all the provisions of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79" w:name="page280"/>
    <w:bookmarkEnd w:id="279"/>
    <w:p>
      <w:pPr>
        <w:ind w:right="140" w:firstLine="444"/>
        <w:spacing w:after="0" w:line="254" w:lineRule="auto"/>
        <w:tabs>
          <w:tab w:leader="none" w:pos="685"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indemnify Indemnitee to the fullest extent permitted by law against all Expenses and, if requested by Indemnitee, shall (within ten (10) days after the Company’s receipt of such written request) advance such Expenses to Indemnitee, which are reasonably incurred by Indemnitee in connection with any judicial proceeding or arbitration brought by Indemnitee for (i) indemnification or advances of Expenses by the Company (or otherwise for the enforcement, interpretation or defense of his or her rights) under this Agreement or any other agreement, including any other indemnification, contribution or advancement agreement, or any provision of the Company’s Certificate of Incorporation or Bylaws now or hereafter in effect or (ii) recovery or advances under any directors’ and officers’ liability insurance policy maintained by the Company, regardless of whether Indemnitee ultimately is determined to be entitled to such indemnification, contribution, advancement or insurance recovery, as the case may be.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IRECTORS</w:t>
      </w:r>
      <w:r>
        <w:rPr>
          <w:rFonts w:ascii="Arial" w:cs="Arial" w:eastAsia="Arial" w:hAnsi="Arial"/>
          <w:sz w:val="18"/>
          <w:szCs w:val="18"/>
          <w:color w:val="auto"/>
        </w:rPr>
        <w:t xml:space="preserve">’ </w:t>
      </w:r>
      <w:r>
        <w:rPr>
          <w:rFonts w:ascii="Arial" w:cs="Arial" w:eastAsia="Arial" w:hAnsi="Arial"/>
          <w:sz w:val="15"/>
          <w:szCs w:val="15"/>
          <w:color w:val="auto"/>
        </w:rPr>
        <w:t>AND</w:t>
      </w:r>
      <w:r>
        <w:rPr>
          <w:rFonts w:ascii="Arial" w:cs="Arial" w:eastAsia="Arial" w:hAnsi="Arial"/>
          <w:sz w:val="18"/>
          <w:szCs w:val="18"/>
          <w:color w:val="auto"/>
        </w:rPr>
        <w:t xml:space="preserve"> O</w:t>
      </w:r>
      <w:r>
        <w:rPr>
          <w:rFonts w:ascii="Arial" w:cs="Arial" w:eastAsia="Arial" w:hAnsi="Arial"/>
          <w:sz w:val="15"/>
          <w:szCs w:val="15"/>
          <w:color w:val="auto"/>
        </w:rPr>
        <w:t>FFICERS</w:t>
      </w:r>
      <w:r>
        <w:rPr>
          <w:rFonts w:ascii="Arial" w:cs="Arial" w:eastAsia="Arial" w:hAnsi="Arial"/>
          <w:sz w:val="18"/>
          <w:szCs w:val="18"/>
          <w:color w:val="auto"/>
        </w:rPr>
        <w:t>’ L</w:t>
      </w:r>
      <w:r>
        <w:rPr>
          <w:rFonts w:ascii="Arial" w:cs="Arial" w:eastAsia="Arial" w:hAnsi="Arial"/>
          <w:sz w:val="15"/>
          <w:szCs w:val="15"/>
          <w:color w:val="auto"/>
        </w:rPr>
        <w:t>IABILITY</w:t>
      </w:r>
      <w:r>
        <w:rPr>
          <w:rFonts w:ascii="Arial" w:cs="Arial" w:eastAsia="Arial" w:hAnsi="Arial"/>
          <w:sz w:val="18"/>
          <w:szCs w:val="18"/>
          <w:color w:val="auto"/>
        </w:rPr>
        <w:t xml:space="preserve"> I</w:t>
      </w:r>
      <w:r>
        <w:rPr>
          <w:rFonts w:ascii="Arial" w:cs="Arial" w:eastAsia="Arial" w:hAnsi="Arial"/>
          <w:sz w:val="15"/>
          <w:szCs w:val="15"/>
          <w:color w:val="auto"/>
        </w:rPr>
        <w:t>NSURANCE</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D&amp;O Liability Insurance.</w:t>
      </w:r>
      <w:r>
        <w:rPr>
          <w:rFonts w:ascii="Arial" w:cs="Arial" w:eastAsia="Arial" w:hAnsi="Arial"/>
          <w:sz w:val="18"/>
          <w:szCs w:val="18"/>
          <w:color w:val="auto"/>
        </w:rPr>
        <w:t xml:space="preserve"> To the extent that the Company maintains a policy or policies of insurance providing liability insurance for directors and officers of the Company in their capacities as such (and for any capacity in which any director or officer of the Company serves any other Enterprise at the request of the Company), in respect of acts or omissions occurring while serving in such capacity, Indemnitee shall be covered by such policy or policies, in accordance with its or their terms, to the maximum extent of the coverage available for any other director or officer under such policy or policies.</w:t>
      </w:r>
    </w:p>
    <w:p>
      <w:pPr>
        <w:spacing w:after="0" w:line="188"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Evidence of Coverage.</w:t>
      </w:r>
      <w:r>
        <w:rPr>
          <w:rFonts w:ascii="Arial" w:cs="Arial" w:eastAsia="Arial" w:hAnsi="Arial"/>
          <w:sz w:val="18"/>
          <w:szCs w:val="18"/>
          <w:color w:val="auto"/>
        </w:rPr>
        <w:t xml:space="preserve"> Upon request by Indemnitee, the Company shall provide copies of all policies of D&amp;O Liability Insurance obtained and maintained in accordance with Section 7.01 of this Agreement. The Company shall promptly notify Indemnitee of any changes in such insurance coverage.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Section 8.01</w:t>
      </w:r>
      <w:r>
        <w:rPr>
          <w:rFonts w:ascii="Arial" w:cs="Arial" w:eastAsia="Arial" w:hAnsi="Arial"/>
          <w:sz w:val="16"/>
          <w:szCs w:val="16"/>
          <w:i w:val="1"/>
          <w:iCs w:val="1"/>
          <w:color w:val="auto"/>
        </w:rPr>
        <w:t>. Nonexclusivity of Rights.</w:t>
      </w:r>
      <w:r>
        <w:rPr>
          <w:rFonts w:ascii="Arial" w:cs="Arial" w:eastAsia="Arial" w:hAnsi="Arial"/>
          <w:sz w:val="16"/>
          <w:szCs w:val="16"/>
          <w:color w:val="auto"/>
        </w:rPr>
        <w:t xml:space="preserve"> The rights of indemnification, contribution and advancement of Expenses as provided by this Agreement shall not be deemed exclusive of any other rights to which Indemnitee may at any time be entitled to under applicable law, the Company’s Certificate of Incorporation, the Company’s Bylaws, any agreement, a vote of stockholders or a resolution of directors, or otherwise.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80" w:name="page281"/>
    <w:bookmarkEnd w:id="280"/>
    <w:p>
      <w:pPr>
        <w:ind w:right="8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8.02</w:t>
      </w:r>
      <w:r>
        <w:rPr>
          <w:rFonts w:ascii="Arial" w:cs="Arial" w:eastAsia="Arial" w:hAnsi="Arial"/>
          <w:sz w:val="17"/>
          <w:szCs w:val="17"/>
          <w:i w:val="1"/>
          <w:iCs w:val="1"/>
          <w:color w:val="auto"/>
        </w:rPr>
        <w:t>. Insurance and Subrogation.</w:t>
      </w:r>
      <w:r>
        <w:rPr>
          <w:rFonts w:ascii="Arial" w:cs="Arial" w:eastAsia="Arial" w:hAnsi="Arial"/>
          <w:sz w:val="17"/>
          <w:szCs w:val="17"/>
          <w:color w:val="auto"/>
        </w:rPr>
        <w:t xml:space="preserve"> (a) If, at the time the Company receives notice of a claim hereunder,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The failure or refusal of any such insurer to pay any such amount shall not affect or impair the obligations of the Company under this Agreement.</w:t>
      </w:r>
    </w:p>
    <w:p>
      <w:pPr>
        <w:spacing w:after="0" w:line="64" w:lineRule="exact"/>
        <w:rPr>
          <w:sz w:val="20"/>
          <w:szCs w:val="20"/>
          <w:color w:val="auto"/>
        </w:rPr>
      </w:pPr>
    </w:p>
    <w:p>
      <w:pPr>
        <w:ind w:right="40" w:firstLine="444"/>
        <w:spacing w:after="0" w:line="264" w:lineRule="auto"/>
        <w:tabs>
          <w:tab w:leader="none" w:pos="69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3" w:lineRule="exact"/>
        <w:rPr>
          <w:rFonts w:ascii="Arial" w:cs="Arial" w:eastAsia="Arial" w:hAnsi="Arial"/>
          <w:sz w:val="18"/>
          <w:szCs w:val="18"/>
          <w:color w:val="auto"/>
        </w:rPr>
      </w:pPr>
    </w:p>
    <w:p>
      <w:pPr>
        <w:ind w:firstLine="444"/>
        <w:spacing w:after="0" w:line="342"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shall not be liable under this Agreement to make any payment of amounts otherwise indemnifiable (or for which advancement is provided) hereunder if and to the extent that Indemnitee has actually received such payment under any insurance policy or other indemnity provision.</w:t>
      </w:r>
    </w:p>
    <w:p>
      <w:pPr>
        <w:spacing w:after="0" w:line="124" w:lineRule="exact"/>
        <w:rPr>
          <w:sz w:val="20"/>
          <w:szCs w:val="20"/>
          <w:color w:val="auto"/>
        </w:rPr>
      </w:pPr>
    </w:p>
    <w:p>
      <w:pPr>
        <w:jc w:val="both"/>
        <w:ind w:right="300" w:firstLine="441"/>
        <w:spacing w:after="0" w:line="312" w:lineRule="auto"/>
        <w:rPr>
          <w:sz w:val="20"/>
          <w:szCs w:val="20"/>
          <w:color w:val="auto"/>
        </w:rPr>
      </w:pPr>
      <w:r>
        <w:rPr>
          <w:rFonts w:ascii="Arial" w:cs="Arial" w:eastAsia="Arial" w:hAnsi="Arial"/>
          <w:sz w:val="16"/>
          <w:szCs w:val="16"/>
          <w:color w:val="auto"/>
        </w:rPr>
        <w:t>Section 8.03 The Company’s obligation to indemnify or advance Expenses hereunder to Indemnitee who is or was serving at the request of the Company as a director, officer, trustee, partner, managing member, fiduciary, Board’s committee member, employee or agent of any other Enterprise shall be reduced by any amount Indemnitee has actually received as indemnification or advancement of Expenses from such Enterprise.</w:t>
      </w:r>
    </w:p>
    <w:p>
      <w:pPr>
        <w:spacing w:after="0" w:line="14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 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rise to such Proceeding; and/or (ii) the relative fault of the Company (and its directors, officers, employees and agents) and Indemnitee in connection with such event(s) and/or transaction(s).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81" w:name="page282"/>
    <w:bookmarkEnd w:id="281"/>
    <w:p>
      <w:pPr>
        <w:ind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8.05</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This Agreement may not be modified or amended except by a written instrument executed by or on behalf of each of the parties hereto. No amendment, alteration or repeal of this Agreement or of any provision hereof shall limit, restrict or reduce any right of Indemnitee under this Agreement in respect of any act or omission, or any event occurring, prior to such amendment, alteration or repeal. To the extent that a change in applicable law, whether by statute or judicial decision, (i) permits greater indemnification, contribution or advancement of Expenses than would be afforded currently under the Company’s Amended and Restated Certificate of Incorporation and this Agreement, it is the intent of the parties hereto that Indemnitee shall enjoy by this Agreement the greater benefits so afforded by such change or (ii) limits rights with respect to indemnification, contribution or advancement of Expenses, it is the intent of the parties hereto that the rights with respect to indemnification, contribution or advancement of Expenses in effect prior to such change shall remain in full force and effect to the extent permitted by applicable law.</w:t>
      </w:r>
    </w:p>
    <w:p>
      <w:pPr>
        <w:spacing w:after="0" w:line="166"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Section 8.06</w:t>
      </w:r>
      <w:r>
        <w:rPr>
          <w:rFonts w:ascii="Arial" w:cs="Arial" w:eastAsia="Arial" w:hAnsi="Arial"/>
          <w:sz w:val="17"/>
          <w:szCs w:val="17"/>
          <w:i w:val="1"/>
          <w:iCs w:val="1"/>
          <w:color w:val="auto"/>
        </w:rPr>
        <w:t>. Waivers.</w:t>
      </w:r>
      <w:r>
        <w:rPr>
          <w:rFonts w:ascii="Arial" w:cs="Arial" w:eastAsia="Arial" w:hAnsi="Arial"/>
          <w:sz w:val="17"/>
          <w:szCs w:val="17"/>
          <w:color w:val="auto"/>
        </w:rPr>
        <w:t xml:space="preserve"> The observance of any term of this Agreement may be waived (either generally or in a particular instance and either retroactively or prospectively) by the party entitled to enforce such term only by a writing signed by the party against which such waiver is to be asserted. Unless otherwise expressly provided herein, no delay on the part of any party hereto in exercising any right, power or privilege hereunder shall operate as a waiver thereof, nor shall any waiver on the part of any party hereto of any right, power or privilege hereunder operate as a waiver of any other right, power or privilege hereunder nor shall any single or partial exercise of any right, power or privilege hereunder preclude any other or further exercise thereof or the exercise of any other right, power or privilege hereunder.</w:t>
      </w:r>
    </w:p>
    <w:p>
      <w:pPr>
        <w:spacing w:after="0" w:line="178"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Section 8.07</w:t>
      </w:r>
      <w:r>
        <w:rPr>
          <w:rFonts w:ascii="Arial" w:cs="Arial" w:eastAsia="Arial" w:hAnsi="Arial"/>
          <w:sz w:val="18"/>
          <w:szCs w:val="18"/>
          <w:i w:val="1"/>
          <w:iCs w:val="1"/>
          <w:color w:val="auto"/>
        </w:rPr>
        <w:t>. Entire Agreement.</w:t>
      </w:r>
      <w:r>
        <w:rPr>
          <w:rFonts w:ascii="Arial" w:cs="Arial" w:eastAsia="Arial" w:hAnsi="Arial"/>
          <w:sz w:val="18"/>
          <w:szCs w:val="18"/>
          <w:color w:val="auto"/>
        </w:rPr>
        <w:t xml:space="preserve"> This Agreement and the documents referred to herein constitute the entire agreement between the parties hereto with respect to the matters covered hereby, and any other prior or contemporaneous oral or written understandings or agreements with respect to the matters covered hereby are superseded by this Agreement, provided that this Agreement is a supplement to and in furtherance of the Amended and Restated Certificate of Incorporation and Bylaws of the Company and applicable law, and shall not be deemed a substitute therefor, nor to diminish or abrogate any rights of Indemnitee thereunder.</w:t>
      </w:r>
    </w:p>
    <w:p>
      <w:pPr>
        <w:spacing w:after="0" w:line="188"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Section 8.08</w:t>
      </w:r>
      <w:r>
        <w:rPr>
          <w:rFonts w:ascii="Arial" w:cs="Arial" w:eastAsia="Arial" w:hAnsi="Arial"/>
          <w:sz w:val="16"/>
          <w:szCs w:val="16"/>
          <w:i w:val="1"/>
          <w:iCs w:val="1"/>
          <w:color w:val="auto"/>
        </w:rPr>
        <w:t>. Severability.</w:t>
      </w:r>
      <w:r>
        <w:rPr>
          <w:rFonts w:ascii="Arial" w:cs="Arial" w:eastAsia="Arial" w:hAnsi="Arial"/>
          <w:sz w:val="16"/>
          <w:szCs w:val="16"/>
          <w:color w:val="auto"/>
        </w:rPr>
        <w:t xml:space="preserve"> If any provision or provisions of this Agreement shall be held to be invalid, illegal or unenforceable for any reason whatsoever: (a) the validity, legality and enforceability of the remaining provisions of this Agreement (including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82" w:name="page283"/>
    <w:bookmarkEnd w:id="282"/>
    <w:p>
      <w:pPr>
        <w:ind w:right="12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8.09</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demands and other communications under this Agreement shall be in writing (which may be by facsimile transmission).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The address for notice to a party is as shown on the signature page of this Agreement, or such other address as any party shall have given by written notice to the other party as provided above.</w:t>
      </w:r>
    </w:p>
    <w:p>
      <w:pPr>
        <w:spacing w:after="0" w:line="193"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Section 8.10</w:t>
      </w:r>
      <w:r>
        <w:rPr>
          <w:rFonts w:ascii="Arial" w:cs="Arial" w:eastAsia="Arial" w:hAnsi="Arial"/>
          <w:sz w:val="18"/>
          <w:szCs w:val="18"/>
          <w:i w:val="1"/>
          <w:iCs w:val="1"/>
          <w:color w:val="auto"/>
        </w:rPr>
        <w:t>. Binding Effect.</w:t>
      </w:r>
      <w:r>
        <w:rPr>
          <w:rFonts w:ascii="Arial" w:cs="Arial" w:eastAsia="Arial" w:hAnsi="Arial"/>
          <w:sz w:val="18"/>
          <w:szCs w:val="18"/>
          <w:color w:val="auto"/>
        </w:rPr>
        <w:t xml:space="preserve"> (a)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73" w:lineRule="exact"/>
        <w:rPr>
          <w:sz w:val="20"/>
          <w:szCs w:val="20"/>
          <w:color w:val="auto"/>
        </w:rPr>
      </w:pPr>
    </w:p>
    <w:p>
      <w:pPr>
        <w:ind w:firstLine="444"/>
        <w:spacing w:after="0" w:line="293" w:lineRule="auto"/>
        <w:tabs>
          <w:tab w:leader="none" w:pos="69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executors, administrators, personal and legal representatives. The Company shall require and cause any successor (whether direct or indirect by purchase, merger, consolidation or otherwise) to all or substantially all, or a substantial part of the business or assets of the Company, by written agreement in form and substance satisfactory to Indemnitee, expressly to assume and agree to perform this Agreement in the manner and to the same extent that the Company would be required to perform if no such succession had taken place.</w:t>
      </w:r>
    </w:p>
    <w:p>
      <w:pPr>
        <w:spacing w:after="0" w:line="56" w:lineRule="exact"/>
        <w:rPr>
          <w:rFonts w:ascii="Arial" w:cs="Arial" w:eastAsia="Arial" w:hAnsi="Arial"/>
          <w:sz w:val="16"/>
          <w:szCs w:val="16"/>
          <w:color w:val="auto"/>
        </w:rPr>
      </w:pPr>
    </w:p>
    <w:p>
      <w:pPr>
        <w:jc w:val="both"/>
        <w:ind w:right="360" w:firstLine="444"/>
        <w:spacing w:after="0" w:line="264"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indemnification, contribution and advancement of Expenses provided by, or granted pursuant to this Agreement shall continue as to a person who has ceased to be a director or officer and shall inure to the benefit of the heirs, executors, administrators, legatees and assigns of such a person.</w:t>
      </w:r>
    </w:p>
    <w:p>
      <w:pPr>
        <w:spacing w:after="0" w:line="18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Section 8.11</w:t>
      </w:r>
      <w:r>
        <w:rPr>
          <w:rFonts w:ascii="Arial" w:cs="Arial" w:eastAsia="Arial" w:hAnsi="Arial"/>
          <w:sz w:val="18"/>
          <w:szCs w:val="18"/>
          <w:i w:val="1"/>
          <w:iCs w:val="1"/>
          <w:color w:val="auto"/>
        </w:rPr>
        <w:t>. Governing Law.</w:t>
      </w:r>
      <w:r>
        <w:rPr>
          <w:rFonts w:ascii="Arial" w:cs="Arial" w:eastAsia="Arial" w:hAnsi="Arial"/>
          <w:sz w:val="18"/>
          <w:szCs w:val="18"/>
          <w:color w:val="auto"/>
        </w:rPr>
        <w:t xml:space="preserve"> This Agreement and the legal relations among the parties shall be governed by, and construed and enforced in accordance with, the laws of the State of Delaware, without regard to its conflict of laws rules.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83" w:name="page284"/>
    <w:bookmarkEnd w:id="283"/>
    <w:p>
      <w:pPr>
        <w:ind w:right="8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8.12</w:t>
      </w:r>
      <w:r>
        <w:rPr>
          <w:rFonts w:ascii="Arial" w:cs="Arial" w:eastAsia="Arial" w:hAnsi="Arial"/>
          <w:sz w:val="17"/>
          <w:szCs w:val="17"/>
          <w:i w:val="1"/>
          <w:iCs w:val="1"/>
          <w:color w:val="auto"/>
        </w:rPr>
        <w:t>. Consent To Jurisdiction.</w:t>
      </w:r>
      <w:r>
        <w:rPr>
          <w:rFonts w:ascii="Arial" w:cs="Arial" w:eastAsia="Arial" w:hAnsi="Arial"/>
          <w:sz w:val="17"/>
          <w:szCs w:val="17"/>
          <w:color w:val="auto"/>
        </w:rPr>
        <w:t xml:space="preserve"> Except with respect to any arbitration commenced by Indemnitee pursuant to Section 6.01(a) of this Agreement,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7"/>
          <w:szCs w:val="17"/>
          <w:b w:val="1"/>
          <w:bCs w:val="1"/>
          <w:color w:val="auto"/>
        </w:rPr>
        <w:t>Delaware Court</w:t>
      </w:r>
      <w:r>
        <w:rPr>
          <w:rFonts w:ascii="Arial" w:cs="Arial" w:eastAsia="Arial" w:hAnsi="Arial"/>
          <w:sz w:val="17"/>
          <w:szCs w:val="17"/>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7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Section 8.13</w:t>
      </w:r>
      <w:r>
        <w:rPr>
          <w:rFonts w:ascii="Arial" w:cs="Arial" w:eastAsia="Arial" w:hAnsi="Arial"/>
          <w:sz w:val="18"/>
          <w:szCs w:val="18"/>
          <w:i w:val="1"/>
          <w:iCs w:val="1"/>
          <w:color w:val="auto"/>
        </w:rPr>
        <w:t>. Headings.</w:t>
      </w:r>
      <w:r>
        <w:rPr>
          <w:rFonts w:ascii="Arial" w:cs="Arial" w:eastAsia="Arial" w:hAnsi="Arial"/>
          <w:sz w:val="18"/>
          <w:szCs w:val="18"/>
          <w:color w:val="auto"/>
        </w:rPr>
        <w:t xml:space="preserve"> The Article and Section headings in this Agreement are for convenience of reference only, and shall not be deemed to alter or affect the meaning or interpretation of any provisions hereof.</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Section 8.14</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Section 8.15</w:t>
      </w:r>
      <w:r>
        <w:rPr>
          <w:rFonts w:ascii="Arial" w:cs="Arial" w:eastAsia="Arial" w:hAnsi="Arial"/>
          <w:sz w:val="18"/>
          <w:szCs w:val="18"/>
          <w:i w:val="1"/>
          <w:iCs w:val="1"/>
          <w:color w:val="auto"/>
        </w:rPr>
        <w:t>. Use of Certain Terms.</w:t>
      </w:r>
      <w:r>
        <w:rPr>
          <w:rFonts w:ascii="Arial" w:cs="Arial" w:eastAsia="Arial" w:hAnsi="Arial"/>
          <w:sz w:val="18"/>
          <w:szCs w:val="18"/>
          <w:color w:val="auto"/>
        </w:rPr>
        <w:t xml:space="preserve"> As used in this Agreement, the words “herein,” “hereof,” and “hereunder” and other words of similar import refer to this Agreement as a whole and not to any particular paragraph, subparagraph, section, subsection, or other subdivision. Whenever the context may require, any pronoun used in this Agreement shall include the corresponding masculine, feminine or neuter forms, and the singular form of nouns, pronouns and verbs shall include the plural and vice versa.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duly executed and delivered to be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-130810</wp:posOffset>
            </wp:positionV>
            <wp:extent cx="25984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180"/>
        <w:spacing w:after="0"/>
        <w:tabs>
          <w:tab w:leader="none" w:pos="706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Reynolds Consumer Products Inc.</w:t>
      </w:r>
    </w:p>
    <w:p>
      <w:pPr>
        <w:spacing w:after="0" w:line="4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Lake Forest, Illinois 60045</w:t>
      </w:r>
    </w:p>
    <w:p>
      <w:pPr>
        <w:spacing w:after="0" w:line="9" w:lineRule="exact"/>
        <w:rPr>
          <w:sz w:val="20"/>
          <w:szCs w:val="20"/>
          <w:color w:val="auto"/>
        </w:rPr>
      </w:pPr>
    </w:p>
    <w:p>
      <w:pPr>
        <w:ind w:left="6180"/>
        <w:spacing w:after="0"/>
        <w:tabs>
          <w:tab w:leader="none" w:pos="7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Joseph E. Doyle</w:t>
      </w:r>
    </w:p>
    <w:p>
      <w:pPr>
        <w:spacing w:after="0" w:line="9" w:lineRule="exact"/>
        <w:rPr>
          <w:sz w:val="20"/>
          <w:szCs w:val="20"/>
          <w:color w:val="auto"/>
        </w:rPr>
      </w:pPr>
    </w:p>
    <w:p>
      <w:pPr>
        <w:ind w:left="6180"/>
        <w:spacing w:after="0"/>
        <w:tabs>
          <w:tab w:leader="none" w:pos="7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Joseph.Doyle@RankNA.com</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180"/>
        <w:spacing w:after="0"/>
        <w:tabs>
          <w:tab w:leader="none" w:pos="7060" w:val="left"/>
        </w:tabs>
        <w:rPr>
          <w:sz w:val="20"/>
          <w:szCs w:val="20"/>
          <w:color w:val="auto"/>
        </w:rPr>
      </w:pPr>
      <w:r>
        <w:rPr>
          <w:rFonts w:ascii="Arial" w:cs="Arial" w:eastAsia="Arial" w:hAnsi="Arial"/>
          <w:sz w:val="18"/>
          <w:szCs w:val="18"/>
          <w:color w:val="auto"/>
        </w:rPr>
        <w:t>Address:</w:t>
        <w:tab/>
        <w:t>Davis Polk &amp; Wardwell LLP</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6180"/>
        <w:spacing w:after="0"/>
        <w:tabs>
          <w:tab w:leader="none" w:pos="7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Byron B. Rooney</w:t>
      </w:r>
    </w:p>
    <w:p>
      <w:pPr>
        <w:spacing w:after="0" w:line="9" w:lineRule="exact"/>
        <w:rPr>
          <w:sz w:val="20"/>
          <w:szCs w:val="20"/>
          <w:color w:val="auto"/>
        </w:rPr>
      </w:pPr>
    </w:p>
    <w:p>
      <w:pPr>
        <w:ind w:left="6180"/>
        <w:spacing w:after="0"/>
        <w:tabs>
          <w:tab w:leader="none" w:pos="7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Byron.Rooney@davispolk.com</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332105</wp:posOffset>
            </wp:positionV>
            <wp:extent cx="27959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580"/>
          </w:cols>
          <w:pgMar w:left="880" w:top="274" w:right="14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r>
        <w:rPr>
          <w:rFonts w:ascii="Arial" w:cs="Arial" w:eastAsia="Arial" w:hAnsi="Arial"/>
          <w:sz w:val="18"/>
          <w:szCs w:val="18"/>
          <w:color w:val="auto"/>
        </w:rPr>
        <w:t>. The purpose of the Reynolds Consumer Products Inc. 2019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is to motivate and reward those employees, directors, consultants and advisors of Reynolds Consumer Products Inc. (the “</w:t>
      </w:r>
      <w:r>
        <w:rPr>
          <w:rFonts w:ascii="Arial" w:cs="Arial" w:eastAsia="Arial" w:hAnsi="Arial"/>
          <w:sz w:val="18"/>
          <w:szCs w:val="18"/>
          <w:b w:val="1"/>
          <w:bCs w:val="1"/>
          <w:color w:val="auto"/>
        </w:rPr>
        <w:t>Company</w:t>
      </w:r>
      <w:r>
        <w:rPr>
          <w:rFonts w:ascii="Arial" w:cs="Arial" w:eastAsia="Arial" w:hAnsi="Arial"/>
          <w:sz w:val="18"/>
          <w:szCs w:val="18"/>
          <w:color w:val="auto"/>
        </w:rPr>
        <w:t>”) and its Affiliates to perform at the highest level and to further the best interests of the Company and its shareholders. Capitalized terms not otherwise defined herein are defined in Section 22.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Eligibility</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64" w:lineRule="auto"/>
        <w:tabs>
          <w:tab w:leader="none" w:pos="12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Employee, Director, Consultant or other advisor of the Company or any of its Affiliates shall be eligible to be selected to receive an Award under the Plan, to the extent that an offer or receipt of an Award is permitted by applicable law, stock market or exchange rules and regulations or accounting or tax rules and regulations.</w:t>
      </w:r>
    </w:p>
    <w:p>
      <w:pPr>
        <w:spacing w:after="0" w:line="73" w:lineRule="exact"/>
        <w:rPr>
          <w:rFonts w:ascii="Arial" w:cs="Arial" w:eastAsia="Arial" w:hAnsi="Arial"/>
          <w:sz w:val="18"/>
          <w:szCs w:val="18"/>
          <w:color w:val="auto"/>
        </w:rPr>
      </w:pPr>
    </w:p>
    <w:p>
      <w:pPr>
        <w:ind w:right="200" w:firstLine="996"/>
        <w:spacing w:after="0" w:line="259" w:lineRule="auto"/>
        <w:tabs>
          <w:tab w:leader="none" w:pos="12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Holders of equity compensation awards granted by a company acquired by the Company (or whose business is acquired by the Company) or with which the Company combines (whether by way of amalgamation, merger, sale and purchase of shares or other securities or otherwise) are eligible for grants of Replacement Awards under the Plan to the extent permitted by applicable law, stock market or exchange rules and regulations or accounting or tax rules and regulations.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120" w:firstLine="996"/>
        <w:spacing w:after="0" w:line="264" w:lineRule="auto"/>
        <w:tabs>
          <w:tab w:leader="none" w:pos="12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Board may designate one or more directors of the Company as a subcommittee who may act for the Committee if necessary to satisfy the requirements of this Section. The Committee may issue rules and regulations for administration of the Plan.</w:t>
      </w:r>
    </w:p>
    <w:p>
      <w:pPr>
        <w:spacing w:after="0" w:line="73" w:lineRule="exact"/>
        <w:rPr>
          <w:rFonts w:ascii="Arial" w:cs="Arial" w:eastAsia="Arial" w:hAnsi="Arial"/>
          <w:sz w:val="18"/>
          <w:szCs w:val="18"/>
          <w:color w:val="auto"/>
        </w:rPr>
      </w:pPr>
    </w:p>
    <w:p>
      <w:pPr>
        <w:ind w:right="20" w:firstLine="996"/>
        <w:spacing w:after="0" w:line="257" w:lineRule="auto"/>
        <w:tabs>
          <w:tab w:leader="none" w:pos="12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the extent permitted by applicable law, the Committee may delegate to one or more officers of the Company some or all of its authority under the Plan, including the authority to grant Options and SARs or other Awards in the form of Share rights (except that such delegation shall not apply to any Award for a Person then covered by Section 16 of the Exchange Act), and the Committee may delegate to one or more committees of the Board (which may consist of solely one Director) some or all of its authority under the Plan, including the authority to grant all types of Awards, in accordance with applicable law.</w:t>
      </w:r>
    </w:p>
    <w:p>
      <w:pPr>
        <w:sectPr>
          <w:pgSz w:w="11900" w:h="16838" w:orient="portrait"/>
          <w:cols w:equalWidth="0" w:num="1">
            <w:col w:w="11020"/>
          </w:cols>
          <w:pgMar w:left="440" w:top="121" w:right="439" w:bottom="1440" w:gutter="0" w:footer="0" w:header="0"/>
        </w:sectPr>
      </w:pPr>
    </w:p>
    <w:bookmarkStart w:id="286" w:name="page287"/>
    <w:bookmarkEnd w:id="286"/>
    <w:p>
      <w:pPr>
        <w:ind w:left="1236" w:hanging="244"/>
        <w:spacing w:after="0"/>
        <w:tabs>
          <w:tab w:leader="none" w:pos="1236" w:val="left"/>
        </w:tabs>
        <w:numPr>
          <w:ilvl w:val="1"/>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of the Plan and applicable law, the Committee (or its delegate) shall have full discretion and authority to:</w:t>
      </w:r>
    </w:p>
    <w:p>
      <w:pPr>
        <w:spacing w:after="0" w:line="34" w:lineRule="exact"/>
        <w:rPr>
          <w:rFonts w:ascii="Arial" w:cs="Arial" w:eastAsia="Arial" w:hAnsi="Arial"/>
          <w:sz w:val="17"/>
          <w:szCs w:val="17"/>
          <w:color w:val="auto"/>
        </w:rPr>
      </w:pPr>
    </w:p>
    <w:p>
      <w:pPr>
        <w:ind w:left="216" w:hanging="216"/>
        <w:spacing w:after="0"/>
        <w:tabs>
          <w:tab w:leader="none" w:pos="21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designate Participants; (ii) determine the type or types of Awards (including Replacement Awards) to be granted to each Participant under the Plan;</w:t>
      </w:r>
    </w:p>
    <w:p>
      <w:pPr>
        <w:spacing w:after="0" w:line="32" w:lineRule="exact"/>
        <w:rPr>
          <w:rFonts w:ascii="Arial" w:cs="Arial" w:eastAsia="Arial" w:hAnsi="Arial"/>
          <w:sz w:val="16"/>
          <w:szCs w:val="16"/>
          <w:color w:val="auto"/>
        </w:rPr>
      </w:pPr>
    </w:p>
    <w:p>
      <w:pPr>
        <w:ind w:left="-4" w:firstLine="4"/>
        <w:spacing w:after="0" w:line="281" w:lineRule="auto"/>
        <w:tabs>
          <w:tab w:leader="none" w:pos="31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determine the number of Shares to be covered by (or with respect to which payments, rights or other matters are to be calculated in connection with) Awards; (iv) determine the terms and conditions of any Award and prescribe the form of each Award Document, which need not be identical for each Participant; (v) determine whether, to what extent, under what circumstances and by which methods Awards may be settled or exercised in cash, Shares, other Awards, other property, net settlement (including broker-assisted cashless exercise), or any combination thereof, or canceled,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amend terms or conditions of any outstanding Awards; (viii) correct any defect, supply any omission and reconcile any inconsistency in the Plan or any Award, in the manner and to the extent it shall deem desirable to carry the Plan into effect; (ix) interpret and administer the Plan and any instrument or agreement relating to, or Award made under, the Plan; (x)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p>
      <w:pPr>
        <w:spacing w:after="0" w:line="7" w:lineRule="exact"/>
        <w:rPr>
          <w:rFonts w:ascii="Arial" w:cs="Arial" w:eastAsia="Arial" w:hAnsi="Arial"/>
          <w:sz w:val="16"/>
          <w:szCs w:val="16"/>
          <w:color w:val="auto"/>
        </w:rPr>
      </w:pPr>
    </w:p>
    <w:p>
      <w:pPr>
        <w:jc w:val="both"/>
        <w:ind w:left="-4" w:right="60" w:firstLine="4"/>
        <w:spacing w:after="0" w:line="273" w:lineRule="auto"/>
        <w:tabs>
          <w:tab w:leader="none" w:pos="30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pacing w:after="0" w:line="68" w:lineRule="exact"/>
        <w:rPr>
          <w:rFonts w:ascii="Arial" w:cs="Arial" w:eastAsia="Arial" w:hAnsi="Arial"/>
          <w:sz w:val="17"/>
          <w:szCs w:val="17"/>
          <w:color w:val="auto"/>
        </w:rPr>
      </w:pPr>
    </w:p>
    <w:p>
      <w:pPr>
        <w:ind w:left="-4" w:right="320" w:firstLine="996"/>
        <w:spacing w:after="0" w:line="277" w:lineRule="auto"/>
        <w:tabs>
          <w:tab w:leader="none" w:pos="124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its shareholders and Participants and any Beneficiaries thereof.</w:t>
      </w:r>
    </w:p>
    <w:p>
      <w:pPr>
        <w:spacing w:after="0" w:line="170"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Shares Available for Awards</w:t>
      </w:r>
      <w:r>
        <w:rPr>
          <w:rFonts w:ascii="Arial" w:cs="Arial" w:eastAsia="Arial" w:hAnsi="Arial"/>
          <w:sz w:val="18"/>
          <w:szCs w:val="18"/>
          <w:color w:val="auto"/>
        </w:rPr>
        <w:t>.</w:t>
      </w:r>
    </w:p>
    <w:p>
      <w:pPr>
        <w:spacing w:after="0" w:line="117" w:lineRule="exact"/>
        <w:rPr>
          <w:sz w:val="20"/>
          <w:szCs w:val="20"/>
          <w:color w:val="auto"/>
        </w:rPr>
      </w:pPr>
    </w:p>
    <w:p>
      <w:pPr>
        <w:ind w:left="-4" w:firstLine="996"/>
        <w:spacing w:after="0" w:line="257" w:lineRule="auto"/>
        <w:tabs>
          <w:tab w:leader="none" w:pos="123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Section 4(c), the maximum number of Shares available for issuance under the Plan shall not exceed [●]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starting on January 1, 2020, on January 1 of each year, the total number of Shares available for issuance under the Plan may be increased by an amount equal to the lesser of (i) 1% of the Company’s issued and outstanding Shares on December 31 of the immediately preceding year or (ii) such other number of Shares as determined by the Board in its discretion. Shares underlying Replacement Awards and Shares remaining available for grant under a</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4" w:right="459" w:bottom="1440" w:gutter="0" w:footer="0" w:header="0"/>
        </w:sectPr>
      </w:pPr>
    </w:p>
    <w:bookmarkStart w:id="287" w:name="page288"/>
    <w:bookmarkEnd w:id="287"/>
    <w:p>
      <w:pPr>
        <w:jc w:val="both"/>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73" w:lineRule="exact"/>
        <w:rPr>
          <w:sz w:val="20"/>
          <w:szCs w:val="20"/>
          <w:color w:val="auto"/>
        </w:rPr>
      </w:pPr>
    </w:p>
    <w:p>
      <w:pPr>
        <w:ind w:right="40" w:firstLine="996"/>
        <w:spacing w:after="0" w:line="259" w:lineRule="auto"/>
        <w:tabs>
          <w:tab w:leader="none" w:pos="124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Shares subject to an Award that expires, is canceled, forfeited or otherwise terminates without the delivery of such Shares, including any Shares subject to such Award to the extent that such Award is settled without the issuance of Shares, shall again be, or shall become, available for issuance under the Plan. Any Shares surrendered or withheld in payment of any grant, acquisition or exercise price of such Award or taxes related to such Award shall become available for issuance under the Plan.</w:t>
      </w:r>
    </w:p>
    <w:p>
      <w:pPr>
        <w:spacing w:after="0" w:line="78" w:lineRule="exact"/>
        <w:rPr>
          <w:rFonts w:ascii="Arial" w:cs="Arial" w:eastAsia="Arial" w:hAnsi="Arial"/>
          <w:sz w:val="18"/>
          <w:szCs w:val="18"/>
          <w:color w:val="auto"/>
        </w:rPr>
      </w:pPr>
    </w:p>
    <w:p>
      <w:pPr>
        <w:ind w:firstLine="996"/>
        <w:spacing w:after="0" w:line="272" w:lineRule="auto"/>
        <w:tabs>
          <w:tab w:leader="none" w:pos="123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 the event that, as a result of any dividend (other than ordinary cash 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Section 19, adjust equitably any or all of:</w:t>
      </w:r>
    </w:p>
    <w:p>
      <w:pPr>
        <w:spacing w:after="0" w:line="69" w:lineRule="exact"/>
        <w:rPr>
          <w:rFonts w:ascii="Arial" w:cs="Arial" w:eastAsia="Arial" w:hAnsi="Arial"/>
          <w:sz w:val="17"/>
          <w:szCs w:val="17"/>
          <w:color w:val="auto"/>
        </w:rPr>
      </w:pPr>
    </w:p>
    <w:p>
      <w:pPr>
        <w:ind w:left="1080" w:hanging="21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which thereafter may be made the subject of Awards;</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subject to outstanding Awards;</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grant, acquisition or exercise price with respect to any Award or, if deemed appropriate, make provision for a cash payment to the holder of an outstanding Award; and</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terms and conditions of any outstanding Awards, including the performance criteria of any Performance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number of Shares subject to any Award denominated in Shares shall always be a whole number.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88" w:name="page289"/>
    <w:bookmarkEnd w:id="288"/>
    <w:p>
      <w:pPr>
        <w:ind w:right="160" w:firstLine="996"/>
        <w:spacing w:after="0" w:line="276" w:lineRule="auto"/>
        <w:tabs>
          <w:tab w:leader="none" w:pos="1247" w:val="left"/>
        </w:tabs>
        <w:numPr>
          <w:ilvl w:val="0"/>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Shares delivered pursuant to an Award may consist, in whole or in part, of authorized and unissued Shares or Shares acquired by the Company and held as treasury shares. Any Shares delivered pursuant to an Award shall be issued as fully paid shares, and the exercise price and/or subscription price per Share pursuant to any Award, if applicable, shall always be at least equal to or greater than the par value per Share. A Participant shall not have any rights as a shareholder of the Company (including as to voting and dividends) until Shares are actually settled and delivered to the Participant and upon entry into the register of members of the Company.</w:t>
      </w:r>
    </w:p>
    <w:p>
      <w:pPr>
        <w:spacing w:after="0" w:line="64" w:lineRule="exact"/>
        <w:rPr>
          <w:rFonts w:ascii="Arial" w:cs="Arial" w:eastAsia="Arial" w:hAnsi="Arial"/>
          <w:sz w:val="17"/>
          <w:szCs w:val="17"/>
          <w:color w:val="auto"/>
        </w:rPr>
      </w:pPr>
    </w:p>
    <w:p>
      <w:pPr>
        <w:ind w:right="400" w:firstLine="996"/>
        <w:spacing w:after="0" w:line="277" w:lineRule="auto"/>
        <w:tabs>
          <w:tab w:leader="none" w:pos="12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Participant who is a non-employee Director may receive Awards under the Plan in cash or otherwise for any calendar year that relate to more than $750,000 in the aggregate.</w:t>
      </w:r>
    </w:p>
    <w:p>
      <w:pPr>
        <w:spacing w:after="0" w:line="170" w:lineRule="exact"/>
        <w:rPr>
          <w:sz w:val="20"/>
          <w:szCs w:val="20"/>
          <w:color w:val="auto"/>
        </w:rPr>
      </w:pPr>
    </w:p>
    <w:p>
      <w:pPr>
        <w:jc w:val="both"/>
        <w:ind w:right="640" w:firstLine="441"/>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Restricted Stock</w:t>
      </w:r>
      <w:r>
        <w:rPr>
          <w:rFonts w:ascii="Arial" w:cs="Arial" w:eastAsia="Arial" w:hAnsi="Arial"/>
          <w:sz w:val="18"/>
          <w:szCs w:val="18"/>
          <w:color w:val="auto"/>
        </w:rPr>
        <w:t>. The Committee is authorized to grant Awards of Restricted Stock to Participants with the following terms and conditions and with such additional terms and conditions, in either case not inconsistent with the provisions of the Plan, as the Committee shall determine:</w:t>
      </w:r>
    </w:p>
    <w:p>
      <w:pPr>
        <w:spacing w:after="0" w:line="73" w:lineRule="exact"/>
        <w:rPr>
          <w:sz w:val="20"/>
          <w:szCs w:val="20"/>
          <w:color w:val="auto"/>
        </w:rPr>
      </w:pPr>
    </w:p>
    <w:p>
      <w:pPr>
        <w:ind w:left="1240" w:hanging="244"/>
        <w:spacing w:after="0"/>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Award Document shall specify the vesting schedule.</w:t>
      </w:r>
    </w:p>
    <w:p>
      <w:pPr>
        <w:spacing w:after="0" w:line="117" w:lineRule="exact"/>
        <w:rPr>
          <w:rFonts w:ascii="Arial" w:cs="Arial" w:eastAsia="Arial" w:hAnsi="Arial"/>
          <w:sz w:val="18"/>
          <w:szCs w:val="18"/>
          <w:color w:val="auto"/>
        </w:rPr>
      </w:pPr>
    </w:p>
    <w:p>
      <w:pPr>
        <w:ind w:right="100" w:firstLine="996"/>
        <w:spacing w:after="0" w:line="277" w:lineRule="auto"/>
        <w:tabs>
          <w:tab w:leader="none" w:pos="12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Awards of Restricted Stock shall be subject to such restrictions as the Committee may impose, which restrictions may lapse separately or in combination at such time or times, in such installments or otherwise, as the Committee may deem appropriate.</w:t>
      </w:r>
    </w:p>
    <w:p>
      <w:pPr>
        <w:spacing w:after="0" w:line="62" w:lineRule="exact"/>
        <w:rPr>
          <w:rFonts w:ascii="Arial" w:cs="Arial" w:eastAsia="Arial" w:hAnsi="Arial"/>
          <w:sz w:val="18"/>
          <w:szCs w:val="18"/>
          <w:color w:val="auto"/>
        </w:rPr>
      </w:pPr>
    </w:p>
    <w:p>
      <w:pPr>
        <w:ind w:right="180" w:firstLine="996"/>
        <w:spacing w:after="0" w:line="308" w:lineRule="auto"/>
        <w:tabs>
          <w:tab w:leader="none" w:pos="123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Subject to the restrictions set forth in the applicable Award Document, a Participant generally shall have the rights and privileges of a stockholder with respect to Awards of Restricted Stock, including the right to vote such Shares and the right to receive dividends.</w:t>
      </w:r>
    </w:p>
    <w:p>
      <w:pPr>
        <w:spacing w:after="0" w:line="38" w:lineRule="exact"/>
        <w:rPr>
          <w:rFonts w:ascii="Arial" w:cs="Arial" w:eastAsia="Arial" w:hAnsi="Arial"/>
          <w:sz w:val="17"/>
          <w:szCs w:val="17"/>
          <w:color w:val="auto"/>
        </w:rPr>
      </w:pPr>
    </w:p>
    <w:p>
      <w:pPr>
        <w:jc w:val="both"/>
        <w:ind w:right="20" w:firstLine="996"/>
        <w:spacing w:after="0" w:line="312" w:lineRule="auto"/>
        <w:tabs>
          <w:tab w:leader="none" w:pos="12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Committee may, in its discretion, specify in the applicable Award Document that any or all dividends or other distributions paid on Awards of Restricted Stock prior to vesting be paid either in cash or in additional Shares and either on a current or deferred basis and that such dividends or other distributions may be reinvested in additional Shares, which may be subject to the same restrictions as the underlying Awards.</w:t>
      </w:r>
    </w:p>
    <w:p>
      <w:pPr>
        <w:spacing w:after="0" w:line="38" w:lineRule="exact"/>
        <w:rPr>
          <w:rFonts w:ascii="Arial" w:cs="Arial" w:eastAsia="Arial" w:hAnsi="Arial"/>
          <w:sz w:val="16"/>
          <w:szCs w:val="16"/>
          <w:color w:val="auto"/>
        </w:rPr>
      </w:pPr>
    </w:p>
    <w:p>
      <w:pPr>
        <w:ind w:left="1240" w:hanging="244"/>
        <w:spacing w:after="0"/>
        <w:tabs>
          <w:tab w:leader="none" w:pos="12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Any Award of Restricted Stock may be evidenced in such manner as the Committee may deem appropriate, including book-entry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registration.</w:t>
      </w:r>
    </w:p>
    <w:p>
      <w:pPr>
        <w:spacing w:after="0" w:line="102" w:lineRule="exact"/>
        <w:rPr>
          <w:rFonts w:ascii="Arial" w:cs="Arial" w:eastAsia="Arial" w:hAnsi="Arial"/>
          <w:sz w:val="17"/>
          <w:szCs w:val="17"/>
          <w:color w:val="auto"/>
        </w:rPr>
      </w:pPr>
    </w:p>
    <w:p>
      <w:pPr>
        <w:ind w:right="200" w:firstLine="996"/>
        <w:spacing w:after="0" w:line="291" w:lineRule="auto"/>
        <w:tabs>
          <w:tab w:leader="none" w:pos="121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Committee may provide in an Award Document that an Award of Restricted Stock is conditioned upon the Participant making or refraining from making an election with respect to the Award under Section 83(b) of the Code. If a Participant makes an election pursuant to</w:t>
      </w: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83(b) of the Code with respect to an Award of Restricted Stock, the Participant shall be required to file promptly a copy of such election with the Company and the applicable Internal Revenue Service office.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89" w:name="page290"/>
    <w:bookmarkEnd w:id="289"/>
    <w:p>
      <w:pPr>
        <w:ind w:right="30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7"/>
          <w:szCs w:val="17"/>
          <w:i w:val="1"/>
          <w:iCs w:val="1"/>
          <w:color w:val="auto"/>
        </w:rPr>
        <w:t>RSUs</w:t>
      </w:r>
      <w:r>
        <w:rPr>
          <w:rFonts w:ascii="Arial" w:cs="Arial" w:eastAsia="Arial" w:hAnsi="Arial"/>
          <w:sz w:val="17"/>
          <w:szCs w:val="17"/>
          <w:color w:val="auto"/>
        </w:rPr>
        <w:t>. The Committee is authorized to grant Awards of RSUs to Participants with the following terms and conditions and with such additional terms and conditions, in either case not inconsistent with the provisions of the Plan, as the Committee shall determine:</w:t>
      </w:r>
    </w:p>
    <w:p>
      <w:pPr>
        <w:spacing w:after="0" w:line="3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The Award Document shall specify the vesting schedule and the delivery schedule (which may include deferred delivery later than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103" w:lineRule="exact"/>
        <w:rPr>
          <w:sz w:val="20"/>
          <w:szCs w:val="20"/>
          <w:color w:val="auto"/>
        </w:rPr>
      </w:pPr>
    </w:p>
    <w:p>
      <w:pPr>
        <w:ind w:right="440" w:firstLine="996"/>
        <w:spacing w:after="0" w:line="277" w:lineRule="auto"/>
        <w:tabs>
          <w:tab w:leader="none" w:pos="12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Awards of RSUs shall be subject to such restrictions as the Committee may impose, which restrictions may lapse separately or in combination at such time or times, in such installments or otherwise, as the Committee may deem appropriate.</w:t>
      </w:r>
    </w:p>
    <w:p>
      <w:pPr>
        <w:spacing w:after="0" w:line="62" w:lineRule="exact"/>
        <w:rPr>
          <w:rFonts w:ascii="Arial" w:cs="Arial" w:eastAsia="Arial" w:hAnsi="Arial"/>
          <w:sz w:val="18"/>
          <w:szCs w:val="18"/>
          <w:color w:val="auto"/>
        </w:rPr>
      </w:pPr>
    </w:p>
    <w:p>
      <w:pPr>
        <w:ind w:firstLine="996"/>
        <w:spacing w:after="0" w:line="277" w:lineRule="auto"/>
        <w:tabs>
          <w:tab w:leader="none" w:pos="12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RSU shall not convey to the Participant the rights and privileges of a stockholder with respect to the Share subject to the RSU, such as the right to vote or the right to receive dividends, unless and until a Share is issued to the Participant to settle the RSU.</w:t>
      </w:r>
    </w:p>
    <w:p>
      <w:pPr>
        <w:spacing w:after="0" w:line="62" w:lineRule="exact"/>
        <w:rPr>
          <w:rFonts w:ascii="Arial" w:cs="Arial" w:eastAsia="Arial" w:hAnsi="Arial"/>
          <w:sz w:val="18"/>
          <w:szCs w:val="18"/>
          <w:color w:val="auto"/>
        </w:rPr>
      </w:pPr>
    </w:p>
    <w:p>
      <w:pPr>
        <w:ind w:right="140" w:firstLine="996"/>
        <w:spacing w:after="0" w:line="259" w:lineRule="auto"/>
        <w:tabs>
          <w:tab w:leader="none" w:pos="12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Committee may, in its discretion, specify in the applicable Award Document that any or all dividend equivalents or other distributions paid on Awards of RSUs prior to vesting or settlement, as applicable, be paid either in cash or in additional Shares and either on a current or deferred basis and that such dividend equivalents or other distributions may be reinvested in additional Shares, which may be subject to the same restrictions as the underlying Awards.</w:t>
      </w:r>
    </w:p>
    <w:p>
      <w:pPr>
        <w:spacing w:after="0" w:line="78" w:lineRule="exact"/>
        <w:rPr>
          <w:rFonts w:ascii="Arial" w:cs="Arial" w:eastAsia="Arial" w:hAnsi="Arial"/>
          <w:sz w:val="18"/>
          <w:szCs w:val="18"/>
          <w:color w:val="auto"/>
        </w:rPr>
      </w:pPr>
    </w:p>
    <w:p>
      <w:pPr>
        <w:ind w:right="320" w:firstLine="996"/>
        <w:spacing w:after="0" w:line="277" w:lineRule="auto"/>
        <w:tabs>
          <w:tab w:leader="none" w:pos="12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Shares delivered upon the vesting and settlement of an RSU Award may be evidenced in such manner as the Committee may deem appropriate, including book-entry registration.</w:t>
      </w:r>
    </w:p>
    <w:p>
      <w:pPr>
        <w:spacing w:after="0" w:line="62" w:lineRule="exact"/>
        <w:rPr>
          <w:rFonts w:ascii="Arial" w:cs="Arial" w:eastAsia="Arial" w:hAnsi="Arial"/>
          <w:sz w:val="18"/>
          <w:szCs w:val="18"/>
          <w:color w:val="auto"/>
        </w:rPr>
      </w:pPr>
    </w:p>
    <w:p>
      <w:pPr>
        <w:ind w:right="60" w:firstLine="996"/>
        <w:spacing w:after="0" w:line="277" w:lineRule="auto"/>
        <w:tabs>
          <w:tab w:leader="none" w:pos="121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Committee may determine the form or forms (including cash, Shares, other Awards, other property or any combination thereof) in which payment of the amount owing upon settlement of any RSU Award may be made.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Options</w:t>
      </w:r>
      <w:r>
        <w:rPr>
          <w:rFonts w:ascii="Arial" w:cs="Arial" w:eastAsia="Arial" w:hAnsi="Arial"/>
          <w:sz w:val="18"/>
          <w:szCs w:val="18"/>
          <w:color w:val="auto"/>
        </w:rPr>
        <w:t>.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62" w:lineRule="exact"/>
        <w:rPr>
          <w:sz w:val="20"/>
          <w:szCs w:val="20"/>
          <w:color w:val="auto"/>
        </w:rPr>
      </w:pPr>
    </w:p>
    <w:p>
      <w:pPr>
        <w:ind w:right="340" w:firstLine="996"/>
        <w:spacing w:after="0" w:line="308" w:lineRule="auto"/>
        <w:tabs>
          <w:tab w:leader="none" w:pos="123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The exercise price per Share under an Option shall be determined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Replacement Awards, such exercise price shall not be less than the Fair Market Value of a Share on the date of grant of such Option.</w:t>
      </w:r>
    </w:p>
    <w:p>
      <w:pPr>
        <w:spacing w:after="0" w:line="38" w:lineRule="exact"/>
        <w:rPr>
          <w:rFonts w:ascii="Arial" w:cs="Arial" w:eastAsia="Arial" w:hAnsi="Arial"/>
          <w:sz w:val="17"/>
          <w:szCs w:val="17"/>
          <w:color w:val="auto"/>
        </w:rPr>
      </w:pPr>
    </w:p>
    <w:p>
      <w:pPr>
        <w:ind w:left="1260" w:hanging="264"/>
        <w:spacing w:after="0"/>
        <w:tabs>
          <w:tab w:leader="none" w:pos="12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term of each Option shall be fixed by the Committee but shall not exceed 10 years from the date of grant of such Option.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90" w:name="page291"/>
    <w:bookmarkEnd w:id="290"/>
    <w:p>
      <w:pPr>
        <w:ind w:left="1240" w:hanging="244"/>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shall determine the time or times at which an Option may be exercised in whole or in part.</w:t>
      </w:r>
    </w:p>
    <w:p>
      <w:pPr>
        <w:spacing w:after="0" w:line="117" w:lineRule="exact"/>
        <w:rPr>
          <w:rFonts w:ascii="Arial" w:cs="Arial" w:eastAsia="Arial" w:hAnsi="Arial"/>
          <w:sz w:val="18"/>
          <w:szCs w:val="18"/>
          <w:color w:val="auto"/>
        </w:rPr>
      </w:pPr>
    </w:p>
    <w:p>
      <w:pPr>
        <w:ind w:firstLine="996"/>
        <w:spacing w:after="0" w:line="286" w:lineRule="auto"/>
        <w:tabs>
          <w:tab w:leader="none" w:pos="124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57" w:lineRule="exact"/>
        <w:rPr>
          <w:rFonts w:ascii="Arial" w:cs="Arial" w:eastAsia="Arial" w:hAnsi="Arial"/>
          <w:sz w:val="17"/>
          <w:szCs w:val="17"/>
          <w:color w:val="auto"/>
        </w:rPr>
      </w:pPr>
    </w:p>
    <w:p>
      <w:pPr>
        <w:ind w:right="120" w:firstLine="996"/>
        <w:spacing w:after="0" w:line="342" w:lineRule="auto"/>
        <w:tabs>
          <w:tab w:leader="none" w:pos="123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the extent an Option is not previously exercised as to all of the Shares subject thereto, and, if the Fair Market Value of one Share is greater than the exercise price then in effect, then the Option shall be deemed automatically exercised immediately before its expiration.</w:t>
      </w:r>
    </w:p>
    <w:p>
      <w:pPr>
        <w:spacing w:after="0" w:line="15" w:lineRule="exact"/>
        <w:rPr>
          <w:rFonts w:ascii="Arial" w:cs="Arial" w:eastAsia="Arial" w:hAnsi="Arial"/>
          <w:sz w:val="16"/>
          <w:szCs w:val="16"/>
          <w:color w:val="auto"/>
        </w:rPr>
      </w:pPr>
    </w:p>
    <w:p>
      <w:pPr>
        <w:ind w:right="200" w:firstLine="996"/>
        <w:spacing w:after="0" w:line="277" w:lineRule="auto"/>
        <w:tabs>
          <w:tab w:leader="none" w:pos="12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Option will be eligible for the payment of dividends or dividend equivalents, to the extent such Option is subject to Section 409A and 457A of the Code.</w:t>
      </w:r>
    </w:p>
    <w:p>
      <w:pPr>
        <w:spacing w:after="0" w:line="170"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Share Appreciation Rights</w:t>
      </w:r>
      <w:r>
        <w:rPr>
          <w:rFonts w:ascii="Arial" w:cs="Arial" w:eastAsia="Arial" w:hAnsi="Arial"/>
          <w:sz w:val="16"/>
          <w:szCs w:val="16"/>
          <w:color w:val="auto"/>
        </w:rPr>
        <w:t>.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6" w:lineRule="exact"/>
        <w:rPr>
          <w:sz w:val="20"/>
          <w:szCs w:val="20"/>
          <w:color w:val="auto"/>
        </w:rPr>
      </w:pPr>
    </w:p>
    <w:p>
      <w:pPr>
        <w:ind w:left="1240" w:hanging="244"/>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SARs may be granted under the Plan to Participants either alone or in tandem with other Awards granted under the Plan.</w:t>
      </w:r>
    </w:p>
    <w:p>
      <w:pPr>
        <w:spacing w:after="0" w:line="117" w:lineRule="exact"/>
        <w:rPr>
          <w:rFonts w:ascii="Arial" w:cs="Arial" w:eastAsia="Arial" w:hAnsi="Arial"/>
          <w:sz w:val="18"/>
          <w:szCs w:val="18"/>
          <w:color w:val="auto"/>
        </w:rPr>
      </w:pPr>
    </w:p>
    <w:p>
      <w:pPr>
        <w:ind w:right="480" w:firstLine="996"/>
        <w:spacing w:after="0" w:line="264" w:lineRule="auto"/>
        <w:tabs>
          <w:tab w:leader="none" w:pos="12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exercise price per Share under a SAR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the case of Replacement Awards, such exercise price shall not be less than the Fair Market Value of a Share on the date of grant of such SAR (or if granted in connection with an Option, on the date of grant of such Option).</w:t>
      </w:r>
    </w:p>
    <w:p>
      <w:pPr>
        <w:spacing w:after="0" w:line="73" w:lineRule="exact"/>
        <w:rPr>
          <w:rFonts w:ascii="Arial" w:cs="Arial" w:eastAsia="Arial" w:hAnsi="Arial"/>
          <w:sz w:val="18"/>
          <w:szCs w:val="18"/>
          <w:color w:val="auto"/>
        </w:rPr>
      </w:pPr>
    </w:p>
    <w:p>
      <w:pPr>
        <w:ind w:left="1240" w:hanging="244"/>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term of each SAR shall be fixed by the Committee but shall not exceed 10 years from the date of grant of such SAR.</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 SAR may be exercised or settled in whole or in part.</w:t>
      </w:r>
    </w:p>
    <w:p>
      <w:pPr>
        <w:spacing w:after="0" w:line="117" w:lineRule="exact"/>
        <w:rPr>
          <w:rFonts w:ascii="Arial" w:cs="Arial" w:eastAsia="Arial" w:hAnsi="Arial"/>
          <w:sz w:val="18"/>
          <w:szCs w:val="18"/>
          <w:color w:val="auto"/>
        </w:rPr>
      </w:pPr>
    </w:p>
    <w:p>
      <w:pPr>
        <w:ind w:right="360" w:firstLine="996"/>
        <w:spacing w:after="0" w:line="342" w:lineRule="auto"/>
        <w:tabs>
          <w:tab w:leader="none" w:pos="123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the extent a SAR is not previously exercised as to all of the Shares subject thereto, and, if the Fair Market Value of one Share is greater than the exercise price then in effect, then the SAR shall be deemed automatically exercised immediately before its expiration.</w:t>
      </w:r>
    </w:p>
    <w:p>
      <w:pPr>
        <w:spacing w:after="0" w:line="15" w:lineRule="exact"/>
        <w:rPr>
          <w:rFonts w:ascii="Arial" w:cs="Arial" w:eastAsia="Arial" w:hAnsi="Arial"/>
          <w:sz w:val="16"/>
          <w:szCs w:val="16"/>
          <w:color w:val="auto"/>
        </w:rPr>
      </w:pPr>
    </w:p>
    <w:p>
      <w:pPr>
        <w:ind w:right="40" w:firstLine="996"/>
        <w:spacing w:after="0" w:line="286" w:lineRule="auto"/>
        <w:tabs>
          <w:tab w:leader="none" w:pos="121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Upon the exercise of a SAR, the Company shall pay to the Participant an amount equal to the number of Shares subject to the SAR multiplied by the excess, if any, of the Fair Market Value of one Share on the exercise date over the exercise price of such SAR. The Company shall pay such excess in cash, in Shares valued at Fair Market Value, or any combination thereof, as determined by the Committee.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91" w:name="page292"/>
    <w:bookmarkEnd w:id="291"/>
    <w:p>
      <w:pPr>
        <w:ind w:right="160" w:firstLine="996"/>
        <w:spacing w:after="0" w:line="277" w:lineRule="auto"/>
        <w:tabs>
          <w:tab w:leader="none" w:pos="12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SAR will be eligible for the payment of dividends or dividend equivalents, to the extent such SAR is subject to Section 409A and 457A of the Code.</w:t>
      </w:r>
    </w:p>
    <w:p>
      <w:pPr>
        <w:spacing w:after="0" w:line="170" w:lineRule="exact"/>
        <w:rPr>
          <w:sz w:val="20"/>
          <w:szCs w:val="20"/>
          <w:color w:val="auto"/>
        </w:rPr>
      </w:pPr>
    </w:p>
    <w:p>
      <w:pPr>
        <w:jc w:val="both"/>
        <w:ind w:right="680" w:firstLine="441"/>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Performance Awards</w:t>
      </w:r>
      <w:r>
        <w:rPr>
          <w:rFonts w:ascii="Arial" w:cs="Arial" w:eastAsia="Arial" w:hAnsi="Arial"/>
          <w:sz w:val="18"/>
          <w:szCs w:val="18"/>
          <w:color w:val="auto"/>
        </w:rPr>
        <w:t>.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73" w:lineRule="exact"/>
        <w:rPr>
          <w:sz w:val="20"/>
          <w:szCs w:val="20"/>
          <w:color w:val="auto"/>
        </w:rPr>
      </w:pPr>
    </w:p>
    <w:p>
      <w:pPr>
        <w:ind w:right="20" w:firstLine="996"/>
        <w:spacing w:after="0" w:line="291" w:lineRule="auto"/>
        <w:tabs>
          <w:tab w:leader="none" w:pos="123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Performance Awards may be denominated as a cash amount, a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59" w:lineRule="exact"/>
        <w:rPr>
          <w:rFonts w:ascii="Arial" w:cs="Arial" w:eastAsia="Arial" w:hAnsi="Arial"/>
          <w:sz w:val="16"/>
          <w:szCs w:val="16"/>
          <w:color w:val="auto"/>
        </w:rPr>
      </w:pPr>
    </w:p>
    <w:p>
      <w:pPr>
        <w:ind w:firstLine="996"/>
        <w:spacing w:after="0" w:line="287" w:lineRule="auto"/>
        <w:tabs>
          <w:tab w:leader="none" w:pos="12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Performance criteria may be measured on an absolute (</w:t>
      </w:r>
      <w:r>
        <w:rPr>
          <w:rFonts w:ascii="Arial" w:cs="Arial" w:eastAsia="Arial" w:hAnsi="Arial"/>
          <w:sz w:val="16"/>
          <w:szCs w:val="16"/>
          <w:i w:val="1"/>
          <w:iCs w:val="1"/>
          <w:color w:val="auto"/>
        </w:rPr>
        <w:t>e.g.</w:t>
      </w:r>
      <w:r>
        <w:rPr>
          <w:rFonts w:ascii="Arial" w:cs="Arial" w:eastAsia="Arial" w:hAnsi="Arial"/>
          <w:sz w:val="16"/>
          <w:szCs w:val="16"/>
          <w:color w:val="auto"/>
        </w:rPr>
        <w:t>, plan or budget) or relative basis, and may be established on a corporate-wide basis, with respect to one or more business units, divisions, Subsidiaries or business segments, or on an individual basis.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minimum acceptable level of achievement, in whole or in part, as the Committee deems appropriate and equitable. Performance objectives shall be adjusted for material items not originally contemplated in establishing the performance target for items resulting from discontinued operations, extraordinary gains and losses, the effect of changes in accounting standards or principles, acquisitions or divestitures, changes in tax rules or regulations, capital transactions, restructuring, nonrecurring gains or losses or unusual items.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2" w:name="page293"/>
    <w:bookmarkEnd w:id="292"/>
    <w:p>
      <w:pPr>
        <w:ind w:firstLine="996"/>
        <w:spacing w:after="0" w:line="312" w:lineRule="auto"/>
        <w:tabs>
          <w:tab w:leader="none" w:pos="1237"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Settlement of Performance Awards shall be in cash, Shares, other Awards, other property, net settlement or any combination thereof, as determined in the discretion of the Committee. Performance Awards will be settled only after the end of the relevant Performance Period. The Committee may, in its discretion, increase or reduce the amount of a settlement otherwise to be made in connection with a Performance Award.</w:t>
      </w:r>
    </w:p>
    <w:p>
      <w:pPr>
        <w:spacing w:after="0" w:line="38" w:lineRule="exact"/>
        <w:rPr>
          <w:rFonts w:ascii="Arial" w:cs="Arial" w:eastAsia="Arial" w:hAnsi="Arial"/>
          <w:sz w:val="16"/>
          <w:szCs w:val="16"/>
          <w:color w:val="auto"/>
        </w:rPr>
      </w:pPr>
    </w:p>
    <w:p>
      <w:pPr>
        <w:ind w:right="40" w:firstLine="996"/>
        <w:spacing w:after="0" w:line="288" w:lineRule="auto"/>
        <w:tabs>
          <w:tab w:leader="none" w:pos="12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Performance Award shall not convey to a Participant the rights and privileges of a shareholder with respect to the Shares subject to such Performance Award, such as the right to vote (except as relates to Restricted Stock) or the right to receive dividends, unless and until Shares are issued to such Participant to settle such Performance Award. The Committee, in its sole discretion, may provide that a Performance Award shall convey the right to receive dividend equivalents on the Shares subject to such Performance Award with respect to any dividends declared during the period that such Performance Award is outstanding, in which case, such dividend equivalent rights shall accumulate and shall be paid in cash or Shares on the settlement date of the Performance Award, subject to the Participant’s earning of the Shares subject to such Performance Awards with respect to which such dividend equivalents are paid upon achievement or satisfaction of performance conditions specified by the Committee. Shares delivered upon the vesting and settlement of a Performance Award may be evidenced in such manner as the Committee may deem appropriate, including book-entry registration. For the avoidance of doubt, unless otherwise determined by the Committee, no dividend equivalent rights shall be provided with respect to any Shares subject to Performance Awards that are not earned or otherwise do not vest or settle pursuant to their terms.</w:t>
      </w:r>
    </w:p>
    <w:p>
      <w:pPr>
        <w:spacing w:after="0" w:line="169"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Other Share-Based Awards</w:t>
      </w:r>
      <w:r>
        <w:rPr>
          <w:rFonts w:ascii="Arial" w:cs="Arial" w:eastAsia="Arial" w:hAnsi="Arial"/>
          <w:sz w:val="16"/>
          <w:szCs w:val="16"/>
          <w:color w:val="auto"/>
        </w:rPr>
        <w:t>.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acquisition rights for Shares, Awards with value and payment contingent upon performance of the Company or business units thereof or any other factors designated by the Committee. The Committee shall determine the terms and conditions of such Awards.</w:t>
      </w:r>
    </w:p>
    <w:p>
      <w:pPr>
        <w:spacing w:after="0" w:line="158"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Other Cash-Based Awards</w:t>
      </w:r>
      <w:r>
        <w:rPr>
          <w:rFonts w:ascii="Arial" w:cs="Arial" w:eastAsia="Arial" w:hAnsi="Arial"/>
          <w:sz w:val="18"/>
          <w:szCs w:val="18"/>
          <w:color w:val="auto"/>
        </w:rPr>
        <w:t>. The Committee is authorized, subject to limitations under applicable law, to grant to Participants such other Awards that may be denominated or payable in, valued in whole or in part by reference to, or otherwise based on, or related to, cash. The Committee shall determine the terms and conditions of such Awards.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93" w:name="page294"/>
    <w:bookmarkEnd w:id="2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 </w:t>
      </w:r>
      <w:r>
        <w:rPr>
          <w:rFonts w:ascii="Arial" w:cs="Arial" w:eastAsia="Arial" w:hAnsi="Arial"/>
          <w:sz w:val="18"/>
          <w:szCs w:val="18"/>
          <w:i w:val="1"/>
          <w:iCs w:val="1"/>
          <w:color w:val="auto"/>
        </w:rPr>
        <w:t>Effect of Termination of Service or a Change in Control on Awards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64" w:lineRule="auto"/>
        <w:tabs>
          <w:tab w:leader="none" w:pos="12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Committee may provide, by rule or regulation or in any Award Document, or may determine in any individual case, the circumstances in which, and the extent to which, an Award may be exercised, settled, vested, paid or forfeited in the event of a Participant’s Termination of Service prior to the vesting, exercise or settlement of such Award or the end of a Performance Period.</w:t>
      </w:r>
    </w:p>
    <w:p>
      <w:pPr>
        <w:spacing w:after="0" w:line="73" w:lineRule="exact"/>
        <w:rPr>
          <w:rFonts w:ascii="Arial" w:cs="Arial" w:eastAsia="Arial" w:hAnsi="Arial"/>
          <w:sz w:val="18"/>
          <w:szCs w:val="18"/>
          <w:color w:val="auto"/>
        </w:rPr>
      </w:pPr>
    </w:p>
    <w:p>
      <w:pPr>
        <w:ind w:firstLine="996"/>
        <w:spacing w:after="0" w:line="308" w:lineRule="auto"/>
        <w:tabs>
          <w:tab w:leader="none" w:pos="124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the event of a Change in Control, outstanding Awards shall immediately vest and settle, and, with respect to Options and SARs, shall become fully exercisable. Any performance criteria to which any such Awards are subject shall be deemed to be satisfied at target.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General Provisions Applicable to Awards</w:t>
      </w:r>
      <w:r>
        <w:rPr>
          <w:rFonts w:ascii="Arial" w:cs="Arial" w:eastAsia="Arial" w:hAnsi="Arial"/>
          <w:sz w:val="18"/>
          <w:szCs w:val="18"/>
          <w:color w:val="auto"/>
        </w:rPr>
        <w:t>.</w:t>
      </w:r>
    </w:p>
    <w:p>
      <w:pPr>
        <w:spacing w:after="0" w:line="117" w:lineRule="exact"/>
        <w:rPr>
          <w:sz w:val="20"/>
          <w:szCs w:val="20"/>
          <w:color w:val="auto"/>
        </w:rPr>
      </w:pPr>
    </w:p>
    <w:p>
      <w:pPr>
        <w:ind w:left="1240" w:hanging="244"/>
        <w:spacing w:after="0"/>
        <w:tabs>
          <w:tab w:leader="none" w:pos="12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Awards shall be granted for no cash consideration or for such minimal cash consideration as may be required by applicable law.</w:t>
      </w:r>
    </w:p>
    <w:p>
      <w:pPr>
        <w:spacing w:after="0" w:line="128" w:lineRule="exact"/>
        <w:rPr>
          <w:rFonts w:ascii="Arial" w:cs="Arial" w:eastAsia="Arial" w:hAnsi="Arial"/>
          <w:sz w:val="17"/>
          <w:szCs w:val="17"/>
          <w:color w:val="auto"/>
        </w:rPr>
      </w:pPr>
    </w:p>
    <w:p>
      <w:pPr>
        <w:ind w:right="160" w:firstLine="996"/>
        <w:spacing w:after="0" w:line="259" w:lineRule="auto"/>
        <w:tabs>
          <w:tab w:leader="none" w:pos="12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78" w:lineRule="exact"/>
        <w:rPr>
          <w:rFonts w:ascii="Arial" w:cs="Arial" w:eastAsia="Arial" w:hAnsi="Arial"/>
          <w:sz w:val="18"/>
          <w:szCs w:val="18"/>
          <w:color w:val="auto"/>
        </w:rPr>
      </w:pPr>
    </w:p>
    <w:p>
      <w:pPr>
        <w:ind w:right="80" w:firstLine="996"/>
        <w:spacing w:after="0" w:line="297" w:lineRule="auto"/>
        <w:tabs>
          <w:tab w:leader="none" w:pos="123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Subject to Section 19,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50" w:lineRule="exact"/>
        <w:rPr>
          <w:rFonts w:ascii="Arial" w:cs="Arial" w:eastAsia="Arial" w:hAnsi="Arial"/>
          <w:sz w:val="16"/>
          <w:szCs w:val="16"/>
          <w:color w:val="auto"/>
        </w:rPr>
      </w:pPr>
    </w:p>
    <w:p>
      <w:pPr>
        <w:ind w:right="100" w:firstLine="996"/>
        <w:spacing w:after="0" w:line="271" w:lineRule="auto"/>
        <w:tabs>
          <w:tab w:leader="none" w:pos="124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Except as may be permitted by the Committee or as specifically provided in an Award Document, (i) no Award and no right under any Award shall be assignable, alienable, saleable or transferable by a Participant otherwise than by will or pursuant to Section 13(e) and (ii) during a Participant’s lifetime, each Award, and each right under any Award, shall be exercisable only by the Participant or, if permissible under applicable law, by the Participant’s guardian or legal representative. Notwithstanding the foregoing, the Committee may, in its sole discretion, permit (on such terms, conditions and limitations as it may establish) Options and/or shares issued in connection with an Option or a SAR exercise that are subject to restrictions on transferability, to be transferred to a member of a Participant’s immediate family or to a trust or similar vehicle for the benefit of a Participant’s immediate family members. The provisions of this Section 13(d) shall not apply to any Award that has been fully exercised or settled, as the case may be, and shall not preclude forfeiture of an Award in accordance with the terms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94" w:name="page295"/>
    <w:bookmarkEnd w:id="294"/>
    <w:p>
      <w:pPr>
        <w:ind w:left="-20" w:right="100" w:firstLine="996"/>
        <w:spacing w:after="0" w:line="277" w:lineRule="auto"/>
        <w:tabs>
          <w:tab w:leader="none" w:pos="1217"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may designate a Beneficiary or change a previous Beneficiary designation at such times prescribed by the Committee by using forms and following procedures approved or accepted by the Committee for that purpose.</w:t>
      </w:r>
    </w:p>
    <w:p>
      <w:pPr>
        <w:spacing w:after="0" w:line="62" w:lineRule="exact"/>
        <w:rPr>
          <w:rFonts w:ascii="Arial" w:cs="Arial" w:eastAsia="Arial" w:hAnsi="Arial"/>
          <w:sz w:val="18"/>
          <w:szCs w:val="18"/>
          <w:color w:val="auto"/>
        </w:rPr>
      </w:pPr>
    </w:p>
    <w:p>
      <w:pPr>
        <w:ind w:left="-20" w:firstLine="996"/>
        <w:spacing w:after="0" w:line="302" w:lineRule="auto"/>
        <w:tabs>
          <w:tab w:leader="none" w:pos="119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certificates, if any,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46" w:lineRule="exact"/>
        <w:rPr>
          <w:rFonts w:ascii="Arial" w:cs="Arial" w:eastAsia="Arial" w:hAnsi="Arial"/>
          <w:sz w:val="16"/>
          <w:szCs w:val="16"/>
          <w:color w:val="auto"/>
        </w:rPr>
      </w:pPr>
    </w:p>
    <w:p>
      <w:pPr>
        <w:ind w:left="-20" w:right="40" w:firstLine="996"/>
        <w:spacing w:after="0" w:line="264" w:lineRule="auto"/>
        <w:tabs>
          <w:tab w:leader="none" w:pos="122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Without limiting the generality of Section 13(h), the Committee may impose restrictions on any Award with respect to noncompetition, confidentiality and other restrictive covenants, or requirements to comply with minimum share ownership requirements, as it deems necessary or appropriate in its sole discretion.</w:t>
      </w:r>
    </w:p>
    <w:p>
      <w:pPr>
        <w:spacing w:after="0" w:line="73" w:lineRule="exact"/>
        <w:rPr>
          <w:rFonts w:ascii="Arial" w:cs="Arial" w:eastAsia="Arial" w:hAnsi="Arial"/>
          <w:sz w:val="18"/>
          <w:szCs w:val="18"/>
          <w:color w:val="auto"/>
        </w:rPr>
      </w:pPr>
    </w:p>
    <w:p>
      <w:pPr>
        <w:ind w:left="-20" w:right="60" w:firstLine="996"/>
        <w:spacing w:after="0" w:line="254" w:lineRule="auto"/>
        <w:tabs>
          <w:tab w:leader="none" w:pos="122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Committee may specify in an Award Document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detrimental to the business or reputation of the Company and/or its Affiliates.</w:t>
      </w:r>
    </w:p>
    <w:p>
      <w:pPr>
        <w:spacing w:after="0" w:line="84" w:lineRule="exact"/>
        <w:rPr>
          <w:rFonts w:ascii="Arial" w:cs="Arial" w:eastAsia="Arial" w:hAnsi="Arial"/>
          <w:sz w:val="18"/>
          <w:szCs w:val="18"/>
          <w:color w:val="auto"/>
        </w:rPr>
      </w:pPr>
    </w:p>
    <w:p>
      <w:pPr>
        <w:ind w:left="-20" w:right="120" w:firstLine="996"/>
        <w:spacing w:after="0" w:line="264" w:lineRule="auto"/>
        <w:tabs>
          <w:tab w:leader="none" w:pos="11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Rights, payments and benefits under any Award shall be subject to repayment to or recoupment (“clawback”) by the Company in accordance with such policies and procedures as the Committee or Board may adopt from time to time, including policies and procedures to implement applicable law, stock market or exchange rules and regulations or accounting or tax rules and regulations.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4" w:right="439" w:bottom="1440" w:gutter="0" w:footer="0" w:header="0"/>
        </w:sectPr>
      </w:pPr>
    </w:p>
    <w:bookmarkStart w:id="295" w:name="page296"/>
    <w:bookmarkEnd w:id="2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 </w:t>
      </w:r>
      <w:r>
        <w:rPr>
          <w:rFonts w:ascii="Arial" w:cs="Arial" w:eastAsia="Arial" w:hAnsi="Arial"/>
          <w:sz w:val="18"/>
          <w:szCs w:val="18"/>
          <w:i w:val="1"/>
          <w:iCs w:val="1"/>
          <w:color w:val="auto"/>
        </w:rPr>
        <w:t>Amendments and Termination</w:t>
      </w:r>
      <w:r>
        <w:rPr>
          <w:rFonts w:ascii="Arial" w:cs="Arial" w:eastAsia="Arial" w:hAnsi="Arial"/>
          <w:sz w:val="18"/>
          <w:szCs w:val="18"/>
          <w:color w:val="auto"/>
        </w:rPr>
        <w:t>.</w:t>
      </w:r>
    </w:p>
    <w:p>
      <w:pPr>
        <w:spacing w:after="0" w:line="117" w:lineRule="exact"/>
        <w:rPr>
          <w:sz w:val="20"/>
          <w:szCs w:val="20"/>
          <w:color w:val="auto"/>
        </w:rPr>
      </w:pPr>
    </w:p>
    <w:p>
      <w:pPr>
        <w:ind w:right="100" w:firstLine="996"/>
        <w:spacing w:after="0" w:line="269" w:lineRule="auto"/>
        <w:tabs>
          <w:tab w:leader="none" w:pos="123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to the extent any such amendment, alteration, suspension, discontinuance or termination is made to cause the Plan to comply with applicable law, stock market or exchange rules and regulations or accounting or tax rules and regulations, or to impose any recoupment provisions on any Awards in accordance with Section 13(i). Notwithstanding anything to the contrary in the Plan, the Committee may amend the Plan or any Award Document in such manner as may be necessary or desirable to enable the Plan or such Award Document to achieve its stated purposes in any jurisdiction in a tax-efficient manner and in compliance with local laws, rules and regulations to recognize differences in local law, tax policy or custom. The Committee also may impose conditions on the exercise or vesting of Awards in order to minimize the Company’s obligation with respect to tax equalization for Participants on assignments outside of their home country.</w:t>
      </w:r>
    </w:p>
    <w:p>
      <w:pPr>
        <w:spacing w:after="0" w:line="71" w:lineRule="exact"/>
        <w:rPr>
          <w:rFonts w:ascii="Arial" w:cs="Arial" w:eastAsia="Arial" w:hAnsi="Arial"/>
          <w:sz w:val="17"/>
          <w:szCs w:val="17"/>
          <w:color w:val="auto"/>
        </w:rPr>
      </w:pPr>
    </w:p>
    <w:p>
      <w:pPr>
        <w:ind w:firstLine="996"/>
        <w:spacing w:after="0" w:line="255" w:lineRule="auto"/>
        <w:tabs>
          <w:tab w:leader="none" w:pos="12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 Section 4(c) and Section 13(c), no such action shall materially adversely affect the rights of any affected Participant or holder</w:t>
      </w:r>
      <w:r>
        <w:rPr>
          <w:rFonts w:ascii="Arial" w:cs="Arial" w:eastAsia="Arial" w:hAnsi="Arial"/>
          <w:sz w:val="18"/>
          <w:szCs w:val="18"/>
          <w:i w:val="1"/>
          <w:iCs w:val="1"/>
          <w:color w:val="auto"/>
        </w:rPr>
        <w:t xml:space="preserve"> </w:t>
      </w:r>
      <w:r>
        <w:rPr>
          <w:rFonts w:ascii="Arial" w:cs="Arial" w:eastAsia="Arial" w:hAnsi="Arial"/>
          <w:sz w:val="18"/>
          <w:szCs w:val="18"/>
          <w:color w:val="auto"/>
        </w:rPr>
        <w:t>or Beneficiary under any Award theretofore granted under the Plan, except to the extent any such action is made to cause the Plan to comply with applicable law, stock market or exchange rules and regulations or accounting or tax rules and regulations, or to impose any recoupment provisions on any Awards in accordance with Section 13(i).</w:t>
      </w:r>
    </w:p>
    <w:p>
      <w:pPr>
        <w:spacing w:after="0" w:line="85" w:lineRule="exact"/>
        <w:rPr>
          <w:rFonts w:ascii="Arial" w:cs="Arial" w:eastAsia="Arial" w:hAnsi="Arial"/>
          <w:sz w:val="18"/>
          <w:szCs w:val="18"/>
          <w:color w:val="auto"/>
        </w:rPr>
      </w:pPr>
    </w:p>
    <w:p>
      <w:pPr>
        <w:ind w:right="60" w:firstLine="996"/>
        <w:spacing w:after="0" w:line="257" w:lineRule="auto"/>
        <w:tabs>
          <w:tab w:leader="none" w:pos="12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provided in Section 9(b), the Committee shall be authorized to make adjustments in the terms and conditions of, and the criteria included in, Awards in recognition of events (including the events described in Section 4(c)) affecting the Company, or the financial statements of the Company, or of changes in applicable law, stock market or exchange rules and regulations or accounting or tax rules and regulations, whenever the Committee determines that such adjustments are appropriate in order to prevent dilution or enlargement of the benefits or potential benefits intended to be made available under the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96" w:name="page297"/>
    <w:bookmarkEnd w:id="296"/>
    <w:p>
      <w:pPr>
        <w:ind w:right="260" w:firstLine="996"/>
        <w:spacing w:after="0" w:line="277" w:lineRule="auto"/>
        <w:tabs>
          <w:tab w:leader="none" w:pos="12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may correct any defect, supply any omission or reconcile any inconsistency in the Plan or any Award in the manner and to the extent it shall deem desirable to carry the Plan into effect.</w:t>
      </w:r>
    </w:p>
    <w:p>
      <w:pPr>
        <w:spacing w:after="0" w:line="170"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Option and SAR Repricing</w:t>
      </w:r>
      <w:r>
        <w:rPr>
          <w:rFonts w:ascii="Arial" w:cs="Arial" w:eastAsia="Arial" w:hAnsi="Arial"/>
          <w:sz w:val="16"/>
          <w:szCs w:val="16"/>
          <w:color w:val="auto"/>
        </w:rPr>
        <w:t>. Except as provided in Section 4(c), the Committee may not, without shareholder approval, seek to effect any re-pricing of any previously granted “underwater” Option or SAR by: (i) amending or modifying the terms of the Option or SAR to lower the exercise price; (ii) cancelling the underwater Option or SAR and granting either (A) replacement Options or SARs having a lower exercise price or</w:t>
      </w:r>
    </w:p>
    <w:p>
      <w:pPr>
        <w:jc w:val="both"/>
        <w:ind w:right="80" w:firstLine="4"/>
        <w:spacing w:after="0" w:line="255" w:lineRule="auto"/>
        <w:tabs>
          <w:tab w:leader="none" w:pos="2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Restricted Stock, RSU, Performance Award or Other Share-Based Award in exchange; or (iii) cancelling or repurchasing the underwater Options or SARs for cash or other securities. An Option or SAR will be deemed to be “underwater” at any time when the Fair Market Value of the Shares covered by such Award is less than the exercise price of the Award.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40" w:firstLine="996"/>
        <w:spacing w:after="0" w:line="257" w:lineRule="auto"/>
        <w:tabs>
          <w:tab w:leader="none" w:pos="12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including as necessary or desirable to recognize differences in local law, tax policy or custom. Any Award granted under the Plan shall be a one-time Award that does not constitute a promise of future grants. The Company, in its sole discretion, maintains the right to make available future grants under the Plan.</w:t>
      </w:r>
    </w:p>
    <w:p>
      <w:pPr>
        <w:spacing w:after="0" w:line="80" w:lineRule="exact"/>
        <w:rPr>
          <w:rFonts w:ascii="Arial" w:cs="Arial" w:eastAsia="Arial" w:hAnsi="Arial"/>
          <w:sz w:val="18"/>
          <w:szCs w:val="18"/>
          <w:color w:val="auto"/>
        </w:rPr>
      </w:pPr>
    </w:p>
    <w:p>
      <w:pPr>
        <w:ind w:firstLine="996"/>
        <w:spacing w:after="0" w:line="264" w:lineRule="auto"/>
        <w:tabs>
          <w:tab w:leader="none" w:pos="12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73" w:lineRule="exact"/>
        <w:rPr>
          <w:rFonts w:ascii="Arial" w:cs="Arial" w:eastAsia="Arial" w:hAnsi="Arial"/>
          <w:sz w:val="18"/>
          <w:szCs w:val="18"/>
          <w:color w:val="auto"/>
        </w:rPr>
      </w:pPr>
    </w:p>
    <w:p>
      <w:pPr>
        <w:ind w:right="20" w:firstLine="996"/>
        <w:spacing w:after="0" w:line="288" w:lineRule="auto"/>
        <w:tabs>
          <w:tab w:leader="none" w:pos="123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Affiliate. Further, the Company or the applicable Affiliate may at any time dismiss a Participant, free from any liability, or any claim under the Plan, unless otherwise expressly provided in the Plan or in any Award Document or in any other agreement binding the parties.</w:t>
      </w: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The receipt of any Award under the Plan is not intended to confer any rights on the receiving Participant except as set forth in the applicable Award Document.</w:t>
      </w:r>
    </w:p>
    <w:p>
      <w:pPr>
        <w:spacing w:after="0" w:line="75" w:lineRule="exact"/>
        <w:rPr>
          <w:rFonts w:ascii="Arial" w:cs="Arial" w:eastAsia="Arial" w:hAnsi="Arial"/>
          <w:sz w:val="16"/>
          <w:szCs w:val="16"/>
          <w:color w:val="auto"/>
        </w:rPr>
      </w:pPr>
    </w:p>
    <w:p>
      <w:pPr>
        <w:ind w:right="480" w:firstLine="996"/>
        <w:spacing w:after="0" w:line="277" w:lineRule="auto"/>
        <w:tabs>
          <w:tab w:leader="none" w:pos="12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97" w:name="page298"/>
    <w:bookmarkEnd w:id="297"/>
    <w:p>
      <w:pPr>
        <w:ind w:left="-40" w:firstLine="996"/>
        <w:spacing w:after="0" w:line="276" w:lineRule="auto"/>
        <w:tabs>
          <w:tab w:leader="none" w:pos="1197"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to satisfy all obligations for the payment of such taxes.</w:t>
      </w:r>
    </w:p>
    <w:p>
      <w:pPr>
        <w:spacing w:after="0" w:line="64" w:lineRule="exact"/>
        <w:rPr>
          <w:rFonts w:ascii="Arial" w:cs="Arial" w:eastAsia="Arial" w:hAnsi="Arial"/>
          <w:sz w:val="17"/>
          <w:szCs w:val="17"/>
          <w:color w:val="auto"/>
        </w:rPr>
      </w:pPr>
    </w:p>
    <w:p>
      <w:pPr>
        <w:ind w:left="-40" w:right="460" w:firstLine="996"/>
        <w:spacing w:after="0" w:line="297" w:lineRule="auto"/>
        <w:tabs>
          <w:tab w:leader="none" w:pos="117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50" w:lineRule="exact"/>
        <w:rPr>
          <w:rFonts w:ascii="Arial" w:cs="Arial" w:eastAsia="Arial" w:hAnsi="Arial"/>
          <w:sz w:val="16"/>
          <w:szCs w:val="16"/>
          <w:color w:val="auto"/>
        </w:rPr>
      </w:pPr>
    </w:p>
    <w:p>
      <w:pPr>
        <w:ind w:left="-40" w:right="40" w:firstLine="996"/>
        <w:spacing w:after="0" w:line="259" w:lineRule="auto"/>
        <w:tabs>
          <w:tab w:leader="none" w:pos="120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Shares shall be issued pursuant to the Plan in the event the Company determines that: (i) it and the Participant have not taken all actions required to register the Shares under the Securities Act and any other applicable securities laws and there is no exemption from such registration under applicable law; (ii) an applicable listing requirement of any stock exchange on which the Company is listed has not been satisfied; or (iii) another applicable provision of law has not been satisfied.</w:t>
      </w:r>
    </w:p>
    <w:p>
      <w:pPr>
        <w:spacing w:after="0" w:line="78" w:lineRule="exact"/>
        <w:rPr>
          <w:rFonts w:ascii="Arial" w:cs="Arial" w:eastAsia="Arial" w:hAnsi="Arial"/>
          <w:sz w:val="18"/>
          <w:szCs w:val="18"/>
          <w:color w:val="auto"/>
        </w:rPr>
      </w:pPr>
    </w:p>
    <w:p>
      <w:pPr>
        <w:ind w:left="-40" w:firstLine="996"/>
        <w:spacing w:after="0" w:line="253" w:lineRule="auto"/>
        <w:tabs>
          <w:tab w:leader="none" w:pos="120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Each Award Document shall provide that no Shares shall be purchased or sold thereunder unless and until (a) any then applicable requirements of any state or federal laws and regulatory agencies in any applicable country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upon exercise of the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undertaking shall not require the Company to register under the Securities Act the Plan, any Award or any Shares issued or issuable pursuant to any such Award. If, after reasonable efforts, the Company is unable to obtain from any such regulatory commission or agency the authority which counsel for the Company deems necessary for the lawful issuance and sale of Shares under the Plan, the Company shall be relieved from any liability for failure to issue and sell Shares upon exercise of such Awards unless and until such authority is obtained.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298" w:name="page299"/>
    <w:bookmarkEnd w:id="298"/>
    <w:p>
      <w:pPr>
        <w:ind w:right="340" w:firstLine="996"/>
        <w:spacing w:after="0" w:line="286" w:lineRule="auto"/>
        <w:tabs>
          <w:tab w:leader="none" w:pos="1207" w:val="left"/>
        </w:tabs>
        <w:numPr>
          <w:ilvl w:val="0"/>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57" w:lineRule="exact"/>
        <w:rPr>
          <w:rFonts w:ascii="Arial" w:cs="Arial" w:eastAsia="Arial" w:hAnsi="Arial"/>
          <w:sz w:val="17"/>
          <w:szCs w:val="17"/>
          <w:color w:val="auto"/>
        </w:rPr>
      </w:pPr>
    </w:p>
    <w:p>
      <w:pPr>
        <w:ind w:firstLine="996"/>
        <w:spacing w:after="0" w:line="264" w:lineRule="auto"/>
        <w:tabs>
          <w:tab w:leader="none" w:pos="120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73" w:lineRule="exact"/>
        <w:rPr>
          <w:rFonts w:ascii="Arial" w:cs="Arial" w:eastAsia="Arial" w:hAnsi="Arial"/>
          <w:sz w:val="18"/>
          <w:szCs w:val="18"/>
          <w:color w:val="auto"/>
        </w:rPr>
      </w:pPr>
    </w:p>
    <w:p>
      <w:pPr>
        <w:ind w:right="240" w:firstLine="996"/>
        <w:spacing w:after="0" w:line="257" w:lineRule="auto"/>
        <w:tabs>
          <w:tab w:leader="none" w:pos="12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Effective Date of the Plan</w:t>
      </w:r>
      <w:r>
        <w:rPr>
          <w:rFonts w:ascii="Arial" w:cs="Arial" w:eastAsia="Arial" w:hAnsi="Arial"/>
          <w:sz w:val="18"/>
          <w:szCs w:val="18"/>
          <w:color w:val="auto"/>
        </w:rPr>
        <w:t>. The Plan is effective as of the effective date of the registration statement filed by the Company with the SEC for its initial offering of Shares to the public.</w:t>
      </w:r>
    </w:p>
    <w:p>
      <w:pPr>
        <w:spacing w:after="0" w:line="1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Term of the Plan</w:t>
      </w:r>
      <w:r>
        <w:rPr>
          <w:rFonts w:ascii="Arial" w:cs="Arial" w:eastAsia="Arial" w:hAnsi="Arial"/>
          <w:sz w:val="16"/>
          <w:szCs w:val="16"/>
          <w:color w:val="auto"/>
        </w:rPr>
        <w:t>. No Award shall be granted under the Plan after the earliest to occur of (i) the tenth anniversary of the effectiveness of the Plan (the “</w:t>
      </w:r>
      <w:r>
        <w:rPr>
          <w:rFonts w:ascii="Arial" w:cs="Arial" w:eastAsia="Arial" w:hAnsi="Arial"/>
          <w:sz w:val="16"/>
          <w:szCs w:val="16"/>
          <w:b w:val="1"/>
          <w:bCs w:val="1"/>
          <w:color w:val="auto"/>
        </w:rPr>
        <w:t>Plan Expiration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to the extent permitted by the listing rules of any stock exchanges on which the Company is listed, such Plan Expiration Date may be extended indefinitely so long as the maximum number of Shares available for issuance under the Plan have not been issued, (ii) the maximum number of Shares available for issuance under the Plan have been issued or (iii) the Board terminates the Plan in accordance with Section 14(a).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99" w:name="page300"/>
    <w:bookmarkEnd w:id="299"/>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19. </w:t>
      </w:r>
      <w:r>
        <w:rPr>
          <w:rFonts w:ascii="Arial" w:cs="Arial" w:eastAsia="Arial" w:hAnsi="Arial"/>
          <w:sz w:val="18"/>
          <w:szCs w:val="18"/>
          <w:i w:val="1"/>
          <w:iCs w:val="1"/>
          <w:color w:val="auto"/>
        </w:rPr>
        <w:t>Sections 409A and 457A of the Code</w:t>
      </w:r>
      <w:r>
        <w:rPr>
          <w:rFonts w:ascii="Arial" w:cs="Arial" w:eastAsia="Arial" w:hAnsi="Arial"/>
          <w:sz w:val="18"/>
          <w:szCs w:val="18"/>
          <w:color w:val="auto"/>
        </w:rPr>
        <w:t>.</w:t>
      </w:r>
    </w:p>
    <w:p>
      <w:pPr>
        <w:spacing w:after="0" w:line="117" w:lineRule="exact"/>
        <w:rPr>
          <w:sz w:val="20"/>
          <w:szCs w:val="20"/>
          <w:color w:val="auto"/>
        </w:rPr>
      </w:pPr>
    </w:p>
    <w:p>
      <w:pPr>
        <w:ind w:left="-40" w:right="20" w:firstLine="996"/>
        <w:spacing w:after="0" w:line="268" w:lineRule="auto"/>
        <w:tabs>
          <w:tab w:leader="none" w:pos="119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With respect to Awards subject to Section 409A and/or 457A of the Code, the Plan is intended to comply with the requirements of Sections 409A and 457A of the Code, and the provisions of the Plan and any Award Document shall be interpreted in a manner that satisfies the requirements of Sections 409A and 457A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right to the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the Participant on account of non-compliance with Section 409A and 457A of the Code.</w:t>
      </w:r>
    </w:p>
    <w:p>
      <w:pPr>
        <w:spacing w:after="0" w:line="77" w:lineRule="exact"/>
        <w:rPr>
          <w:rFonts w:ascii="Arial" w:cs="Arial" w:eastAsia="Arial" w:hAnsi="Arial"/>
          <w:sz w:val="17"/>
          <w:szCs w:val="17"/>
          <w:color w:val="auto"/>
        </w:rPr>
      </w:pPr>
    </w:p>
    <w:p>
      <w:pPr>
        <w:ind w:left="-40" w:firstLine="996"/>
        <w:spacing w:after="0" w:line="273" w:lineRule="auto"/>
        <w:tabs>
          <w:tab w:leader="none" w:pos="120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or any Award Document, in the event the Committee determines that any Award may be subject to Section 409A or Section 457A of the Code, the Committee may adopt such amendments to the Plan and the applicable Award Document or adopt other policies and procedures (including amendments, policies and procedures with retroactive effect), or take any other actions, that the Committee determines are necessary or appropriate to (a) exempt the Award from Section 409A or Section 457A of the Code and/or preserve the intended tax treatment of the benefits provided with respect to the Award, or (b) comply with the requirements of Section 409A or Section 457A and thereby avoid the application of any adverse tax consequences under such Sections.</w:t>
      </w:r>
    </w:p>
    <w:p>
      <w:pPr>
        <w:spacing w:after="0" w:line="70" w:lineRule="exact"/>
        <w:rPr>
          <w:rFonts w:ascii="Arial" w:cs="Arial" w:eastAsia="Arial" w:hAnsi="Arial"/>
          <w:sz w:val="17"/>
          <w:szCs w:val="17"/>
          <w:color w:val="auto"/>
        </w:rPr>
      </w:pPr>
    </w:p>
    <w:p>
      <w:pPr>
        <w:jc w:val="both"/>
        <w:ind w:left="-40" w:right="80" w:firstLine="996"/>
        <w:spacing w:after="0" w:line="279" w:lineRule="auto"/>
        <w:tabs>
          <w:tab w:leader="none" w:pos="119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or any Award Document, a termination of employment shall not be deemed to have occurred for purposes of any provision of an Award that is subject to Section 409A providing for payment upon or following a termination of a Participant’s employment unless such termination is also a “separation from service” and, for purposes of any such provision of such Award, references to a “termination,” “termination of employment” or like terms shall mean “separation from service.”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80" w:top="274" w:right="459" w:bottom="1440" w:gutter="0" w:footer="0" w:header="0"/>
        </w:sectPr>
      </w:pPr>
    </w:p>
    <w:bookmarkStart w:id="300" w:name="page301"/>
    <w:bookmarkEnd w:id="300"/>
    <w:p>
      <w:pPr>
        <w:ind w:right="48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6"/>
          <w:szCs w:val="16"/>
          <w:i w:val="1"/>
          <w:iCs w:val="1"/>
          <w:color w:val="auto"/>
        </w:rPr>
        <w:t>Data Protection</w:t>
      </w:r>
      <w:r>
        <w:rPr>
          <w:rFonts w:ascii="Arial" w:cs="Arial" w:eastAsia="Arial" w:hAnsi="Arial"/>
          <w:sz w:val="16"/>
          <w:szCs w:val="16"/>
          <w:color w:val="auto"/>
        </w:rPr>
        <w:t>. The Company holds and processes personal information provided by the Participant, such as name, account information, social security number, tax number and contact information, and uses the Participant’s personal data within the Company’s legitimate business purposes and as necessary for all purposes relating to the operation and performance of the Plan. These are:</w:t>
      </w:r>
    </w:p>
    <w:p>
      <w:pPr>
        <w:spacing w:after="0" w:line="39" w:lineRule="exact"/>
        <w:rPr>
          <w:sz w:val="20"/>
          <w:szCs w:val="20"/>
          <w:color w:val="auto"/>
        </w:rPr>
      </w:pPr>
    </w:p>
    <w:p>
      <w:pPr>
        <w:ind w:left="660" w:hanging="216"/>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administering and maintaining Participant records;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providing the services described in the Plan;</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Affiliate, or the business in which the Participant works;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(iv) responding to public authorities, court orders and legal investigations, as applicable.</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Company may share the Participant’s personal data with (i) Affiliates, (ii) trustees of any employee benefit trust, (iii) registrars, (iv) brokers, (v) third party administrators of the Plan or (vi) regulators and others, as required by law.</w:t>
      </w:r>
    </w:p>
    <w:p>
      <w:pPr>
        <w:spacing w:after="0" w:line="170"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If necessary, the Company may transfer the Participant’s personal data to any of the parties mentioned above in any country or territory that may not provide the same protection for the information as the Participant’s home country. Any transfer of the Participant’s personal data from the EU to a third country is subject to appropriate safeguards in the form of EU standard contractual clauses (according to decisions 2001/497/EC, 2004/915/EC, 2010/87/EU) or applicable derogations provided for under applicable law. Further information on those safeguards or derogations can be obtained through the contact listed below.</w:t>
      </w:r>
    </w:p>
    <w:p>
      <w:pPr>
        <w:spacing w:after="0" w:line="18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Company will keep personal information for as long as necessary to operate the Plan or as necessary to comply with any legal or regulatory requirements.</w:t>
      </w:r>
    </w:p>
    <w:p>
      <w:pPr>
        <w:spacing w:after="0" w:line="170"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The Participant has a right to (i) request access to and rectification or erasure of the personal data provided, (ii) request the restriction of the processing of his or her personal data, (iii) object to the processing of his or her personal data, (iv) receive the personal data provided to the Company and transmit such data to another party, and (v) to lodge a complaint with a supervisory authority.</w:t>
      </w:r>
    </w:p>
    <w:p>
      <w:pPr>
        <w:spacing w:after="0" w:line="166"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Governing Law</w:t>
      </w:r>
      <w:r>
        <w:rPr>
          <w:rFonts w:ascii="Arial" w:cs="Arial" w:eastAsia="Arial" w:hAnsi="Arial"/>
          <w:sz w:val="18"/>
          <w:szCs w:val="18"/>
          <w:color w:val="auto"/>
        </w:rPr>
        <w:t>. The Plan and each Award Document shall be governed by the laws of Delaware. The Company, its Affiliates and each Participant (by acceptance of an Award) irrevocably submit, in respect of any suit, action or proceeding related to the implementation or enforcement of the Plan, to the exclusive jurisdiction of the competent courts in Delaware.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the Plan, the following terms shall have the meanings set forth below:</w:t>
      </w:r>
    </w:p>
    <w:p>
      <w:pPr>
        <w:spacing w:after="0" w:line="113" w:lineRule="exact"/>
        <w:rPr>
          <w:sz w:val="20"/>
          <w:szCs w:val="20"/>
          <w:color w:val="auto"/>
        </w:rPr>
      </w:pPr>
    </w:p>
    <w:p>
      <w:pPr>
        <w:ind w:right="60" w:firstLine="996"/>
        <w:spacing w:after="0" w:line="266" w:lineRule="auto"/>
        <w:tabs>
          <w:tab w:leader="none" w:pos="123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any entity that, directly or indirectly, is controlled by the Company, (ii) any entity in which the Company, directly or indirectly, has a significant equity interest, in each case as determined by the Committee, (iii) any entity that, directly or indirectly, controls the Company and (iv) any other entity which the Committee determines should be treated as an “Affiliate.”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01" w:name="page302"/>
    <w:bookmarkEnd w:id="301"/>
    <w:p>
      <w:pPr>
        <w:ind w:left="-20" w:firstLine="996"/>
        <w:spacing w:after="0" w:line="282" w:lineRule="auto"/>
        <w:tabs>
          <w:tab w:leader="none" w:pos="1227"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Award</w:t>
      </w:r>
      <w:r>
        <w:rPr>
          <w:rFonts w:ascii="Arial" w:cs="Arial" w:eastAsia="Arial" w:hAnsi="Arial"/>
          <w:sz w:val="18"/>
          <w:szCs w:val="18"/>
          <w:color w:val="auto"/>
        </w:rPr>
        <w:t>” means any Option, SAR, Restricted Stock, RSU, Performance Award, Other Share-Based Award or Other Cash-Based Award granted under the Plan.</w:t>
      </w:r>
    </w:p>
    <w:p>
      <w:pPr>
        <w:spacing w:after="0" w:line="53" w:lineRule="exact"/>
        <w:rPr>
          <w:rFonts w:ascii="Arial" w:cs="Arial" w:eastAsia="Arial" w:hAnsi="Arial"/>
          <w:sz w:val="18"/>
          <w:szCs w:val="18"/>
          <w:color w:val="auto"/>
        </w:rPr>
      </w:pPr>
    </w:p>
    <w:p>
      <w:pPr>
        <w:ind w:left="-20" w:right="160" w:firstLine="996"/>
        <w:spacing w:after="0" w:line="282" w:lineRule="auto"/>
        <w:tabs>
          <w:tab w:leader="none" w:pos="121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Document</w:t>
      </w:r>
      <w:r>
        <w:rPr>
          <w:rFonts w:ascii="Arial" w:cs="Arial" w:eastAsia="Arial" w:hAnsi="Arial"/>
          <w:sz w:val="18"/>
          <w:szCs w:val="18"/>
          <w:color w:val="auto"/>
        </w:rPr>
        <w:t>” means any agreement, contract or other instrument or document, which may be in electronic format, evidencing any Award granted under the Plan, which may, but need not, be executed or acknowledged by a Participant.</w:t>
      </w:r>
    </w:p>
    <w:p>
      <w:pPr>
        <w:spacing w:after="0" w:line="53" w:lineRule="exact"/>
        <w:rPr>
          <w:rFonts w:ascii="Arial" w:cs="Arial" w:eastAsia="Arial" w:hAnsi="Arial"/>
          <w:sz w:val="18"/>
          <w:szCs w:val="18"/>
          <w:color w:val="auto"/>
        </w:rPr>
      </w:pPr>
    </w:p>
    <w:p>
      <w:pPr>
        <w:ind w:left="-20" w:right="160" w:firstLine="996"/>
        <w:spacing w:after="0" w:line="261" w:lineRule="auto"/>
        <w:tabs>
          <w:tab w:leader="none" w:pos="122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means a person entitled to receive payments or other benefits or exercise rights that are available under the Plan in the event of the Participant’s death. If no such person is named by a Participant, or if no Beneficiary designated by the Participant is eligible to receive payments or other benefits or exercise rights that are available under the Plan at the Participant’s death, such Participant’s Beneficiary shall be such Participant’s estate.</w:t>
      </w:r>
    </w:p>
    <w:p>
      <w:pPr>
        <w:spacing w:after="0" w:line="71" w:lineRule="exact"/>
        <w:rPr>
          <w:rFonts w:ascii="Arial" w:cs="Arial" w:eastAsia="Arial" w:hAnsi="Arial"/>
          <w:sz w:val="18"/>
          <w:szCs w:val="18"/>
          <w:color w:val="auto"/>
        </w:rPr>
      </w:pPr>
    </w:p>
    <w:p>
      <w:pPr>
        <w:ind w:left="1220" w:hanging="244"/>
        <w:spacing w:after="0"/>
        <w:tabs>
          <w:tab w:leader="none" w:pos="12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20" w:right="120" w:firstLine="996"/>
        <w:spacing w:after="0" w:line="274" w:lineRule="auto"/>
        <w:tabs>
          <w:tab w:leader="none" w:pos="119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with respect to any Participant, “cause” as defined in such Participant’s employment agreement with the Company, if any, or if not so defined, except as otherwise provided in such Participant’s Award Document, such Participant’s (i) dishonesty or other serious misconduct related to Participant’s performance of his or her employment duties, (ii) willful and continual failure (unless due to incapacity resulting from physical or mental illness) to perform the duties of employment after written demand for substantial performance is delivered by the Company specifically identifying the manner in which Participant has not substantially performed such duties or (iii) conviction of, plea of guilty to, or plea of nolo contendere to (x) a felony or (y) a misdemeanor involving moral turpitude, fraud or dishonesty.</w:t>
      </w:r>
    </w:p>
    <w:p>
      <w:pPr>
        <w:spacing w:after="0" w:line="65" w:lineRule="exact"/>
        <w:rPr>
          <w:rFonts w:ascii="Arial" w:cs="Arial" w:eastAsia="Arial" w:hAnsi="Arial"/>
          <w:sz w:val="17"/>
          <w:szCs w:val="17"/>
          <w:color w:val="auto"/>
        </w:rPr>
      </w:pPr>
    </w:p>
    <w:p>
      <w:pPr>
        <w:ind w:left="1240" w:hanging="264"/>
        <w:spacing w:after="0"/>
        <w:tabs>
          <w:tab w:leader="none" w:pos="12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one or more of the following events:</w:t>
      </w:r>
    </w:p>
    <w:p>
      <w:pPr>
        <w:spacing w:after="0" w:line="121" w:lineRule="exact"/>
        <w:rPr>
          <w:rFonts w:ascii="Arial" w:cs="Arial" w:eastAsia="Arial" w:hAnsi="Arial"/>
          <w:sz w:val="18"/>
          <w:szCs w:val="18"/>
          <w:color w:val="auto"/>
        </w:rPr>
      </w:pPr>
    </w:p>
    <w:p>
      <w:pPr>
        <w:ind w:left="420" w:right="320" w:firstLine="428"/>
        <w:spacing w:after="0" w:line="259" w:lineRule="auto"/>
        <w:tabs>
          <w:tab w:leader="none" w:pos="105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issued and outstanding immediately after such acquisition;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0" w:right="459" w:bottom="1440" w:gutter="0" w:footer="0" w:header="0"/>
        </w:sectPr>
      </w:pPr>
    </w:p>
    <w:bookmarkStart w:id="302" w:name="page303"/>
    <w:bookmarkEnd w:id="302"/>
    <w:p>
      <w:pPr>
        <w:ind w:left="440" w:firstLine="428"/>
        <w:spacing w:after="0" w:line="272" w:lineRule="auto"/>
        <w:tabs>
          <w:tab w:leader="none" w:pos="1128"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any time during a period of 24 consecutive months, individuals who at the beginning of such period constituted the Board cease for any reason to constitute a majority of members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new member of the Board whose election or nomination for election was approved by a vote of at least a majority of the directors then still in office who either were directors at the beginning of such period or whose election or nomination for election was so approved, shall be considered as though such individual were a member of the Board at the beginning of the period,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69" w:lineRule="exact"/>
        <w:rPr>
          <w:rFonts w:ascii="Arial" w:cs="Arial" w:eastAsia="Arial" w:hAnsi="Arial"/>
          <w:sz w:val="17"/>
          <w:szCs w:val="17"/>
          <w:color w:val="auto"/>
        </w:rPr>
      </w:pPr>
    </w:p>
    <w:p>
      <w:pPr>
        <w:ind w:left="440" w:firstLine="428"/>
        <w:spacing w:after="0" w:line="255" w:lineRule="auto"/>
        <w:tabs>
          <w:tab w:leader="none" w:pos="117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consummation of a merger, amalgamation or consolidation of the Company or any of its Subsidiaries with any other corporation or entity, other than a merger, amalgamation or consolidation which would result in the voting securities of the Company issued and outstanding immediately prior to such merger, amalgamation or consolidation continuing to represent (either by remaining issued and outstanding or being converted into voting securities of the surviving entity or, if applicable, the ultimate parent thereof) at least 50% of the combined voting power and total Fair Market Value of the securities of the Company or such surviving entity or parent issued and outstanding immediately after such merger, amalgamation or consolidation; or</w:t>
      </w:r>
    </w:p>
    <w:p>
      <w:pPr>
        <w:spacing w:after="0" w:line="85" w:lineRule="exact"/>
        <w:rPr>
          <w:rFonts w:ascii="Arial" w:cs="Arial" w:eastAsia="Arial" w:hAnsi="Arial"/>
          <w:sz w:val="18"/>
          <w:szCs w:val="18"/>
          <w:color w:val="auto"/>
        </w:rPr>
      </w:pPr>
    </w:p>
    <w:p>
      <w:pPr>
        <w:ind w:left="1180" w:hanging="312"/>
        <w:spacing w:after="0"/>
        <w:tabs>
          <w:tab w:leader="none" w:pos="11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consummation of any sale, lease, exchange or other transfer to any Person (other than an Affiliate of the Company), in one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6"/>
          <w:szCs w:val="16"/>
          <w:color w:val="auto"/>
        </w:rPr>
        <w:t>transaction or a series of related transactions within a 12-month period, of all or substantially all of the assets of the Company and its Subsidiaries.</w:t>
      </w:r>
    </w:p>
    <w:p>
      <w:pPr>
        <w:spacing w:after="0" w:line="2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Notwithstanding the foregoing or any provision of any Award Document to the contrary, for any Award to which Section 19 applies that provides for accelerated distribution on a Change in Control of amounts that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scheduled payment date specified in the applicable Award Document, except to the extent that earlier distribution would not result in the Participant who holds such Award incurring any additional tax, penalty, interest or other expense under Section 409A and 457A of the Code.</w:t>
      </w:r>
    </w:p>
    <w:p>
      <w:pPr>
        <w:spacing w:after="0" w:line="55" w:lineRule="exact"/>
        <w:rPr>
          <w:sz w:val="20"/>
          <w:szCs w:val="20"/>
          <w:color w:val="auto"/>
        </w:rPr>
      </w:pPr>
    </w:p>
    <w:p>
      <w:pPr>
        <w:ind w:right="140" w:firstLine="996"/>
        <w:spacing w:after="0" w:line="282" w:lineRule="auto"/>
        <w:tabs>
          <w:tab w:leader="none" w:pos="12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 and the rules, regulations and guidance thereunder. Any reference to a provision in the Code shall include any successor provision 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03" w:name="page304"/>
    <w:bookmarkEnd w:id="303"/>
    <w:p>
      <w:pPr>
        <w:ind w:left="-20" w:right="120" w:firstLine="996"/>
        <w:spacing w:after="0" w:line="266" w:lineRule="auto"/>
        <w:tabs>
          <w:tab w:leader="none" w:pos="11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 or such other committee as may be designated by the Board. If the Board does not designate the Committee, or, at the Board’s discretion with respect to any action, references herein to the “Committee” shall refer to the Board.</w:t>
      </w:r>
    </w:p>
    <w:p>
      <w:pPr>
        <w:spacing w:after="0" w:line="68" w:lineRule="exact"/>
        <w:rPr>
          <w:rFonts w:ascii="Arial" w:cs="Arial" w:eastAsia="Arial" w:hAnsi="Arial"/>
          <w:sz w:val="18"/>
          <w:szCs w:val="18"/>
          <w:color w:val="auto"/>
        </w:rPr>
      </w:pPr>
    </w:p>
    <w:p>
      <w:pPr>
        <w:ind w:left="-20" w:right="60" w:firstLine="996"/>
        <w:spacing w:after="0" w:line="282" w:lineRule="auto"/>
        <w:tabs>
          <w:tab w:leader="none" w:pos="11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individual, including an advisor, who is providing services to the Company or any of its Affiliates or who has accepted an offer of service or consultancy from the Company or any of its Affiliates.</w:t>
      </w:r>
    </w:p>
    <w:p>
      <w:pPr>
        <w:spacing w:after="0" w:line="53" w:lineRule="exact"/>
        <w:rPr>
          <w:rFonts w:ascii="Arial" w:cs="Arial" w:eastAsia="Arial" w:hAnsi="Arial"/>
          <w:sz w:val="18"/>
          <w:szCs w:val="18"/>
          <w:color w:val="auto"/>
        </w:rPr>
      </w:pPr>
    </w:p>
    <w:p>
      <w:pPr>
        <w:ind w:left="1240" w:hanging="264"/>
        <w:spacing w:after="0"/>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20" w:firstLine="996"/>
        <w:spacing w:after="0" w:line="274" w:lineRule="auto"/>
        <w:tabs>
          <w:tab w:leader="none" w:pos="118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xml:space="preserve">” shall mean, unless otherwise provided in an Award Document, that the Participant is (i) unable to engage in any substantial gainful activity by reason of any medically determinable physical or mental impairment that can be expected to result in death or can be expected to last for a continuous period of not less than twelve (12) months or (ii)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if applicable to the Award, “Disability” shall be determined in a manner consistent with Section 409A of the Code.</w:t>
      </w:r>
    </w:p>
    <w:p>
      <w:pPr>
        <w:spacing w:after="0" w:line="65" w:lineRule="exact"/>
        <w:rPr>
          <w:rFonts w:ascii="Arial" w:cs="Arial" w:eastAsia="Arial" w:hAnsi="Arial"/>
          <w:sz w:val="17"/>
          <w:szCs w:val="17"/>
          <w:color w:val="auto"/>
        </w:rPr>
      </w:pPr>
    </w:p>
    <w:p>
      <w:pPr>
        <w:ind w:left="-20" w:right="380" w:firstLine="996"/>
        <w:spacing w:after="0" w:line="314" w:lineRule="auto"/>
        <w:tabs>
          <w:tab w:leader="none" w:pos="12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individual, including any officer, employed by the Company or any of its Affiliates or any prospective employee or officer who has accepted an offer of employment from the Company or any of its Affiliates, with the status of employment determined based upon such factors as are deemed appropriate by the Committee in its discretion, subject to any requirements of the Code or applicable laws.</w:t>
      </w:r>
    </w:p>
    <w:p>
      <w:pPr>
        <w:spacing w:after="0" w:line="34" w:lineRule="exact"/>
        <w:rPr>
          <w:rFonts w:ascii="Arial" w:cs="Arial" w:eastAsia="Arial" w:hAnsi="Arial"/>
          <w:sz w:val="16"/>
          <w:szCs w:val="16"/>
          <w:color w:val="auto"/>
        </w:rPr>
      </w:pPr>
    </w:p>
    <w:p>
      <w:pPr>
        <w:ind w:left="-20" w:right="220" w:firstLine="996"/>
        <w:spacing w:after="0" w:line="282" w:lineRule="auto"/>
        <w:tabs>
          <w:tab w:leader="none" w:pos="122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and the rules, regulations and guidance thereunder. Any reference to a provision in the Exchange Act shall include any successor provision thereto.</w:t>
      </w:r>
    </w:p>
    <w:p>
      <w:pPr>
        <w:spacing w:after="0" w:line="53" w:lineRule="exact"/>
        <w:rPr>
          <w:rFonts w:ascii="Arial" w:cs="Arial" w:eastAsia="Arial" w:hAnsi="Arial"/>
          <w:sz w:val="18"/>
          <w:szCs w:val="18"/>
          <w:color w:val="auto"/>
        </w:rPr>
      </w:pPr>
    </w:p>
    <w:p>
      <w:pPr>
        <w:ind w:left="-20" w:right="40" w:firstLine="996"/>
        <w:spacing w:after="0" w:line="256" w:lineRule="auto"/>
        <w:tabs>
          <w:tab w:leader="none" w:pos="122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(i) with respect to a Share, the closing price of a Share on the date in question (or, if there is no reported sale on such date, on the last preceding date on which any reported sale occurred) on the principal stock market or exchange on which the Shares are quoted or traded, or if Shares are not so quoted or traded, the fair market value of a Share as determined by the Committee, and (ii) with respect to any property other than Shares, the fair market value of such property determined by such methods or procedures as shall be established from time to time by the Committee. In the case of grants made in connection with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Fair Market Value means the per share price initially offered for sale to the public in connection with the IPO.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60" w:top="270" w:right="439" w:bottom="1440" w:gutter="0" w:footer="0" w:header="0"/>
        </w:sectPr>
      </w:pPr>
    </w:p>
    <w:bookmarkStart w:id="304" w:name="page305"/>
    <w:bookmarkEnd w:id="304"/>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 “</w:t>
      </w:r>
      <w:r>
        <w:rPr>
          <w:rFonts w:ascii="Arial" w:cs="Arial" w:eastAsia="Arial" w:hAnsi="Arial"/>
          <w:sz w:val="16"/>
          <w:szCs w:val="16"/>
          <w:b w:val="1"/>
          <w:bCs w:val="1"/>
          <w:color w:val="auto"/>
        </w:rPr>
        <w:t>Option</w:t>
      </w:r>
      <w:r>
        <w:rPr>
          <w:rFonts w:ascii="Arial" w:cs="Arial" w:eastAsia="Arial" w:hAnsi="Arial"/>
          <w:sz w:val="16"/>
          <w:szCs w:val="16"/>
          <w:color w:val="auto"/>
        </w:rPr>
        <w:t>” means an option representing the right to acquire Shares from the Company, granted in accordance with the provisions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7.</w:t>
      </w:r>
    </w:p>
    <w:p>
      <w:pPr>
        <w:spacing w:after="0" w:line="99" w:lineRule="exact"/>
        <w:rPr>
          <w:sz w:val="20"/>
          <w:szCs w:val="20"/>
          <w:color w:val="auto"/>
        </w:rPr>
      </w:pPr>
    </w:p>
    <w:p>
      <w:pPr>
        <w:ind w:left="1260" w:hanging="264"/>
        <w:spacing w:after="0"/>
        <w:tabs>
          <w:tab w:leader="none" w:pos="12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granted in accordance with the provisions of Section 11.</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Share-Based Award</w:t>
      </w:r>
      <w:r>
        <w:rPr>
          <w:rFonts w:ascii="Arial" w:cs="Arial" w:eastAsia="Arial" w:hAnsi="Arial"/>
          <w:sz w:val="18"/>
          <w:szCs w:val="18"/>
          <w:color w:val="auto"/>
        </w:rPr>
        <w:t>” means an Award granted in accordance with the provisions of Section 10.</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the recipient of an Award granted under the Plan.</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granted in accordance with the provisions of Section 9.</w:t>
      </w:r>
    </w:p>
    <w:p>
      <w:pPr>
        <w:spacing w:after="0" w:line="117" w:lineRule="exact"/>
        <w:rPr>
          <w:rFonts w:ascii="Arial" w:cs="Arial" w:eastAsia="Arial" w:hAnsi="Arial"/>
          <w:sz w:val="18"/>
          <w:szCs w:val="18"/>
          <w:color w:val="auto"/>
        </w:rPr>
      </w:pPr>
    </w:p>
    <w:p>
      <w:pPr>
        <w:ind w:right="200" w:firstLine="996"/>
        <w:spacing w:after="0" w:line="282" w:lineRule="auto"/>
        <w:tabs>
          <w:tab w:leader="none" w:pos="12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established by the Committee at the time any Performance Award is granted or at any time thereafter during which any performance goals specified by the Committee with respect to such Award are measured.</w:t>
      </w:r>
    </w:p>
    <w:p>
      <w:pPr>
        <w:spacing w:after="0" w:line="53" w:lineRule="exact"/>
        <w:rPr>
          <w:rFonts w:ascii="Arial" w:cs="Arial" w:eastAsia="Arial" w:hAnsi="Arial"/>
          <w:sz w:val="18"/>
          <w:szCs w:val="18"/>
          <w:color w:val="auto"/>
        </w:rPr>
      </w:pPr>
    </w:p>
    <w:p>
      <w:pPr>
        <w:ind w:right="140" w:firstLine="996"/>
        <w:spacing w:after="0" w:line="282" w:lineRule="auto"/>
        <w:tabs>
          <w:tab w:leader="none" w:pos="12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has the meaning ascribed to such term in Section 3(a)(9) of the Exchange Act and used in Sections 13(d) and 14(d) thereof, including a “group” as defined in Section 13(d) thereof.</w:t>
      </w:r>
    </w:p>
    <w:p>
      <w:pPr>
        <w:spacing w:after="0" w:line="53" w:lineRule="exact"/>
        <w:rPr>
          <w:rFonts w:ascii="Arial" w:cs="Arial" w:eastAsia="Arial" w:hAnsi="Arial"/>
          <w:sz w:val="18"/>
          <w:szCs w:val="18"/>
          <w:color w:val="auto"/>
        </w:rPr>
      </w:pPr>
    </w:p>
    <w:p>
      <w:pPr>
        <w:ind w:firstLine="996"/>
        <w:spacing w:after="0" w:line="266" w:lineRule="auto"/>
        <w:tabs>
          <w:tab w:leader="none" w:pos="12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Award</w:t>
      </w:r>
      <w:r>
        <w:rPr>
          <w:rFonts w:ascii="Arial" w:cs="Arial" w:eastAsia="Arial" w:hAnsi="Arial"/>
          <w:sz w:val="18"/>
          <w:szCs w:val="18"/>
          <w:color w:val="auto"/>
        </w:rPr>
        <w:t>” means an Award granted in assumption of, or in substitution for, an outstanding award previously granted by a company or business acquired by the Company or with which the Company, directly or indirectly, combines (whether by way of amalgamation, merger, sale and purchase of shares or other securities or otherwise).</w:t>
      </w:r>
    </w:p>
    <w:p>
      <w:pPr>
        <w:spacing w:after="0" w:line="68" w:lineRule="exact"/>
        <w:rPr>
          <w:rFonts w:ascii="Arial" w:cs="Arial" w:eastAsia="Arial" w:hAnsi="Arial"/>
          <w:sz w:val="18"/>
          <w:szCs w:val="18"/>
          <w:color w:val="auto"/>
        </w:rPr>
      </w:pPr>
    </w:p>
    <w:p>
      <w:pPr>
        <w:ind w:left="1260" w:hanging="264"/>
        <w:spacing w:after="0"/>
        <w:tabs>
          <w:tab w:leader="none" w:pos="12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any Share subject to certain restrictions and forfeiture conditions, granted in accordance with the provisions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Section 5.</w:t>
      </w:r>
    </w:p>
    <w:p>
      <w:pPr>
        <w:spacing w:after="0" w:line="98" w:lineRule="exact"/>
        <w:rPr>
          <w:rFonts w:ascii="Arial" w:cs="Arial" w:eastAsia="Arial" w:hAnsi="Arial"/>
          <w:sz w:val="16"/>
          <w:szCs w:val="16"/>
          <w:color w:val="auto"/>
        </w:rPr>
      </w:pPr>
    </w:p>
    <w:p>
      <w:pPr>
        <w:ind w:right="220" w:firstLine="996"/>
        <w:spacing w:after="0" w:line="261" w:lineRule="auto"/>
        <w:tabs>
          <w:tab w:leader="none" w:pos="12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71" w:lineRule="exact"/>
        <w:rPr>
          <w:rFonts w:ascii="Arial" w:cs="Arial" w:eastAsia="Arial" w:hAnsi="Arial"/>
          <w:sz w:val="18"/>
          <w:szCs w:val="18"/>
          <w:color w:val="auto"/>
        </w:rPr>
      </w:pPr>
    </w:p>
    <w:p>
      <w:pPr>
        <w:ind w:right="400" w:firstLine="996"/>
        <w:spacing w:after="0" w:line="313" w:lineRule="auto"/>
        <w:tabs>
          <w:tab w:leader="none" w:pos="123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RSU</w:t>
      </w:r>
      <w:r>
        <w:rPr>
          <w:rFonts w:ascii="Arial" w:cs="Arial" w:eastAsia="Arial" w:hAnsi="Arial"/>
          <w:sz w:val="17"/>
          <w:szCs w:val="17"/>
          <w:color w:val="auto"/>
        </w:rPr>
        <w:t>” means a contractual right granted in accordance with the provisions of Section 6 that is denominated in Shares. Each RSU represents a right to receive the value of one Share. Awards of RSUs may include the right to receive dividend equivalents.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69" w:right="459" w:bottom="1440" w:gutter="0" w:footer="0" w:header="0"/>
        </w:sectPr>
      </w:pPr>
    </w:p>
    <w:bookmarkStart w:id="305" w:name="page306"/>
    <w:bookmarkEnd w:id="305"/>
    <w:p>
      <w:pPr>
        <w:jc w:val="both"/>
        <w:ind w:firstLine="996"/>
        <w:spacing w:after="0" w:line="266" w:lineRule="auto"/>
        <w:tabs>
          <w:tab w:leader="none" w:pos="1317"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SAR</w:t>
      </w:r>
      <w:r>
        <w:rPr>
          <w:rFonts w:ascii="Arial" w:cs="Arial" w:eastAsia="Arial" w:hAnsi="Arial"/>
          <w:sz w:val="18"/>
          <w:szCs w:val="18"/>
          <w:color w:val="auto"/>
        </w:rPr>
        <w:t>” means any right granted in accordance with the provisions of Section 8 to receive upon exercise by a Participant or settlement the excess of (i) the Fair Market Value of one Share on the date of exercise or settlement over (ii) the exercise price of the right on the date of grant, or if granted in connection with an Option, on the date of grant of the Option.</w:t>
      </w:r>
    </w:p>
    <w:p>
      <w:pPr>
        <w:spacing w:after="0" w:line="68" w:lineRule="exact"/>
        <w:rPr>
          <w:rFonts w:ascii="Arial" w:cs="Arial" w:eastAsia="Arial" w:hAnsi="Arial"/>
          <w:sz w:val="18"/>
          <w:szCs w:val="18"/>
          <w:color w:val="auto"/>
        </w:rPr>
      </w:pPr>
    </w:p>
    <w:p>
      <w:pPr>
        <w:ind w:left="1340" w:hanging="344"/>
        <w:spacing w:after="0"/>
        <w:tabs>
          <w:tab w:leader="none" w:pos="1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w:t>
      </w:r>
    </w:p>
    <w:p>
      <w:pPr>
        <w:spacing w:after="0" w:line="117" w:lineRule="exact"/>
        <w:rPr>
          <w:rFonts w:ascii="Arial" w:cs="Arial" w:eastAsia="Arial" w:hAnsi="Arial"/>
          <w:sz w:val="18"/>
          <w:szCs w:val="18"/>
          <w:color w:val="auto"/>
        </w:rPr>
      </w:pPr>
    </w:p>
    <w:p>
      <w:pPr>
        <w:ind w:right="20" w:firstLine="996"/>
        <w:spacing w:after="0" w:line="282" w:lineRule="auto"/>
        <w:tabs>
          <w:tab w:leader="none" w:pos="131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 and the rules, regulations and guidance thereunder. Any reference to a provision in the Securities Act shall include any successor provision thereto.</w:t>
      </w:r>
    </w:p>
    <w:p>
      <w:pPr>
        <w:spacing w:after="0" w:line="53" w:lineRule="exact"/>
        <w:rPr>
          <w:rFonts w:ascii="Arial" w:cs="Arial" w:eastAsia="Arial" w:hAnsi="Arial"/>
          <w:sz w:val="18"/>
          <w:szCs w:val="18"/>
          <w:color w:val="auto"/>
        </w:rPr>
      </w:pPr>
    </w:p>
    <w:p>
      <w:pPr>
        <w:ind w:left="1340" w:hanging="344"/>
        <w:spacing w:after="0"/>
        <w:tabs>
          <w:tab w:leader="none" w:pos="1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common shares of the Company.</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Service</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left="1440" w:right="220" w:hanging="4"/>
        <w:spacing w:after="0" w:line="277" w:lineRule="auto"/>
        <w:tabs>
          <w:tab w:leader="none" w:pos="165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 the case of a Participant who is an Employee of the Company or an Affiliate, cessation of the employment relationship such that the Participant is no longer an Employee of the Company or an Affiliate;</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in the case of a Participant who is a Director, the date that the Participant ceases to be a member of the Board for any reason; or</w:t>
      </w:r>
    </w:p>
    <w:p>
      <w:pPr>
        <w:spacing w:after="0" w:line="140" w:lineRule="exact"/>
        <w:rPr>
          <w:rFonts w:ascii="Arial" w:cs="Arial" w:eastAsia="Arial" w:hAnsi="Arial"/>
          <w:sz w:val="16"/>
          <w:szCs w:val="16"/>
          <w:color w:val="auto"/>
        </w:rPr>
      </w:pPr>
    </w:p>
    <w:p>
      <w:pPr>
        <w:ind w:left="1440" w:right="580" w:hanging="4"/>
        <w:spacing w:after="0" w:line="277" w:lineRule="auto"/>
        <w:tabs>
          <w:tab w:leader="none" w:pos="175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 the case of a Participant who is a Consultant or other advisor, the effective date of the cessation of the performance of services for the Company or any of its Affiliates;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an Employee, the transfer of employment from the Company to an Affiliate, from an Affiliate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one Affiliate to another Affiliate or, unless the Committee determines otherwise, the cessation of Employee status but the continuation of the performance of services for the Company or an Affiliate as a member of the Board or a Consultant or other advisor shall not be deemed a cessation of service that would constitute a Termination of Service;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Termination of Service will be deemed to occur for a Participant employed by an Affiliate when an Affiliate ceases to be an Affiliate, unless such Participant’s employment continues with the Company or another Affiliate.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69" w:right="47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29"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[DATE]</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Reynolds Consumer Products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granted the Participant, effective as of the Grant Date (as set forth below), a Restricted Stock Unit Award (the “</w:t>
      </w:r>
      <w:r>
        <w:rPr>
          <w:rFonts w:ascii="Arial" w:cs="Arial" w:eastAsia="Arial" w:hAnsi="Arial"/>
          <w:sz w:val="18"/>
          <w:szCs w:val="18"/>
          <w:b w:val="1"/>
          <w:bCs w:val="1"/>
          <w:color w:val="auto"/>
        </w:rPr>
        <w:t>Award</w:t>
      </w:r>
      <w:r>
        <w:rPr>
          <w:rFonts w:ascii="Arial" w:cs="Arial" w:eastAsia="Arial" w:hAnsi="Arial"/>
          <w:sz w:val="18"/>
          <w:szCs w:val="18"/>
          <w:color w:val="auto"/>
        </w:rPr>
        <w:t>”) under the Reynolds Consumer Products Inc. 2019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The Award is subject to the terms and conditions set forth in this award grant letter (this “</w:t>
      </w:r>
      <w:r>
        <w:rPr>
          <w:rFonts w:ascii="Arial" w:cs="Arial" w:eastAsia="Arial" w:hAnsi="Arial"/>
          <w:sz w:val="18"/>
          <w:szCs w:val="18"/>
          <w:b w:val="1"/>
          <w:bCs w:val="1"/>
          <w:color w:val="auto"/>
        </w:rPr>
        <w:t>Grant Letter</w:t>
      </w:r>
      <w:r>
        <w:rPr>
          <w:rFonts w:ascii="Arial" w:cs="Arial" w:eastAsia="Arial" w:hAnsi="Arial"/>
          <w:sz w:val="18"/>
          <w:szCs w:val="18"/>
          <w:color w:val="auto"/>
        </w:rPr>
        <w:t xml:space="preserve">”), the Restricted Stock Unit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all exhibits and appendices thereto) (the “</w:t>
      </w:r>
      <w:r>
        <w:rPr>
          <w:rFonts w:ascii="Arial" w:cs="Arial" w:eastAsia="Arial" w:hAnsi="Arial"/>
          <w:sz w:val="18"/>
          <w:szCs w:val="18"/>
          <w:b w:val="1"/>
          <w:bCs w:val="1"/>
          <w:color w:val="auto"/>
        </w:rPr>
        <w:t>Award Agreement</w:t>
      </w:r>
      <w:r>
        <w:rPr>
          <w:rFonts w:ascii="Arial" w:cs="Arial" w:eastAsia="Arial" w:hAnsi="Arial"/>
          <w:sz w:val="18"/>
          <w:szCs w:val="18"/>
          <w:color w:val="auto"/>
        </w:rPr>
        <w:t>” and, together with this Grant Letter,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TERMS</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ectPr>
          <w:pgSz w:w="11900" w:h="16838" w:orient="portrait"/>
          <w:cols w:equalWidth="0" w:num="2">
            <w:col w:w="2460" w:space="300"/>
            <w:col w:w="826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b w:val="1"/>
          <w:bCs w:val="1"/>
          <w:color w:val="auto"/>
        </w:rPr>
        <w:t>Grant Date</w:t>
      </w:r>
      <w:r>
        <w:rPr>
          <w:rFonts w:ascii="Arial" w:cs="Arial" w:eastAsia="Arial" w:hAnsi="Arial"/>
          <w:sz w:val="17"/>
          <w:szCs w:val="17"/>
          <w:color w:val="auto"/>
        </w:rPr>
        <w:t>”)</w:t>
      </w:r>
    </w:p>
    <w:p>
      <w:pPr>
        <w:spacing w:after="0" w:line="129"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Subject to the terms and conditions of the Award Agreement, the Restricted Stock Units shall vest ratably on each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first three anniversaries of the Grant Date (each, a “</w:t>
      </w:r>
      <w:r>
        <w:rPr>
          <w:rFonts w:ascii="Arial" w:cs="Arial" w:eastAsia="Arial" w:hAnsi="Arial"/>
          <w:sz w:val="17"/>
          <w:szCs w:val="17"/>
          <w:b w:val="1"/>
          <w:bCs w:val="1"/>
          <w:color w:val="auto"/>
        </w:rPr>
        <w:t>Vesting Date</w:t>
      </w:r>
      <w:r>
        <w:rPr>
          <w:rFonts w:ascii="Arial" w:cs="Arial" w:eastAsia="Arial" w:hAnsi="Arial"/>
          <w:sz w:val="17"/>
          <w:szCs w:val="17"/>
          <w:color w:val="auto"/>
        </w:rPr>
        <w:t>”, and each such one-year period,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Vesting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Participant does not experience a Termination of Service at any time prior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Vesting Date.</w:t>
      </w:r>
    </w:p>
    <w:p>
      <w:pPr>
        <w:spacing w:after="0" w:line="200"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spacing w:after="0" w:line="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you have questions please contact [●], the Company’s [●] via email at [●]. Otherwise, please provide your signature, address and the date for this Agreement where indicated below.</w:t>
      </w:r>
    </w:p>
    <w:p>
      <w:pPr>
        <w:sectPr>
          <w:pgSz w:w="11900" w:h="16838" w:orient="portrait"/>
          <w:cols w:equalWidth="0" w:num="1">
            <w:col w:w="11020"/>
          </w:cols>
          <w:pgMar w:left="440" w:top="121" w:right="439"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This Restricted Stock Unit Award Agreement (together with all exhibits and appendices hereto, this “</w:t>
      </w:r>
      <w:r>
        <w:rPr>
          <w:rFonts w:ascii="Arial" w:cs="Arial" w:eastAsia="Arial" w:hAnsi="Arial"/>
          <w:sz w:val="18"/>
          <w:szCs w:val="18"/>
          <w:b w:val="1"/>
          <w:bCs w:val="1"/>
          <w:color w:val="auto"/>
        </w:rPr>
        <w:t>Award Agreement</w:t>
      </w:r>
      <w:r>
        <w:rPr>
          <w:rFonts w:ascii="Arial" w:cs="Arial" w:eastAsia="Arial" w:hAnsi="Arial"/>
          <w:sz w:val="18"/>
          <w:szCs w:val="18"/>
          <w:color w:val="auto"/>
        </w:rPr>
        <w:t>”), dated as of the date of the Grant Letter, is by and between the Company, and the individual listed in the Grant Letter as the Participant.</w:t>
      </w:r>
    </w:p>
    <w:p>
      <w:pPr>
        <w:spacing w:after="0" w:line="16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the Company hereby grants the Award to the Participant under the Plan, and the Participant hereby accepts the Award, in each case, subject to the terms and conditions of the Plan and this Agreement; and</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NOW, THEREFORE, in consideration of the promises and mutual covenants contained herein, and for other good and valuable consideration, the parties hereto agree as follows.</w:t>
      </w:r>
    </w:p>
    <w:p>
      <w:pPr>
        <w:spacing w:after="0" w:line="58" w:lineRule="exact"/>
        <w:rPr>
          <w:sz w:val="20"/>
          <w:szCs w:val="20"/>
          <w:color w:val="auto"/>
        </w:rPr>
      </w:pPr>
    </w:p>
    <w:p>
      <w:pPr>
        <w:ind w:firstLine="444"/>
        <w:spacing w:after="0" w:line="266" w:lineRule="auto"/>
        <w:tabs>
          <w:tab w:leader="none" w:pos="621"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Grant of Award</w:t>
      </w:r>
      <w:r>
        <w:rPr>
          <w:rFonts w:ascii="Arial" w:cs="Arial" w:eastAsia="Arial" w:hAnsi="Arial"/>
          <w:sz w:val="18"/>
          <w:szCs w:val="18"/>
          <w:color w:val="auto"/>
        </w:rPr>
        <w:t>. The Company hereby grants to the Participant on the Grant Date the aggregate number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Grant Letter, subject to the terms and conditions of the Plan and this Agreement. This Award is granted under the Plan, the provisions of which are incorporated herein by reference and made a part of this Agreement.</w:t>
      </w:r>
    </w:p>
    <w:p>
      <w:pPr>
        <w:spacing w:after="0" w:line="72" w:lineRule="exact"/>
        <w:rPr>
          <w:rFonts w:ascii="Arial" w:cs="Arial" w:eastAsia="Arial" w:hAnsi="Arial"/>
          <w:sz w:val="18"/>
          <w:szCs w:val="18"/>
          <w:color w:val="auto"/>
        </w:rPr>
      </w:pPr>
    </w:p>
    <w:p>
      <w:pPr>
        <w:ind w:right="40" w:firstLine="444"/>
        <w:spacing w:after="0" w:line="277" w:lineRule="auto"/>
        <w:tabs>
          <w:tab w:leader="none" w:pos="621"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Issuance of RSUs</w:t>
      </w:r>
      <w:r>
        <w:rPr>
          <w:rFonts w:ascii="Arial" w:cs="Arial" w:eastAsia="Arial" w:hAnsi="Arial"/>
          <w:sz w:val="18"/>
          <w:szCs w:val="18"/>
          <w:color w:val="auto"/>
        </w:rPr>
        <w:t>. Each RSU shall represent the right to receive one Share upon the vesting of such RSU, as determined in accordance with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this Agreement and the Plan.</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05"/>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It is understood and agreed that the Award evidenced hereby is subject to the following terms and conditions:</w:t>
      </w:r>
    </w:p>
    <w:p>
      <w:pPr>
        <w:spacing w:after="0" w:line="128" w:lineRule="exact"/>
        <w:rPr>
          <w:rFonts w:ascii="Arial" w:cs="Arial" w:eastAsia="Arial" w:hAnsi="Arial"/>
          <w:sz w:val="17"/>
          <w:szCs w:val="17"/>
          <w:color w:val="auto"/>
        </w:rPr>
      </w:pPr>
    </w:p>
    <w:p>
      <w:pPr>
        <w:ind w:left="440" w:right="400" w:firstLine="428"/>
        <w:spacing w:after="0" w:line="277" w:lineRule="auto"/>
        <w:tabs>
          <w:tab w:leader="none" w:pos="1108" w:val="left"/>
        </w:tabs>
        <w:numPr>
          <w:ilvl w:val="1"/>
          <w:numId w:val="205"/>
        </w:numPr>
        <w:rPr>
          <w:rFonts w:ascii="Arial" w:cs="Arial" w:eastAsia="Arial" w:hAnsi="Arial"/>
          <w:sz w:val="18"/>
          <w:szCs w:val="18"/>
          <w:color w:val="auto"/>
        </w:rPr>
      </w:pPr>
      <w:r>
        <w:rPr>
          <w:rFonts w:ascii="Arial" w:cs="Arial" w:eastAsia="Arial" w:hAnsi="Arial"/>
          <w:sz w:val="18"/>
          <w:szCs w:val="18"/>
          <w:i w:val="1"/>
          <w:iCs w:val="1"/>
          <w:color w:val="auto"/>
        </w:rPr>
        <w:t>Vesting of Award</w:t>
      </w:r>
      <w:r>
        <w:rPr>
          <w:rFonts w:ascii="Arial" w:cs="Arial" w:eastAsia="Arial" w:hAnsi="Arial"/>
          <w:sz w:val="18"/>
          <w:szCs w:val="18"/>
          <w:color w:val="auto"/>
        </w:rPr>
        <w:t>. Subject to Sections 4, 5, 6 and 11, the Award shall vest and become non-forfeitable in accordance with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set forth in the Grant Letter.</w:t>
      </w:r>
    </w:p>
    <w:p>
      <w:pPr>
        <w:spacing w:after="0" w:line="62" w:lineRule="exact"/>
        <w:rPr>
          <w:rFonts w:ascii="Arial" w:cs="Arial" w:eastAsia="Arial" w:hAnsi="Arial"/>
          <w:sz w:val="18"/>
          <w:szCs w:val="18"/>
          <w:color w:val="auto"/>
        </w:rPr>
      </w:pPr>
    </w:p>
    <w:p>
      <w:pPr>
        <w:ind w:left="440" w:right="160" w:firstLine="428"/>
        <w:spacing w:after="0" w:line="264" w:lineRule="auto"/>
        <w:tabs>
          <w:tab w:leader="none" w:pos="1118" w:val="left"/>
        </w:tabs>
        <w:numPr>
          <w:ilvl w:val="1"/>
          <w:numId w:val="205"/>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Participant shall have no voting rights or any other rights as a shareholder of the Company with respect to the RSUs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the Participant becomes the record owner of the Shares, including Dividend Shares (as defined below) to the extent applicable, underlying such RSUs.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08" w:name="page309"/>
    <w:bookmarkEnd w:id="308"/>
    <w:p>
      <w:pPr>
        <w:ind w:right="40" w:firstLine="428"/>
        <w:spacing w:after="0" w:line="291" w:lineRule="auto"/>
        <w:tabs>
          <w:tab w:leader="none" w:pos="668"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 Shares</w:t>
      </w:r>
      <w:r>
        <w:rPr>
          <w:rFonts w:ascii="Arial" w:cs="Arial" w:eastAsia="Arial" w:hAnsi="Arial"/>
          <w:sz w:val="16"/>
          <w:szCs w:val="16"/>
          <w:color w:val="auto"/>
        </w:rPr>
        <w:t>. If a dividend is paid on Shares during the period commencing on the Grant Date and ending on the date 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underlying the RSUs are distributed to the Participant pursuant to Section 3(d), the Participant shall be eligible to receive an amount equal to the dividend that the Participant would have received had the Shares underlying the RSUs been distributed to the Participant immediately prior to the record date with respect to such dividend payment, with such amount reinvested in Shares;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amount shall be payable with respect to any RSUs that are forfeited. Such amount shall be paid to the Participant on the date on which the Shares underlying the RSUs are distributed to the Participant in the same form (cash, Shares or other property) in which such dividend is paid to holders of Shares generally. Any Shares that the Participant is eligible to receive pursuant to this Section 3(c) are referred to herein as “</w:t>
      </w:r>
      <w:r>
        <w:rPr>
          <w:rFonts w:ascii="Arial" w:cs="Arial" w:eastAsia="Arial" w:hAnsi="Arial"/>
          <w:sz w:val="16"/>
          <w:szCs w:val="16"/>
          <w:b w:val="1"/>
          <w:bCs w:val="1"/>
          <w:color w:val="auto"/>
        </w:rPr>
        <w:t>Dividend Shares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20" w:firstLine="428"/>
        <w:spacing w:after="0" w:line="291" w:lineRule="auto"/>
        <w:tabs>
          <w:tab w:leader="none" w:pos="678"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Distribution on Vesting</w:t>
      </w:r>
      <w:r>
        <w:rPr>
          <w:rFonts w:ascii="Arial" w:cs="Arial" w:eastAsia="Arial" w:hAnsi="Arial"/>
          <w:sz w:val="16"/>
          <w:szCs w:val="16"/>
          <w:color w:val="auto"/>
        </w:rPr>
        <w:t>. Subject to the provisions of this Agreement, upon the vesting of any of the RSUs, the Company shall deliver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Participant, as soon as reasonably practicable after the applicable Vesting Date (or the date of the Participant’s Termination of Service, as applicable), one Share for each such RSU and the number of Dividend Shares (as determined in accordance with Section 3(c));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delivery of Shares shall be made no later than March 15 of the calendar year immediately following the year in which the applicable Vesting Date (or the date of the Participant’s Termination of Service, as applicable) occurs. Upon such delivery, such Shares (including Dividend Shares) shall be fully assignable, alienable, saleable and transferrable by the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assignment, alienation, sale, transfer or other alienation with respect to such Shares shall be in accordance with applicable securities laws and any applicable Company policy.</w:t>
      </w:r>
    </w:p>
    <w:p>
      <w:pPr>
        <w:spacing w:after="0" w:line="59" w:lineRule="exact"/>
        <w:rPr>
          <w:rFonts w:ascii="Arial" w:cs="Arial" w:eastAsia="Arial" w:hAnsi="Arial"/>
          <w:sz w:val="16"/>
          <w:szCs w:val="16"/>
          <w:color w:val="auto"/>
        </w:rPr>
      </w:pPr>
    </w:p>
    <w:p>
      <w:pPr>
        <w:ind w:right="80" w:firstLine="428"/>
        <w:spacing w:after="0" w:line="289" w:lineRule="auto"/>
        <w:tabs>
          <w:tab w:leader="none" w:pos="668"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Adjustment in Capitalization</w:t>
      </w:r>
      <w:r>
        <w:rPr>
          <w:rFonts w:ascii="Arial" w:cs="Arial" w:eastAsia="Arial" w:hAnsi="Arial"/>
          <w:sz w:val="16"/>
          <w:szCs w:val="16"/>
          <w:color w:val="auto"/>
        </w:rPr>
        <w:t>. In the event that, as a result of any dividend (other than ordinary cash dividends) or other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58" w:lineRule="exact"/>
        <w:rPr>
          <w:rFonts w:ascii="Arial" w:cs="Arial" w:eastAsia="Arial" w:hAnsi="Arial"/>
          <w:sz w:val="16"/>
          <w:szCs w:val="16"/>
          <w:color w:val="auto"/>
        </w:rPr>
      </w:pPr>
    </w:p>
    <w:p>
      <w:pPr>
        <w:ind w:firstLine="428"/>
        <w:spacing w:after="0" w:line="264" w:lineRule="auto"/>
        <w:tabs>
          <w:tab w:leader="none" w:pos="648"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Restrictions on Transferability</w:t>
      </w:r>
      <w:r>
        <w:rPr>
          <w:rFonts w:ascii="Arial" w:cs="Arial" w:eastAsia="Arial" w:hAnsi="Arial"/>
          <w:sz w:val="18"/>
          <w:szCs w:val="18"/>
          <w:color w:val="auto"/>
        </w:rPr>
        <w:t>. Except as may be permitted by the Committee, neither this Award nor any right under this Award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alienable, saleable or transferable by the Participant otherwise than by will or pursuant to the laws of descent and distribution or to a designated Beneficiary.</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540"/>
          </w:cols>
          <w:pgMar w:left="880" w:top="274" w:right="479" w:bottom="1440" w:gutter="0" w:footer="0" w:header="0"/>
        </w:sectPr>
      </w:pPr>
    </w:p>
    <w:bookmarkStart w:id="309" w:name="page310"/>
    <w:bookmarkEnd w:id="309"/>
    <w:p>
      <w:pPr>
        <w:ind w:left="42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provision shall not apply to any portion of this Award for which Shares have been fully distributed and shall not preclude forfeiture of any portion of this Award in accordance with the terms herein.</w:t>
      </w:r>
    </w:p>
    <w:p>
      <w:pPr>
        <w:spacing w:after="0" w:line="62" w:lineRule="exact"/>
        <w:rPr>
          <w:sz w:val="20"/>
          <w:szCs w:val="20"/>
          <w:color w:val="auto"/>
        </w:rPr>
      </w:pPr>
    </w:p>
    <w:p>
      <w:pPr>
        <w:ind w:left="420" w:right="180" w:firstLine="428"/>
        <w:spacing w:after="0" w:line="264" w:lineRule="auto"/>
        <w:tabs>
          <w:tab w:leader="none" w:pos="1098"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The grant of an Award shall not be construed as giving the Participant the right to be retained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 of, or to continue to provide services to, the Company or any of its Affiliates. The receipt of any Award under the Plan is not intended to confer any rights on the receiving Participant except as set forth in the applicable Agreement.</w:t>
      </w:r>
    </w:p>
    <w:p>
      <w:pPr>
        <w:spacing w:after="0" w:line="73" w:lineRule="exact"/>
        <w:rPr>
          <w:rFonts w:ascii="Arial" w:cs="Arial" w:eastAsia="Arial" w:hAnsi="Arial"/>
          <w:sz w:val="18"/>
          <w:szCs w:val="18"/>
          <w:color w:val="auto"/>
        </w:rPr>
      </w:pPr>
    </w:p>
    <w:p>
      <w:pPr>
        <w:ind w:left="420" w:right="320" w:firstLine="428"/>
        <w:spacing w:after="0" w:line="277" w:lineRule="auto"/>
        <w:tabs>
          <w:tab w:leader="none" w:pos="1098"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No Right to Future Awards</w:t>
      </w:r>
      <w:r>
        <w:rPr>
          <w:rFonts w:ascii="Arial" w:cs="Arial" w:eastAsia="Arial" w:hAnsi="Arial"/>
          <w:sz w:val="18"/>
          <w:szCs w:val="18"/>
          <w:color w:val="auto"/>
        </w:rPr>
        <w:t>. Any Award granted under the Plan shall be a one-time Award that does not constitute a promise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The Company, in its sole discretion, maintains the right to make available future grants under the Plan.</w:t>
      </w:r>
    </w:p>
    <w:p>
      <w:pPr>
        <w:spacing w:after="0" w:line="62" w:lineRule="exact"/>
        <w:rPr>
          <w:rFonts w:ascii="Arial" w:cs="Arial" w:eastAsia="Arial" w:hAnsi="Arial"/>
          <w:sz w:val="18"/>
          <w:szCs w:val="18"/>
          <w:color w:val="auto"/>
        </w:rPr>
      </w:pPr>
    </w:p>
    <w:p>
      <w:pPr>
        <w:ind w:left="-20" w:right="100" w:firstLine="444"/>
        <w:spacing w:after="0" w:line="264" w:lineRule="auto"/>
        <w:tabs>
          <w:tab w:leader="none" w:pos="601"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otherwise provided in Section 5, in the event of the Participant’s Termination of Service for any reason,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73" w:lineRule="exact"/>
        <w:rPr>
          <w:rFonts w:ascii="Arial" w:cs="Arial" w:eastAsia="Arial" w:hAnsi="Arial"/>
          <w:sz w:val="18"/>
          <w:szCs w:val="18"/>
          <w:color w:val="auto"/>
        </w:rPr>
      </w:pPr>
    </w:p>
    <w:p>
      <w:pPr>
        <w:ind w:left="-20" w:right="140" w:firstLine="444"/>
        <w:spacing w:after="0" w:line="255" w:lineRule="auto"/>
        <w:tabs>
          <w:tab w:leader="none" w:pos="601"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Vesting Acceleration Upon Termination due to Death or Retirement</w:t>
      </w:r>
      <w:r>
        <w:rPr>
          <w:rFonts w:ascii="Arial" w:cs="Arial" w:eastAsia="Arial" w:hAnsi="Arial"/>
          <w:sz w:val="18"/>
          <w:szCs w:val="18"/>
          <w:color w:val="auto"/>
        </w:rPr>
        <w:t>. Notwithstanding the foregoing and any other provisions of the Plan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contrary, in the event of the Participant’s Termination of Service due to the Participant’s death or Retirement, a pro rata portion of the Award with respect to the Applicable Vesting Period will vest following such Termination of Service based on a fraction, the numerator of which is the number of full calendar months the Participant has been employed in the applicable Vesting Period through the date of termination, and the denominator of which is 12;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has been employed by the Company for at least twelve (12) months following the Grant Date. The RSUs shall be distributed to the Participant pursuant to Section 3(d).</w:t>
      </w:r>
    </w:p>
    <w:p>
      <w:pPr>
        <w:spacing w:after="0" w:line="85" w:lineRule="exact"/>
        <w:rPr>
          <w:rFonts w:ascii="Arial" w:cs="Arial" w:eastAsia="Arial" w:hAnsi="Arial"/>
          <w:sz w:val="18"/>
          <w:szCs w:val="18"/>
          <w:color w:val="auto"/>
        </w:rPr>
      </w:pPr>
    </w:p>
    <w:p>
      <w:pPr>
        <w:jc w:val="both"/>
        <w:ind w:left="-20" w:right="120" w:firstLine="444"/>
        <w:spacing w:after="0" w:line="286" w:lineRule="auto"/>
        <w:tabs>
          <w:tab w:leader="none" w:pos="601"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Notwithstanding any provision of this Agreement to the contrary, subject to the Participant’s execution and non-revocation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 customary release of claims in favor of the Company and its Affiliates, in the event of a Change in Control, any unvested RSUs shall immediately become fully vested and non forfeitable and the RSUs shall be distributed to the Participant pursuant to Section 3(d).</w:t>
      </w:r>
    </w:p>
    <w:p>
      <w:pPr>
        <w:spacing w:after="0" w:line="57" w:lineRule="exact"/>
        <w:rPr>
          <w:rFonts w:ascii="Arial" w:cs="Arial" w:eastAsia="Arial" w:hAnsi="Arial"/>
          <w:sz w:val="17"/>
          <w:szCs w:val="17"/>
          <w:color w:val="auto"/>
        </w:rPr>
      </w:pPr>
    </w:p>
    <w:p>
      <w:pPr>
        <w:ind w:left="600" w:hanging="176"/>
        <w:spacing w:after="0"/>
        <w:tabs>
          <w:tab w:leader="none" w:pos="60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Tax Liability; Withholding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28"/>
        <w:spacing w:after="0" w:line="264" w:lineRule="auto"/>
        <w:tabs>
          <w:tab w:leader="none" w:pos="108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Participant shall be solely responsible for any applicable taxes (including, without limitation, income and excise taxes) and penalties, and any interest that accrues thereon, that the Participant incurs in connection with the receipt, vesting or distribution of any RSU granted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60" w:top="273" w:right="439" w:bottom="1440" w:gutter="0" w:footer="0" w:header="0"/>
        </w:sectPr>
      </w:pPr>
    </w:p>
    <w:bookmarkStart w:id="310" w:name="page311"/>
    <w:bookmarkEnd w:id="310"/>
    <w:p>
      <w:pPr>
        <w:ind w:left="436" w:firstLine="428"/>
        <w:spacing w:after="0" w:line="283" w:lineRule="auto"/>
        <w:tabs>
          <w:tab w:leader="none" w:pos="1114" w:val="left"/>
        </w:tabs>
        <w:numPr>
          <w:ilvl w:val="2"/>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authorized by the Committee, the Company may withhold any tax (or other governmental obligation) that becomes due with respect to the RSUs (or any dividend distribution thereon) and take such action as it deems appropriate to ensure that all applicable withholding, income or other taxes, which are the sole and absolute responsibility of the Participant, are withheld or collected from the Participant and, unless otherwise determined by the Committee, to the extent such withholding would not result in liability classification of any portion of the Award pursuant to FASB ASC Subtopic 718-10. The Participant shall make arrangements satisfactory to the Company to enable the Company to satisfy all such withholding requirements. Notwithstanding the foregoing, the Committee may, in its sole discretion, permit the Participant to satisfy any such withholding requirement by transferring to the Company pursuant to such procedures as the Committee may require, effective as of the date on which such requirement arises, a number of vested Shares owned and designated by the Participant having an aggregate Fair Market Value as of such date that is at least equal to the minimum, and not more than the maximum, amount required to be withheld (including by authorizing the Company to withhold Shares that would otherwise be issuable or deliverable to the Participant as a result of the vesting of the Award), to the extent such withholding would not result in liability classification of any portion of the Award pursuant to FASB ASC Subtopic</w:t>
      </w:r>
    </w:p>
    <w:p>
      <w:pPr>
        <w:spacing w:after="0" w:line="4" w:lineRule="exact"/>
        <w:rPr>
          <w:rFonts w:ascii="Arial" w:cs="Arial" w:eastAsia="Arial" w:hAnsi="Arial"/>
          <w:sz w:val="16"/>
          <w:szCs w:val="16"/>
          <w:color w:val="auto"/>
        </w:rPr>
      </w:pPr>
    </w:p>
    <w:p>
      <w:pPr>
        <w:jc w:val="both"/>
        <w:ind w:left="436" w:right="240"/>
        <w:spacing w:after="0" w:line="277" w:lineRule="auto"/>
        <w:rPr>
          <w:rFonts w:ascii="Arial" w:cs="Arial" w:eastAsia="Arial" w:hAnsi="Arial"/>
          <w:sz w:val="16"/>
          <w:szCs w:val="16"/>
          <w:color w:val="auto"/>
        </w:rPr>
      </w:pPr>
      <w:r>
        <w:rPr>
          <w:rFonts w:ascii="Arial" w:cs="Arial" w:eastAsia="Arial" w:hAnsi="Arial"/>
          <w:sz w:val="17"/>
          <w:szCs w:val="17"/>
          <w:color w:val="auto"/>
        </w:rPr>
        <w:t>718-10. If the Committee permits the Participant to satisfy any such withholding requirement pursuant to the preceding sentence, the Company shall remit to the Internal Revenue Service and appropriate state and local revenue agencies, for the credit of the Participant, an amount of cash withholding equal to the Fair Market Value of the Shares transferred to the Company as provided above.</w:t>
      </w:r>
    </w:p>
    <w:p>
      <w:pPr>
        <w:spacing w:after="0" w:line="65" w:lineRule="exact"/>
        <w:rPr>
          <w:rFonts w:ascii="Arial" w:cs="Arial" w:eastAsia="Arial" w:hAnsi="Arial"/>
          <w:sz w:val="16"/>
          <w:szCs w:val="16"/>
          <w:color w:val="auto"/>
        </w:rPr>
      </w:pPr>
    </w:p>
    <w:p>
      <w:pPr>
        <w:ind w:left="616" w:hanging="176"/>
        <w:spacing w:after="0"/>
        <w:tabs>
          <w:tab w:leader="none" w:pos="616" w:val="left"/>
        </w:tabs>
        <w:numPr>
          <w:ilvl w:val="1"/>
          <w:numId w:val="210"/>
        </w:numPr>
        <w:rPr>
          <w:rFonts w:ascii="Arial" w:cs="Arial" w:eastAsia="Arial" w:hAnsi="Arial"/>
          <w:sz w:val="16"/>
          <w:szCs w:val="16"/>
          <w:color w:val="auto"/>
        </w:rPr>
      </w:pPr>
      <w:r>
        <w:rPr>
          <w:rFonts w:ascii="Arial" w:cs="Arial" w:eastAsia="Arial" w:hAnsi="Arial"/>
          <w:sz w:val="16"/>
          <w:szCs w:val="16"/>
          <w:i w:val="1"/>
          <w:iCs w:val="1"/>
          <w:color w:val="auto"/>
        </w:rPr>
        <w:t>Not Salary, Pensionable Earnings or Base Pay</w:t>
      </w:r>
      <w:r>
        <w:rPr>
          <w:rFonts w:ascii="Arial" w:cs="Arial" w:eastAsia="Arial" w:hAnsi="Arial"/>
          <w:sz w:val="16"/>
          <w:szCs w:val="16"/>
          <w:color w:val="auto"/>
        </w:rPr>
        <w:t>. The Participant acknowledges that the Award shall not be included in or deemed to be a part of</w:t>
      </w:r>
    </w:p>
    <w:p>
      <w:pPr>
        <w:spacing w:after="0" w:line="46" w:lineRule="exact"/>
        <w:rPr>
          <w:rFonts w:ascii="Arial" w:cs="Arial" w:eastAsia="Arial" w:hAnsi="Arial"/>
          <w:sz w:val="16"/>
          <w:szCs w:val="16"/>
          <w:color w:val="auto"/>
        </w:rPr>
      </w:pPr>
    </w:p>
    <w:p>
      <w:pPr>
        <w:ind w:left="-4" w:right="120" w:firstLine="4"/>
        <w:spacing w:after="0" w:line="302" w:lineRule="auto"/>
        <w:tabs>
          <w:tab w:leader="none" w:pos="24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47" w:lineRule="exact"/>
        <w:rPr>
          <w:rFonts w:ascii="Arial" w:cs="Arial" w:eastAsia="Arial" w:hAnsi="Arial"/>
          <w:sz w:val="16"/>
          <w:szCs w:val="16"/>
          <w:color w:val="auto"/>
        </w:rPr>
      </w:pPr>
    </w:p>
    <w:p>
      <w:pPr>
        <w:ind w:left="-4" w:right="80" w:firstLine="444"/>
        <w:spacing w:after="0" w:line="255" w:lineRule="auto"/>
        <w:tabs>
          <w:tab w:leader="none" w:pos="617" w:val="left"/>
        </w:tabs>
        <w:numPr>
          <w:ilvl w:val="1"/>
          <w:numId w:val="211"/>
        </w:numPr>
        <w:rPr>
          <w:rFonts w:ascii="Arial" w:cs="Arial" w:eastAsia="Arial" w:hAnsi="Arial"/>
          <w:sz w:val="18"/>
          <w:szCs w:val="18"/>
          <w:color w:val="auto"/>
        </w:rPr>
      </w:pPr>
      <w:r>
        <w:rPr>
          <w:rFonts w:ascii="Arial" w:cs="Arial" w:eastAsia="Arial" w:hAnsi="Arial"/>
          <w:sz w:val="18"/>
          <w:szCs w:val="18"/>
          <w:i w:val="1"/>
          <w:iCs w:val="1"/>
          <w:color w:val="auto"/>
        </w:rPr>
        <w:t>Whistleblower Protection</w:t>
      </w:r>
      <w:r>
        <w:rPr>
          <w:rFonts w:ascii="Arial" w:cs="Arial" w:eastAsia="Arial" w:hAnsi="Arial"/>
          <w:sz w:val="18"/>
          <w:szCs w:val="18"/>
          <w:color w:val="auto"/>
        </w:rPr>
        <w:t>. The Participant has the right under federal law to certain protections for cooperating with or reporting legal</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to the SEC or its Office of the Whistleblower, as well as certain other governmental entities and self-regulatory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12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96"/>
          </w:cols>
          <w:pgMar w:left="444" w:top="273" w:right="459" w:bottom="1440" w:gutter="0" w:footer="0" w:header="0"/>
        </w:sectPr>
      </w:pPr>
    </w:p>
    <w:bookmarkStart w:id="311" w:name="page312"/>
    <w:bookmarkEnd w:id="311"/>
    <w:p>
      <w:pPr>
        <w:ind w:right="400" w:firstLine="444"/>
        <w:spacing w:after="0" w:line="277" w:lineRule="auto"/>
        <w:tabs>
          <w:tab w:leader="none" w:pos="711"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Covenants</w:t>
      </w:r>
      <w:r>
        <w:rPr>
          <w:rFonts w:ascii="Arial" w:cs="Arial" w:eastAsia="Arial" w:hAnsi="Arial"/>
          <w:sz w:val="18"/>
          <w:szCs w:val="18"/>
          <w:color w:val="auto"/>
        </w:rPr>
        <w:t>. The Company’s obligations under this Agreement is conditioned on the Participant signing a Restrictive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the form of Schedule A (the “</w:t>
      </w:r>
      <w:r>
        <w:rPr>
          <w:rFonts w:ascii="Arial" w:cs="Arial" w:eastAsia="Arial" w:hAnsi="Arial"/>
          <w:sz w:val="18"/>
          <w:szCs w:val="18"/>
          <w:b w:val="1"/>
          <w:bCs w:val="1"/>
          <w:color w:val="auto"/>
        </w:rPr>
        <w:t>Restrictive Covenant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Recoupment/Clawback</w:t>
      </w:r>
      <w:r>
        <w:rPr>
          <w:rFonts w:ascii="Arial" w:cs="Arial" w:eastAsia="Arial" w:hAnsi="Arial"/>
          <w:sz w:val="18"/>
          <w:szCs w:val="18"/>
          <w:color w:val="auto"/>
        </w:rPr>
        <w:t>. This Award (including any amounts or benefits arising from this Award) shall be subject to recoupment or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required by applicable law, stock exchange rules or by any applicable Company policy or arrangement the Company has in place from time to time.</w:t>
      </w:r>
    </w:p>
    <w:p>
      <w:pPr>
        <w:spacing w:after="0" w:line="73" w:lineRule="exact"/>
        <w:rPr>
          <w:rFonts w:ascii="Arial" w:cs="Arial" w:eastAsia="Arial" w:hAnsi="Arial"/>
          <w:sz w:val="18"/>
          <w:szCs w:val="18"/>
          <w:color w:val="auto"/>
        </w:rPr>
      </w:pPr>
    </w:p>
    <w:p>
      <w:pPr>
        <w:ind w:right="140" w:firstLine="444"/>
        <w:spacing w:after="0" w:line="257" w:lineRule="auto"/>
        <w:tabs>
          <w:tab w:leader="none" w:pos="711"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Release</w:t>
      </w:r>
      <w:r>
        <w:rPr>
          <w:rFonts w:ascii="Arial" w:cs="Arial" w:eastAsia="Arial" w:hAnsi="Arial"/>
          <w:sz w:val="18"/>
          <w:szCs w:val="18"/>
          <w:color w:val="auto"/>
        </w:rPr>
        <w:t>. In consideration of the grant of this Award, and as a condition for the Participant’s eligibility to receive this Award,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Participant shall have no further rights or interests in respect of any awards previously granted to the Participant by the Company or any of its Subsidiaries under any equity based plan, program or arrangement, and the Participant agrees that Participant fully and forever waives, releases and discharges the Company, its Subsidiaries and their respective affiliates, successors and assigns, from any and all claims relating to such awards under any such plans, programs or arrangements.</w:t>
      </w:r>
    </w:p>
    <w:p>
      <w:pPr>
        <w:spacing w:after="0" w:line="80" w:lineRule="exact"/>
        <w:rPr>
          <w:rFonts w:ascii="Arial" w:cs="Arial" w:eastAsia="Arial" w:hAnsi="Arial"/>
          <w:sz w:val="18"/>
          <w:szCs w:val="18"/>
          <w:color w:val="auto"/>
        </w:rPr>
      </w:pPr>
    </w:p>
    <w:p>
      <w:pPr>
        <w:ind w:left="720" w:hanging="276"/>
        <w:spacing w:after="0"/>
        <w:tabs>
          <w:tab w:leader="none" w:pos="720"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References</w:t>
      </w:r>
      <w:r>
        <w:rPr>
          <w:rFonts w:ascii="Arial" w:cs="Arial" w:eastAsia="Arial" w:hAnsi="Arial"/>
          <w:sz w:val="17"/>
          <w:szCs w:val="17"/>
          <w:color w:val="auto"/>
        </w:rPr>
        <w:t>. References herein to rights and obligations of the Participant shall apply, where appropriate, to the Participant’s legal</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representative or estate without regard to whether specific reference to such legal representative or estate is contained in a particular provision of this Agreement.</w:t>
      </w:r>
    </w:p>
    <w:p>
      <w:pPr>
        <w:spacing w:after="0" w:line="75" w:lineRule="exact"/>
        <w:rPr>
          <w:rFonts w:ascii="Arial" w:cs="Arial" w:eastAsia="Arial" w:hAnsi="Arial"/>
          <w:sz w:val="17"/>
          <w:szCs w:val="17"/>
          <w:color w:val="auto"/>
        </w:rPr>
      </w:pPr>
    </w:p>
    <w:p>
      <w:pPr>
        <w:ind w:left="720" w:hanging="276"/>
        <w:spacing w:after="0"/>
        <w:tabs>
          <w:tab w:leader="none" w:pos="72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80" w:firstLine="428"/>
        <w:spacing w:after="0" w:line="312" w:lineRule="auto"/>
        <w:tabs>
          <w:tab w:leader="none" w:pos="1108" w:val="left"/>
        </w:tabs>
        <w:numPr>
          <w:ilvl w:val="1"/>
          <w:numId w:val="212"/>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notice required or permitted to be given under this Agreement shall be in writing and shall be deemed to have been given</w:t>
      </w:r>
      <w:r>
        <w:rPr>
          <w:rFonts w:ascii="Arial" w:cs="Arial" w:eastAsia="Arial" w:hAnsi="Arial"/>
          <w:sz w:val="16"/>
          <w:szCs w:val="16"/>
          <w:i w:val="1"/>
          <w:iCs w:val="1"/>
          <w:color w:val="auto"/>
        </w:rPr>
        <w:t xml:space="preserve"> </w:t>
      </w:r>
      <w:r>
        <w:rPr>
          <w:rFonts w:ascii="Arial" w:cs="Arial" w:eastAsia="Arial" w:hAnsi="Arial"/>
          <w:sz w:val="16"/>
          <w:szCs w:val="16"/>
          <w:color w:val="auto"/>
        </w:rPr>
        <w:t>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Illinois 60045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the Participant:</w:t>
      </w:r>
    </w:p>
    <w:p>
      <w:pPr>
        <w:spacing w:after="0" w:line="117" w:lineRule="exact"/>
        <w:rPr>
          <w:sz w:val="20"/>
          <w:szCs w:val="20"/>
          <w:color w:val="auto"/>
        </w:rPr>
      </w:pPr>
    </w:p>
    <w:p>
      <w:pPr>
        <w:ind w:left="1000" w:right="720"/>
        <w:spacing w:after="0" w:line="277" w:lineRule="auto"/>
        <w:rPr>
          <w:sz w:val="20"/>
          <w:szCs w:val="20"/>
          <w:color w:val="auto"/>
        </w:rPr>
      </w:pPr>
      <w:r>
        <w:rPr>
          <w:rFonts w:ascii="Arial" w:cs="Arial" w:eastAsia="Arial" w:hAnsi="Arial"/>
          <w:sz w:val="18"/>
          <w:szCs w:val="18"/>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312" w:name="page313"/>
    <w:bookmarkEnd w:id="312"/>
    <w:p>
      <w:pPr>
        <w:ind w:firstLine="428"/>
        <w:spacing w:after="0" w:line="290" w:lineRule="auto"/>
        <w:tabs>
          <w:tab w:leader="none" w:pos="678"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6"/>
          <w:szCs w:val="16"/>
          <w:color w:val="auto"/>
        </w:rPr>
        <w:t>. This Agreement, the Plan and any other agreements, schedules, exhibits and other documents referred to herein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58" w:lineRule="exact"/>
        <w:rPr>
          <w:rFonts w:ascii="Arial" w:cs="Arial" w:eastAsia="Arial" w:hAnsi="Arial"/>
          <w:sz w:val="16"/>
          <w:szCs w:val="16"/>
          <w:color w:val="auto"/>
        </w:rPr>
      </w:pPr>
    </w:p>
    <w:p>
      <w:pPr>
        <w:ind w:left="680" w:hanging="252"/>
        <w:spacing w:after="0"/>
        <w:tabs>
          <w:tab w:leader="none" w:pos="680"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Sections 409A and 457A of the Code</w:t>
      </w:r>
      <w:r>
        <w:rPr>
          <w:rFonts w:ascii="Arial" w:cs="Arial" w:eastAsia="Arial" w:hAnsi="Arial"/>
          <w:sz w:val="17"/>
          <w:szCs w:val="17"/>
          <w:color w:val="auto"/>
        </w:rPr>
        <w:t>. For the avoidance of doubt, to the extent that this Award is subject to Section 409A and/or</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82" w:lineRule="exact"/>
        <w:rPr>
          <w:sz w:val="20"/>
          <w:szCs w:val="20"/>
          <w:color w:val="auto"/>
        </w:rPr>
      </w:pPr>
    </w:p>
    <w:p>
      <w:pPr>
        <w:ind w:right="100" w:firstLine="428"/>
        <w:spacing w:after="0" w:line="257" w:lineRule="auto"/>
        <w:tabs>
          <w:tab w:leader="none" w:pos="67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is or becomes or is deemed to be invalid, illegal or unenforceable in any jurisdiction,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80" w:lineRule="exact"/>
        <w:rPr>
          <w:rFonts w:ascii="Arial" w:cs="Arial" w:eastAsia="Arial" w:hAnsi="Arial"/>
          <w:sz w:val="18"/>
          <w:szCs w:val="18"/>
          <w:color w:val="auto"/>
        </w:rPr>
      </w:pPr>
    </w:p>
    <w:p>
      <w:pPr>
        <w:ind w:right="80" w:firstLine="428"/>
        <w:spacing w:after="0" w:line="273" w:lineRule="auto"/>
        <w:tabs>
          <w:tab w:leader="none" w:pos="668"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Amendment; Waiver</w:t>
      </w:r>
      <w:r>
        <w:rPr>
          <w:rFonts w:ascii="Arial" w:cs="Arial" w:eastAsia="Arial" w:hAnsi="Arial"/>
          <w:sz w:val="17"/>
          <w:szCs w:val="17"/>
          <w:color w:val="auto"/>
        </w:rPr>
        <w:t>. No amendment or modification of any provision of this Agreement that has a material adverse effect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Participant shall be effective unless signed in writing by or on behalf of the Company and the Participant;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70" w:lineRule="exact"/>
        <w:rPr>
          <w:rFonts w:ascii="Arial" w:cs="Arial" w:eastAsia="Arial" w:hAnsi="Arial"/>
          <w:sz w:val="17"/>
          <w:szCs w:val="17"/>
          <w:color w:val="auto"/>
        </w:rPr>
      </w:pPr>
    </w:p>
    <w:p>
      <w:pPr>
        <w:ind w:right="740" w:firstLine="428"/>
        <w:spacing w:after="0" w:line="277" w:lineRule="auto"/>
        <w:tabs>
          <w:tab w:leader="none" w:pos="64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Assignment</w:t>
      </w:r>
      <w:r>
        <w:rPr>
          <w:rFonts w:ascii="Arial" w:cs="Arial" w:eastAsia="Arial" w:hAnsi="Arial"/>
          <w:sz w:val="18"/>
          <w:szCs w:val="18"/>
          <w:color w:val="auto"/>
        </w:rPr>
        <w:t>. Neither this Agreement nor any right, remedy, obligation or liability arising hereunder or by reason hereof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by the Participant.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60"/>
          </w:cols>
          <w:pgMar w:left="880" w:top="273" w:right="459" w:bottom="1440" w:gutter="0" w:footer="0" w:header="0"/>
        </w:sectPr>
      </w:pPr>
    </w:p>
    <w:bookmarkStart w:id="313" w:name="page314"/>
    <w:bookmarkEnd w:id="313"/>
    <w:p>
      <w:pPr>
        <w:ind w:right="200" w:firstLine="428"/>
        <w:spacing w:after="0" w:line="302" w:lineRule="auto"/>
        <w:tabs>
          <w:tab w:leader="none" w:pos="678"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 No Third-Party Beneficiaries</w:t>
      </w:r>
      <w:r>
        <w:rPr>
          <w:rFonts w:ascii="Arial" w:cs="Arial" w:eastAsia="Arial" w:hAnsi="Arial"/>
          <w:sz w:val="16"/>
          <w:szCs w:val="16"/>
          <w:color w:val="auto"/>
        </w:rPr>
        <w:t>. This Agreement shall inure to the benefit of and be binding upon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46" w:lineRule="exact"/>
        <w:rPr>
          <w:rFonts w:ascii="Arial" w:cs="Arial" w:eastAsia="Arial" w:hAnsi="Arial"/>
          <w:sz w:val="16"/>
          <w:szCs w:val="16"/>
          <w:color w:val="auto"/>
        </w:rPr>
      </w:pPr>
    </w:p>
    <w:p>
      <w:pPr>
        <w:ind w:firstLine="428"/>
        <w:spacing w:after="0" w:line="257" w:lineRule="auto"/>
        <w:tabs>
          <w:tab w:leader="none" w:pos="678"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Governing Law; Waiver of Jury Trial</w:t>
      </w:r>
      <w:r>
        <w:rPr>
          <w:rFonts w:ascii="Arial" w:cs="Arial" w:eastAsia="Arial" w:hAnsi="Arial"/>
          <w:sz w:val="18"/>
          <w:szCs w:val="18"/>
          <w:color w:val="auto"/>
        </w:rPr>
        <w:t>. This Agreement shall be governed by the laws of the State of Delaware, without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80" w:lineRule="exact"/>
        <w:rPr>
          <w:rFonts w:ascii="Arial" w:cs="Arial" w:eastAsia="Arial" w:hAnsi="Arial"/>
          <w:sz w:val="18"/>
          <w:szCs w:val="18"/>
          <w:color w:val="auto"/>
        </w:rPr>
      </w:pPr>
    </w:p>
    <w:p>
      <w:pPr>
        <w:ind w:firstLine="428"/>
        <w:spacing w:after="0" w:line="269" w:lineRule="auto"/>
        <w:tabs>
          <w:tab w:leader="none" w:pos="638"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Dispute Resolution</w:t>
      </w:r>
      <w:r>
        <w:rPr>
          <w:rFonts w:ascii="Arial" w:cs="Arial" w:eastAsia="Arial" w:hAnsi="Arial"/>
          <w:sz w:val="17"/>
          <w:szCs w:val="17"/>
          <w:color w:val="auto"/>
        </w:rPr>
        <w:t>. Any dispute or claim arising out of, under or in connection with the Plan or any Award Agreement shall be submitted</w:t>
      </w:r>
      <w:r>
        <w:rPr>
          <w:rFonts w:ascii="Arial" w:cs="Arial" w:eastAsia="Arial" w:hAnsi="Arial"/>
          <w:sz w:val="17"/>
          <w:szCs w:val="17"/>
          <w:i w:val="1"/>
          <w:iCs w:val="1"/>
          <w:color w:val="auto"/>
        </w:rPr>
        <w:t xml:space="preserve"> </w:t>
      </w:r>
      <w:r>
        <w:rPr>
          <w:rFonts w:ascii="Arial" w:cs="Arial" w:eastAsia="Arial" w:hAnsi="Arial"/>
          <w:sz w:val="17"/>
          <w:szCs w:val="17"/>
          <w:color w:val="auto"/>
        </w:rPr>
        <w:t>to arbitration in Delaware and shall be conducted in accordance with the rules of, but not necessarily under the auspices of, the American Arbitration Association (“</w:t>
      </w:r>
      <w:r>
        <w:rPr>
          <w:rFonts w:ascii="Arial" w:cs="Arial" w:eastAsia="Arial" w:hAnsi="Arial"/>
          <w:sz w:val="17"/>
          <w:szCs w:val="17"/>
          <w:b w:val="1"/>
          <w:bCs w:val="1"/>
          <w:color w:val="auto"/>
        </w:rPr>
        <w:t>AAA</w:t>
      </w:r>
      <w:r>
        <w:rPr>
          <w:rFonts w:ascii="Arial" w:cs="Arial" w:eastAsia="Arial" w:hAnsi="Arial"/>
          <w:sz w:val="17"/>
          <w:szCs w:val="17"/>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74" w:lineRule="exact"/>
        <w:rPr>
          <w:rFonts w:ascii="Arial" w:cs="Arial" w:eastAsia="Arial" w:hAnsi="Arial"/>
          <w:sz w:val="17"/>
          <w:szCs w:val="17"/>
          <w:color w:val="auto"/>
        </w:rPr>
      </w:pPr>
    </w:p>
    <w:p>
      <w:pPr>
        <w:ind w:left="640" w:hanging="212"/>
        <w:spacing w:after="0"/>
        <w:tabs>
          <w:tab w:leader="none" w:pos="640"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Participant Undertaking; Acceptance</w:t>
      </w:r>
      <w:r>
        <w:rPr>
          <w:rFonts w:ascii="Arial" w:cs="Arial" w:eastAsia="Arial" w:hAnsi="Arial"/>
          <w:sz w:val="17"/>
          <w:szCs w:val="17"/>
          <w:color w:val="auto"/>
        </w:rPr>
        <w:t>. The Participant agrees to take whatever additional action and execute whatever additional</w:t>
      </w:r>
    </w:p>
    <w:p>
      <w:pPr>
        <w:spacing w:after="0" w:line="34"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560"/>
          </w:cols>
          <w:pgMar w:left="880" w:top="274" w:right="459" w:bottom="1440" w:gutter="0" w:footer="0" w:header="0"/>
        </w:sectPr>
      </w:pPr>
    </w:p>
    <w:bookmarkStart w:id="314" w:name="page315"/>
    <w:bookmarkEnd w:id="314"/>
    <w:p>
      <w:pPr>
        <w:ind w:left="-60" w:firstLine="428"/>
        <w:spacing w:after="0" w:line="277" w:lineRule="auto"/>
        <w:tabs>
          <w:tab w:leader="none" w:pos="61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Captions</w:t>
      </w:r>
      <w:r>
        <w:rPr>
          <w:rFonts w:ascii="Arial" w:cs="Arial" w:eastAsia="Arial" w:hAnsi="Arial"/>
          <w:sz w:val="18"/>
          <w:szCs w:val="18"/>
          <w:color w:val="auto"/>
        </w:rPr>
        <w:t>. Captions provided herein are for convenience only and shall not affect the scope, meaning, intent or interpretation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Award Agreement.</w:t>
      </w:r>
    </w:p>
    <w:p>
      <w:pPr>
        <w:spacing w:after="0" w:line="62" w:lineRule="exact"/>
        <w:rPr>
          <w:rFonts w:ascii="Arial" w:cs="Arial" w:eastAsia="Arial" w:hAnsi="Arial"/>
          <w:sz w:val="18"/>
          <w:szCs w:val="18"/>
          <w:color w:val="auto"/>
        </w:rPr>
      </w:pPr>
    </w:p>
    <w:p>
      <w:pPr>
        <w:ind w:left="580" w:hanging="21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two counterparts, each of which shall constitute one and the same instrument.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020"/>
          </w:cols>
          <w:pgMar w:left="940" w:top="273" w:right="939" w:bottom="1440" w:gutter="0" w:footer="0" w:header="0"/>
        </w:sectPr>
      </w:pPr>
    </w:p>
    <w:bookmarkStart w:id="315" w:name="page316"/>
    <w:bookmarkEnd w:id="3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day and year first written above.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289560</wp:posOffset>
            </wp:positionV>
            <wp:extent cx="256413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0020"/>
          </w:cols>
          <w:pgMar w:left="440" w:top="273" w:right="1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AWARD</w:t>
      </w:r>
    </w:p>
    <w:p>
      <w:pPr>
        <w:spacing w:after="0" w:line="229"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[DATE]</w:t>
      </w:r>
    </w:p>
    <w:p>
      <w:pPr>
        <w:spacing w:after="0" w:line="23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Reynolds Consumer Products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granted the Participant, effective as of the Grant Date (as set forth below), a Restricted Stock Award (the “</w:t>
      </w:r>
      <w:r>
        <w:rPr>
          <w:rFonts w:ascii="Arial" w:cs="Arial" w:eastAsia="Arial" w:hAnsi="Arial"/>
          <w:sz w:val="18"/>
          <w:szCs w:val="18"/>
          <w:b w:val="1"/>
          <w:bCs w:val="1"/>
          <w:color w:val="auto"/>
        </w:rPr>
        <w:t>Award</w:t>
      </w:r>
      <w:r>
        <w:rPr>
          <w:rFonts w:ascii="Arial" w:cs="Arial" w:eastAsia="Arial" w:hAnsi="Arial"/>
          <w:sz w:val="18"/>
          <w:szCs w:val="18"/>
          <w:color w:val="auto"/>
        </w:rPr>
        <w:t>”) under the Reynolds Consumer Products Inc. 2019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The Award is subject to the terms and conditions set forth in this award grant letter (this “</w:t>
      </w:r>
      <w:r>
        <w:rPr>
          <w:rFonts w:ascii="Arial" w:cs="Arial" w:eastAsia="Arial" w:hAnsi="Arial"/>
          <w:sz w:val="18"/>
          <w:szCs w:val="18"/>
          <w:b w:val="1"/>
          <w:bCs w:val="1"/>
          <w:color w:val="auto"/>
        </w:rPr>
        <w:t>Grant Letter</w:t>
      </w:r>
      <w:r>
        <w:rPr>
          <w:rFonts w:ascii="Arial" w:cs="Arial" w:eastAsia="Arial" w:hAnsi="Arial"/>
          <w:sz w:val="18"/>
          <w:szCs w:val="18"/>
          <w:color w:val="auto"/>
        </w:rPr>
        <w:t xml:space="preserve">”), the Restricted Stock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all exhibits and appendices thereto) (the “</w:t>
      </w:r>
      <w:r>
        <w:rPr>
          <w:rFonts w:ascii="Arial" w:cs="Arial" w:eastAsia="Arial" w:hAnsi="Arial"/>
          <w:sz w:val="18"/>
          <w:szCs w:val="18"/>
          <w:b w:val="1"/>
          <w:bCs w:val="1"/>
          <w:color w:val="auto"/>
        </w:rPr>
        <w:t>Award Agreement</w:t>
      </w:r>
      <w:r>
        <w:rPr>
          <w:rFonts w:ascii="Arial" w:cs="Arial" w:eastAsia="Arial" w:hAnsi="Arial"/>
          <w:sz w:val="18"/>
          <w:szCs w:val="18"/>
          <w:color w:val="auto"/>
        </w:rPr>
        <w:t>” and, together with this Grant Letter,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TERMS</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w:t>
      </w:r>
    </w:p>
    <w:p>
      <w:pPr>
        <w:spacing w:after="0" w:line="136"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b w:val="1"/>
          <w:bCs w:val="1"/>
          <w:color w:val="auto"/>
        </w:rPr>
        <w:t>Grant Date</w:t>
      </w:r>
      <w:r>
        <w:rPr>
          <w:rFonts w:ascii="Arial" w:cs="Arial" w:eastAsia="Arial" w:hAnsi="Arial"/>
          <w:sz w:val="17"/>
          <w:szCs w:val="17"/>
          <w:color w:val="auto"/>
        </w:rPr>
        <w:t>”)</w:t>
      </w:r>
    </w:p>
    <w:p>
      <w:pPr>
        <w:spacing w:after="0" w:line="129"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Subject to the terms and conditions of the Award Agreement, the Shares subject to the Award shall vest ratably on each of the first three anniversaries of the Grant Date (each, a “</w:t>
      </w:r>
      <w:r>
        <w:rPr>
          <w:rFonts w:ascii="Arial" w:cs="Arial" w:eastAsia="Arial" w:hAnsi="Arial"/>
          <w:sz w:val="18"/>
          <w:szCs w:val="18"/>
          <w:b w:val="1"/>
          <w:bCs w:val="1"/>
          <w:color w:val="auto"/>
        </w:rPr>
        <w:t>Vesting Date</w:t>
      </w:r>
      <w:r>
        <w:rPr>
          <w:rFonts w:ascii="Arial" w:cs="Arial" w:eastAsia="Arial" w:hAnsi="Arial"/>
          <w:sz w:val="18"/>
          <w:szCs w:val="18"/>
          <w:color w:val="auto"/>
        </w:rPr>
        <w:t>”, and each such one-year period, a “</w:t>
      </w:r>
      <w:r>
        <w:rPr>
          <w:rFonts w:ascii="Arial" w:cs="Arial" w:eastAsia="Arial" w:hAnsi="Arial"/>
          <w:sz w:val="18"/>
          <w:szCs w:val="18"/>
          <w:b w:val="1"/>
          <w:bCs w:val="1"/>
          <w:color w:val="auto"/>
        </w:rPr>
        <w:t>Vesting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does not experience a Termination of Service at any time prior to the applicable Vesting Date.</w:t>
      </w:r>
    </w:p>
    <w:p>
      <w:pPr>
        <w:spacing w:after="0" w:line="187"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ind w:right="200"/>
        <w:spacing w:after="0" w:line="277" w:lineRule="auto"/>
        <w:rPr>
          <w:sz w:val="20"/>
          <w:szCs w:val="20"/>
          <w:color w:val="auto"/>
        </w:rPr>
      </w:pPr>
      <w:r>
        <w:rPr>
          <w:rFonts w:ascii="Arial" w:cs="Arial" w:eastAsia="Arial" w:hAnsi="Arial"/>
          <w:sz w:val="18"/>
          <w:szCs w:val="18"/>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you have questions please contact [●], the Company’s [●] via email at [●]. Otherwise, please provide your signature, address and the date for this Agreement where indicated below.</w:t>
      </w:r>
    </w:p>
    <w:p>
      <w:pPr>
        <w:sectPr>
          <w:pgSz w:w="11900" w:h="16838" w:orient="portrait"/>
          <w:cols w:equalWidth="0" w:num="1">
            <w:col w:w="11020"/>
          </w:cols>
          <w:pgMar w:left="440" w:top="121" w:right="439" w:bottom="1440" w:gutter="0" w:footer="0" w:header="0"/>
          <w:type w:val="continuous"/>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This Restricted Stock Award Agreement (together with all exhibits and appendices hereto, this “</w:t>
      </w:r>
      <w:r>
        <w:rPr>
          <w:rFonts w:ascii="Arial" w:cs="Arial" w:eastAsia="Arial" w:hAnsi="Arial"/>
          <w:sz w:val="18"/>
          <w:szCs w:val="18"/>
          <w:b w:val="1"/>
          <w:bCs w:val="1"/>
          <w:color w:val="auto"/>
        </w:rPr>
        <w:t>Award Agreement</w:t>
      </w:r>
      <w:r>
        <w:rPr>
          <w:rFonts w:ascii="Arial" w:cs="Arial" w:eastAsia="Arial" w:hAnsi="Arial"/>
          <w:sz w:val="18"/>
          <w:szCs w:val="18"/>
          <w:color w:val="auto"/>
        </w:rPr>
        <w:t>”), dated as of the date of the Grant Letter, is by and between the Company, and the individual listed in the Grant Letter as the Participant.</w:t>
      </w:r>
    </w:p>
    <w:p>
      <w:pPr>
        <w:spacing w:after="0" w:line="16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the Company hereby grants the Award to the Participant under the Plan, and the Participant hereby accepts the Award, in each case, subject to the terms and conditions of the Plan and this Agreement; and</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NOW, THEREFORE, in consideration of the promises and mutual covenants contained herein, and for other good and valuable consideration, the parties hereto agree as follows.</w:t>
      </w:r>
    </w:p>
    <w:p>
      <w:pPr>
        <w:spacing w:after="0" w:line="62" w:lineRule="exact"/>
        <w:rPr>
          <w:sz w:val="20"/>
          <w:szCs w:val="20"/>
          <w:color w:val="auto"/>
        </w:rPr>
      </w:pPr>
    </w:p>
    <w:p>
      <w:pPr>
        <w:ind w:right="20" w:firstLine="444"/>
        <w:spacing w:after="0" w:line="264" w:lineRule="auto"/>
        <w:tabs>
          <w:tab w:leader="none" w:pos="621"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Grant of Restricted Stock Award</w:t>
      </w:r>
      <w:r>
        <w:rPr>
          <w:rFonts w:ascii="Arial" w:cs="Arial" w:eastAsia="Arial" w:hAnsi="Arial"/>
          <w:sz w:val="18"/>
          <w:szCs w:val="18"/>
          <w:color w:val="auto"/>
        </w:rPr>
        <w:t>. The Company hereby grants to the Participant on the Grant Date the aggregate number of Shares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set forth in the Grant Letter, subject to the terms and conditions of the Plan and this Agreement. This Award is granted under the Plan, the provisions of which are incorporated herein by reference and made a part of this Agreement.</w:t>
      </w:r>
    </w:p>
    <w:p>
      <w:pPr>
        <w:spacing w:after="0" w:line="73" w:lineRule="exact"/>
        <w:rPr>
          <w:rFonts w:ascii="Arial" w:cs="Arial" w:eastAsia="Arial" w:hAnsi="Arial"/>
          <w:sz w:val="18"/>
          <w:szCs w:val="18"/>
          <w:color w:val="auto"/>
        </w:rPr>
      </w:pPr>
    </w:p>
    <w:p>
      <w:pPr>
        <w:ind w:left="620" w:hanging="176"/>
        <w:spacing w:after="0"/>
        <w:tabs>
          <w:tab w:leader="none" w:pos="62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It is understood and agreed that the Award evidenced hereby is subject to the following terms and conditions:</w:t>
      </w:r>
    </w:p>
    <w:p>
      <w:pPr>
        <w:spacing w:after="0" w:line="128" w:lineRule="exact"/>
        <w:rPr>
          <w:rFonts w:ascii="Arial" w:cs="Arial" w:eastAsia="Arial" w:hAnsi="Arial"/>
          <w:sz w:val="17"/>
          <w:szCs w:val="17"/>
          <w:color w:val="auto"/>
        </w:rPr>
      </w:pPr>
    </w:p>
    <w:p>
      <w:pPr>
        <w:ind w:left="440" w:right="400" w:firstLine="428"/>
        <w:spacing w:after="0" w:line="277" w:lineRule="auto"/>
        <w:tabs>
          <w:tab w:leader="none" w:pos="1108"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Vesting of Award</w:t>
      </w:r>
      <w:r>
        <w:rPr>
          <w:rFonts w:ascii="Arial" w:cs="Arial" w:eastAsia="Arial" w:hAnsi="Arial"/>
          <w:sz w:val="18"/>
          <w:szCs w:val="18"/>
          <w:color w:val="auto"/>
        </w:rPr>
        <w:t>. Subject to Sections 3, 4, 5 and 11, the Award shall vest and become non-forfeitable in accordance with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set forth in the Grant Letter.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Participant shall have voting rights with respect to the Shares of Restricted Stock.</w:t>
      </w:r>
    </w:p>
    <w:p>
      <w:pPr>
        <w:spacing w:after="0" w:line="117" w:lineRule="exact"/>
        <w:rPr>
          <w:rFonts w:ascii="Arial" w:cs="Arial" w:eastAsia="Arial" w:hAnsi="Arial"/>
          <w:sz w:val="18"/>
          <w:szCs w:val="18"/>
          <w:color w:val="auto"/>
        </w:rPr>
      </w:pPr>
    </w:p>
    <w:p>
      <w:pPr>
        <w:ind w:left="440" w:right="40" w:firstLine="428"/>
        <w:spacing w:after="0" w:line="276" w:lineRule="auto"/>
        <w:tabs>
          <w:tab w:leader="none" w:pos="1108" w:val="left"/>
        </w:tabs>
        <w:numPr>
          <w:ilvl w:val="1"/>
          <w:numId w:val="217"/>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If a dividend is paid on Shares during the period commencing on the Grant Date and ending on the date on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Restricted Stock has vested, the Participant shall be eligible to receive an amount equal to the dividend that the Participant would have received with respect to such dividend payment, with such amount reinvested in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amount shall be payable with respect to any Restricted Stock that is forfeited. Such amount shall be paid to the Participant on the date on which the Restricted Stock is vested in the same form (cash, Shares or other property) in which such dividend is paid to holders of Shares generally.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69" w:right="439" w:bottom="1440" w:gutter="0" w:footer="0" w:header="0"/>
        </w:sectPr>
      </w:pPr>
    </w:p>
    <w:bookmarkStart w:id="318" w:name="page319"/>
    <w:bookmarkEnd w:id="318"/>
    <w:p>
      <w:pPr>
        <w:ind w:right="160" w:firstLine="428"/>
        <w:spacing w:after="0" w:line="276" w:lineRule="auto"/>
        <w:tabs>
          <w:tab w:leader="none" w:pos="678"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Book-Entry. </w:t>
      </w:r>
      <w:r>
        <w:rPr>
          <w:rFonts w:ascii="Arial" w:cs="Arial" w:eastAsia="Arial" w:hAnsi="Arial"/>
          <w:sz w:val="17"/>
          <w:szCs w:val="17"/>
          <w:color w:val="auto"/>
        </w:rPr>
        <w:t>The Shares of Restricted Stock shall be evidenced by book-entry into the register of the Company;</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may determine that the Shares of Restricted Stock shall be evidenced in such other manner as it deems appropriate, including the issuance of a share certificate or certificates. In the event that any share certificate is issued in respect of the Shares of Restricted Stock, such certificate shall (i) be registered in the name of the Participant, (ii) bear an appropriate legend referring to the terms, conditions and restrictions applicable to the Shares of Restricted Stock and (iii) be held in custody by the Company.</w:t>
      </w:r>
    </w:p>
    <w:p>
      <w:pPr>
        <w:spacing w:after="0" w:line="64" w:lineRule="exact"/>
        <w:rPr>
          <w:rFonts w:ascii="Arial" w:cs="Arial" w:eastAsia="Arial" w:hAnsi="Arial"/>
          <w:sz w:val="17"/>
          <w:szCs w:val="17"/>
          <w:color w:val="auto"/>
        </w:rPr>
      </w:pPr>
    </w:p>
    <w:p>
      <w:pPr>
        <w:ind w:right="120" w:firstLine="428"/>
        <w:spacing w:after="0" w:line="271" w:lineRule="auto"/>
        <w:tabs>
          <w:tab w:leader="none" w:pos="668"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t>Adjustment in Capitalization</w:t>
      </w:r>
      <w:r>
        <w:rPr>
          <w:rFonts w:ascii="Arial" w:cs="Arial" w:eastAsia="Arial" w:hAnsi="Arial"/>
          <w:sz w:val="17"/>
          <w:szCs w:val="17"/>
          <w:color w:val="auto"/>
        </w:rPr>
        <w:t>. In the event that, as a result of any dividend (other than ordinary cash dividends) or other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w:t>
      </w:r>
    </w:p>
    <w:p>
      <w:pPr>
        <w:spacing w:after="0" w:line="70" w:lineRule="exact"/>
        <w:rPr>
          <w:rFonts w:ascii="Arial" w:cs="Arial" w:eastAsia="Arial" w:hAnsi="Arial"/>
          <w:sz w:val="17"/>
          <w:szCs w:val="17"/>
          <w:color w:val="auto"/>
        </w:rPr>
      </w:pPr>
    </w:p>
    <w:p>
      <w:pPr>
        <w:ind w:firstLine="428"/>
        <w:spacing w:after="0" w:line="255" w:lineRule="auto"/>
        <w:tabs>
          <w:tab w:leader="none" w:pos="648"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 xml:space="preserve">Section 83(b) Election. </w:t>
      </w:r>
      <w:r>
        <w:rPr>
          <w:rFonts w:ascii="Arial" w:cs="Arial" w:eastAsia="Arial" w:hAnsi="Arial"/>
          <w:sz w:val="18"/>
          <w:szCs w:val="18"/>
          <w:color w:val="auto"/>
        </w:rPr>
        <w:t>The Participant may make an election under Section 83(b) of the Code with respect to the Shares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which such election must be made within thirty (30) days after the Grant Date. If the Participant elects to make such election under Section 83(b) of the Code, the Participant shall provide the Company with a copy of an executed version and satisfactory evidence of the filing of such election with the Internal Revenue Service. The Participant agrees to assume full responsibility for (i) ensuring that the Section 83(b) election is actually and timely filed with the Internal Revenue Service and (ii) all tax consequences resulting from such election. The Participant should consult his or her tax advisor regarding the consequences of a Section 83(b) election, as well as the receipt, vesting, holding and sale of the Shares of Restricted Stock.</w:t>
      </w:r>
    </w:p>
    <w:p>
      <w:pPr>
        <w:spacing w:after="0" w:line="81" w:lineRule="exact"/>
        <w:rPr>
          <w:rFonts w:ascii="Arial" w:cs="Arial" w:eastAsia="Arial" w:hAnsi="Arial"/>
          <w:sz w:val="18"/>
          <w:szCs w:val="18"/>
          <w:color w:val="auto"/>
        </w:rPr>
      </w:pPr>
    </w:p>
    <w:p>
      <w:pPr>
        <w:ind w:right="240" w:firstLine="428"/>
        <w:spacing w:after="0" w:line="312" w:lineRule="auto"/>
        <w:tabs>
          <w:tab w:leader="none" w:pos="678"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Restrictions on Transferability</w:t>
      </w:r>
      <w:r>
        <w:rPr>
          <w:rFonts w:ascii="Arial" w:cs="Arial" w:eastAsia="Arial" w:hAnsi="Arial"/>
          <w:sz w:val="16"/>
          <w:szCs w:val="16"/>
          <w:color w:val="auto"/>
        </w:rPr>
        <w:t>. Except as may be permitted by the Committee, unless and until the Shares of Restricted Stock become</w:t>
      </w:r>
      <w:r>
        <w:rPr>
          <w:rFonts w:ascii="Arial" w:cs="Arial" w:eastAsia="Arial" w:hAnsi="Arial"/>
          <w:sz w:val="16"/>
          <w:szCs w:val="16"/>
          <w:i w:val="1"/>
          <w:iCs w:val="1"/>
          <w:color w:val="auto"/>
        </w:rPr>
        <w:t xml:space="preserve"> </w:t>
      </w:r>
      <w:r>
        <w:rPr>
          <w:rFonts w:ascii="Arial" w:cs="Arial" w:eastAsia="Arial" w:hAnsi="Arial"/>
          <w:sz w:val="16"/>
          <w:szCs w:val="16"/>
          <w:color w:val="auto"/>
        </w:rPr>
        <w:t>vested and non-forfeitable in accordance with this Agreement, the Shares of Restricted Stock shall not be assignable, alienable, saleable or transferable by the Participant other than by will or the applicable law of descent and distribution or to a designated Beneficiary.</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580"/>
          </w:cols>
          <w:pgMar w:left="880" w:top="274" w:right="439" w:bottom="1440" w:gutter="0" w:footer="0" w:header="0"/>
        </w:sectPr>
      </w:pPr>
    </w:p>
    <w:bookmarkStart w:id="319" w:name="page320"/>
    <w:bookmarkEnd w:id="319"/>
    <w:p>
      <w:pPr>
        <w:ind w:left="400" w:right="160" w:firstLine="428"/>
        <w:spacing w:after="0" w:line="264" w:lineRule="auto"/>
        <w:tabs>
          <w:tab w:leader="none" w:pos="1078" w:val="left"/>
        </w:tabs>
        <w:numPr>
          <w:ilvl w:val="1"/>
          <w:numId w:val="2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Right to Continued Service</w:t>
      </w:r>
      <w:r>
        <w:rPr>
          <w:rFonts w:ascii="Arial" w:cs="Arial" w:eastAsia="Arial" w:hAnsi="Arial"/>
          <w:sz w:val="18"/>
          <w:szCs w:val="18"/>
          <w:color w:val="auto"/>
        </w:rPr>
        <w:t>. The grant of an Award shall not be construed as giving the Participant the right to be retained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 of, or to continue to provide services to, the Company or any of its Affiliates. The receipt of any Award under the Plan is not intended to confer any rights on the receiving Participant except as set forth in the applicable Agreement.</w:t>
      </w:r>
    </w:p>
    <w:p>
      <w:pPr>
        <w:spacing w:after="0" w:line="73" w:lineRule="exact"/>
        <w:rPr>
          <w:rFonts w:ascii="Arial" w:cs="Arial" w:eastAsia="Arial" w:hAnsi="Arial"/>
          <w:sz w:val="18"/>
          <w:szCs w:val="18"/>
          <w:color w:val="auto"/>
        </w:rPr>
      </w:pPr>
    </w:p>
    <w:p>
      <w:pPr>
        <w:ind w:left="400" w:right="340" w:firstLine="428"/>
        <w:spacing w:after="0" w:line="277" w:lineRule="auto"/>
        <w:tabs>
          <w:tab w:leader="none" w:pos="1038" w:val="left"/>
        </w:tabs>
        <w:numPr>
          <w:ilvl w:val="1"/>
          <w:numId w:val="219"/>
        </w:numPr>
        <w:rPr>
          <w:rFonts w:ascii="Arial" w:cs="Arial" w:eastAsia="Arial" w:hAnsi="Arial"/>
          <w:sz w:val="18"/>
          <w:szCs w:val="18"/>
          <w:color w:val="auto"/>
        </w:rPr>
      </w:pPr>
      <w:r>
        <w:rPr>
          <w:rFonts w:ascii="Arial" w:cs="Arial" w:eastAsia="Arial" w:hAnsi="Arial"/>
          <w:sz w:val="18"/>
          <w:szCs w:val="18"/>
          <w:i w:val="1"/>
          <w:iCs w:val="1"/>
          <w:color w:val="auto"/>
        </w:rPr>
        <w:t>No Right to Future Awards</w:t>
      </w:r>
      <w:r>
        <w:rPr>
          <w:rFonts w:ascii="Arial" w:cs="Arial" w:eastAsia="Arial" w:hAnsi="Arial"/>
          <w:sz w:val="18"/>
          <w:szCs w:val="18"/>
          <w:color w:val="auto"/>
        </w:rPr>
        <w:t>. Any Award granted under the Plan shall be a one-time Award that does not constitute a promise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The Company, in its sole discretion, maintains the right to make available future grants under the Plan.</w:t>
      </w:r>
    </w:p>
    <w:p>
      <w:pPr>
        <w:spacing w:after="0" w:line="62" w:lineRule="exact"/>
        <w:rPr>
          <w:rFonts w:ascii="Arial" w:cs="Arial" w:eastAsia="Arial" w:hAnsi="Arial"/>
          <w:sz w:val="18"/>
          <w:szCs w:val="18"/>
          <w:color w:val="auto"/>
        </w:rPr>
      </w:pPr>
    </w:p>
    <w:p>
      <w:pPr>
        <w:jc w:val="both"/>
        <w:ind w:left="-40" w:right="160" w:firstLine="444"/>
        <w:spacing w:after="0" w:line="286" w:lineRule="auto"/>
        <w:tabs>
          <w:tab w:leader="none" w:pos="581"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Except as otherwise provided in Section 4, in the event of the Participant’s Termination of Service for any reason, any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Restricted Stock that are unvested as of the date of such Termination of Service shall be immediately forfeited and cancelled in their entirety upon such Termination of Service, without any payment or consideration being due to the Participant.</w:t>
      </w:r>
    </w:p>
    <w:p>
      <w:pPr>
        <w:spacing w:after="0" w:line="57" w:lineRule="exact"/>
        <w:rPr>
          <w:rFonts w:ascii="Arial" w:cs="Arial" w:eastAsia="Arial" w:hAnsi="Arial"/>
          <w:sz w:val="17"/>
          <w:szCs w:val="17"/>
          <w:color w:val="auto"/>
        </w:rPr>
      </w:pPr>
    </w:p>
    <w:p>
      <w:pPr>
        <w:ind w:left="-40" w:right="120" w:firstLine="444"/>
        <w:spacing w:after="0" w:line="297" w:lineRule="auto"/>
        <w:tabs>
          <w:tab w:leader="none" w:pos="581"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Vesting Acceleration Upon Termination due to Death or Retirement</w:t>
      </w:r>
      <w:r>
        <w:rPr>
          <w:rFonts w:ascii="Arial" w:cs="Arial" w:eastAsia="Arial" w:hAnsi="Arial"/>
          <w:sz w:val="16"/>
          <w:szCs w:val="16"/>
          <w:color w:val="auto"/>
        </w:rPr>
        <w:t>. Notwithstanding the foregoing and any other provisions of the Plan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contrary, in the event of the Participant’s Termination of Service due to the Participant’s death or Retirement, a pro rata portion of the Award with respect to the applicable Vesting Period will vest following such Termination of Service based on a fraction, the numerator of which is the number of full calendar months the Participant has been employed in the applicable Vesting Period through the date of termination, and the denominator of which is 12;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Participant has been employed by the Company for at least twelve (12) months following the Grant Date.</w:t>
      </w:r>
    </w:p>
    <w:p>
      <w:pPr>
        <w:spacing w:after="0" w:line="50" w:lineRule="exact"/>
        <w:rPr>
          <w:rFonts w:ascii="Arial" w:cs="Arial" w:eastAsia="Arial" w:hAnsi="Arial"/>
          <w:sz w:val="16"/>
          <w:szCs w:val="16"/>
          <w:color w:val="auto"/>
        </w:rPr>
      </w:pPr>
    </w:p>
    <w:p>
      <w:pPr>
        <w:ind w:left="-40" w:firstLine="444"/>
        <w:spacing w:after="0" w:line="264" w:lineRule="auto"/>
        <w:tabs>
          <w:tab w:leader="none" w:pos="581"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 provision of this Agreement to the contrary, subject to the Participant’s execution and non-revocation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customary release of claims in favor of the Company and its Affiliates, in the event of a Change in Control, any unvested Shares of Restricted Stock shall immediately become fully vested and non-forfeitable.</w:t>
      </w:r>
    </w:p>
    <w:p>
      <w:pPr>
        <w:spacing w:after="0" w:line="73" w:lineRule="exact"/>
        <w:rPr>
          <w:rFonts w:ascii="Arial" w:cs="Arial" w:eastAsia="Arial" w:hAnsi="Arial"/>
          <w:sz w:val="18"/>
          <w:szCs w:val="18"/>
          <w:color w:val="auto"/>
        </w:rPr>
      </w:pPr>
    </w:p>
    <w:p>
      <w:pPr>
        <w:ind w:left="-40" w:right="20" w:firstLine="444"/>
        <w:spacing w:after="0" w:line="293" w:lineRule="auto"/>
        <w:tabs>
          <w:tab w:leader="none" w:pos="581"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Settlement of Shares</w:t>
      </w:r>
      <w:r>
        <w:rPr>
          <w:rFonts w:ascii="Arial" w:cs="Arial" w:eastAsia="Arial" w:hAnsi="Arial"/>
          <w:sz w:val="16"/>
          <w:szCs w:val="16"/>
          <w:color w:val="auto"/>
        </w:rPr>
        <w:t>. Subject to the provisions of this Agreement, upon the vesting of any of the Shares of Restricted Stock, (i) the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Award Agreement with respect to such Shares, as well as any dividends or other distributions accumulated pursuant to Section 2(c), shall lapse, and such Shares shall be fully assignable, saleable and transferable by the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assignment, alienation, sale, transfer or other alienation with respect to such Shares shall be in accordance with applicable securities laws and any applicable Company policy), and (ii) the Company shall deliver such Shares to the Participant, as soon as reasonably practicable after such vesting date, by delivery of a share certificate registered in the Participant’s name and such transfer shall be evidenced in the register of members of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80" w:top="274" w:right="459" w:bottom="1440" w:gutter="0" w:footer="0" w:header="0"/>
        </w:sectPr>
      </w:pPr>
    </w:p>
    <w:bookmarkStart w:id="320" w:name="page321"/>
    <w:bookmarkEnd w:id="320"/>
    <w:p>
      <w:pPr>
        <w:ind w:left="616" w:hanging="176"/>
        <w:spacing w:after="0"/>
        <w:tabs>
          <w:tab w:leader="none" w:pos="616"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Liability; Withholding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firstLine="428"/>
        <w:spacing w:after="0" w:line="264" w:lineRule="auto"/>
        <w:tabs>
          <w:tab w:leader="none" w:pos="1104" w:val="left"/>
        </w:tabs>
        <w:numPr>
          <w:ilvl w:val="2"/>
          <w:numId w:val="221"/>
        </w:numPr>
        <w:rPr>
          <w:rFonts w:ascii="Arial" w:cs="Arial" w:eastAsia="Arial" w:hAnsi="Arial"/>
          <w:sz w:val="18"/>
          <w:szCs w:val="18"/>
          <w:color w:val="auto"/>
        </w:rPr>
      </w:pPr>
      <w:r>
        <w:rPr>
          <w:rFonts w:ascii="Arial" w:cs="Arial" w:eastAsia="Arial" w:hAnsi="Arial"/>
          <w:sz w:val="18"/>
          <w:szCs w:val="18"/>
          <w:color w:val="auto"/>
        </w:rPr>
        <w:t>The Participant shall be solely responsible for any applicable taxes (including, without limitation, income and excise taxes) and penalties, and any interest that accrues thereon, that the Participant incurs in connection with the receipt and vesting of any Shares of Restricted Stock granted hereunder.</w:t>
      </w:r>
    </w:p>
    <w:p>
      <w:pPr>
        <w:spacing w:after="0" w:line="73" w:lineRule="exact"/>
        <w:rPr>
          <w:rFonts w:ascii="Arial" w:cs="Arial" w:eastAsia="Arial" w:hAnsi="Arial"/>
          <w:sz w:val="18"/>
          <w:szCs w:val="18"/>
          <w:color w:val="auto"/>
        </w:rPr>
      </w:pPr>
    </w:p>
    <w:p>
      <w:pPr>
        <w:ind w:left="436" w:right="40" w:firstLine="428"/>
        <w:spacing w:after="0" w:line="286" w:lineRule="auto"/>
        <w:tabs>
          <w:tab w:leader="none" w:pos="1114" w:val="left"/>
        </w:tabs>
        <w:numPr>
          <w:ilvl w:val="2"/>
          <w:numId w:val="221"/>
        </w:numPr>
        <w:rPr>
          <w:rFonts w:ascii="Arial" w:cs="Arial" w:eastAsia="Arial" w:hAnsi="Arial"/>
          <w:sz w:val="16"/>
          <w:szCs w:val="16"/>
          <w:color w:val="auto"/>
        </w:rPr>
      </w:pPr>
      <w:r>
        <w:rPr>
          <w:rFonts w:ascii="Arial" w:cs="Arial" w:eastAsia="Arial" w:hAnsi="Arial"/>
          <w:sz w:val="16"/>
          <w:szCs w:val="16"/>
          <w:color w:val="auto"/>
        </w:rPr>
        <w:t>To the extent authorized by the Committee, the Company may withhold any tax (or other governmental obligation) that becomes due with respect to the Shares of Restricted Stock and take such action as it deems appropriate to ensure that all applicable withholding, income or other taxes, which are the sole and absolute responsibility of the Participant, are withheld or collected from the Participant and, unless otherwise determined by the Committee, to the extent such withholding would not result in liability classification of any portion of the Award pursuant to FASB ASC Subtopic 718-10. The Participant shall make arrangements satisfactory to the Company to enable the Company to satisfy all such withholding requirements. Notwithstanding the foregoing, the Committee may, in its sole discretion, permit the Participant to satisfy any such withholding requirement by transferring to the Company pursuant to such procedures as the Committee may require, effective as of the date on which such requirement arises, a number of vested Shares owned and designated by the Participant having an aggregate Fair Market Value as of such date that is at least equal to the minimum, and not more than the maximum, amount required to be withheld (including by authorizing the Company to withhold Shares that would otherwise be issuable or deliverable to the Participant as a result of the vesting of the Award), to the extent such withholding would not result in liability classification of any portion of the Award pursuant to FASB ASC Subtopic 718-10. If the Committee permits the Participant to satisfy any such withholding requirement pursuant to the preceding sentence, the Company shall remit to the Internal Revenue Service and appropriate state and local revenue agencies, for the credit of the Participant, an amount of cash withholding equal to the Fair Market Value of the Shares transferred to the Company as provided above.</w:t>
      </w:r>
    </w:p>
    <w:p>
      <w:pPr>
        <w:spacing w:after="0" w:line="63" w:lineRule="exact"/>
        <w:rPr>
          <w:rFonts w:ascii="Arial" w:cs="Arial" w:eastAsia="Arial" w:hAnsi="Arial"/>
          <w:sz w:val="16"/>
          <w:szCs w:val="16"/>
          <w:color w:val="auto"/>
        </w:rPr>
      </w:pPr>
    </w:p>
    <w:p>
      <w:pPr>
        <w:ind w:left="616" w:hanging="176"/>
        <w:spacing w:after="0"/>
        <w:tabs>
          <w:tab w:leader="none" w:pos="616" w:val="left"/>
        </w:tabs>
        <w:numPr>
          <w:ilvl w:val="1"/>
          <w:numId w:val="221"/>
        </w:numPr>
        <w:rPr>
          <w:rFonts w:ascii="Arial" w:cs="Arial" w:eastAsia="Arial" w:hAnsi="Arial"/>
          <w:sz w:val="16"/>
          <w:szCs w:val="16"/>
          <w:color w:val="auto"/>
        </w:rPr>
      </w:pPr>
      <w:r>
        <w:rPr>
          <w:rFonts w:ascii="Arial" w:cs="Arial" w:eastAsia="Arial" w:hAnsi="Arial"/>
          <w:sz w:val="16"/>
          <w:szCs w:val="16"/>
          <w:i w:val="1"/>
          <w:iCs w:val="1"/>
          <w:color w:val="auto"/>
        </w:rPr>
        <w:t>Not Salary, Pensionable Earnings or Base Pay</w:t>
      </w:r>
      <w:r>
        <w:rPr>
          <w:rFonts w:ascii="Arial" w:cs="Arial" w:eastAsia="Arial" w:hAnsi="Arial"/>
          <w:sz w:val="16"/>
          <w:szCs w:val="16"/>
          <w:color w:val="auto"/>
        </w:rPr>
        <w:t>. The Participant acknowledges that the Award shall not be included in or deemed to be a part of</w:t>
      </w:r>
    </w:p>
    <w:p>
      <w:pPr>
        <w:spacing w:after="0" w:line="46" w:lineRule="exact"/>
        <w:rPr>
          <w:rFonts w:ascii="Arial" w:cs="Arial" w:eastAsia="Arial" w:hAnsi="Arial"/>
          <w:sz w:val="16"/>
          <w:szCs w:val="16"/>
          <w:color w:val="auto"/>
        </w:rPr>
      </w:pPr>
    </w:p>
    <w:p>
      <w:pPr>
        <w:ind w:left="-4" w:right="140" w:firstLine="4"/>
        <w:spacing w:after="0" w:line="302" w:lineRule="auto"/>
        <w:tabs>
          <w:tab w:leader="none" w:pos="241"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47" w:lineRule="exact"/>
        <w:rPr>
          <w:rFonts w:ascii="Arial" w:cs="Arial" w:eastAsia="Arial" w:hAnsi="Arial"/>
          <w:sz w:val="16"/>
          <w:szCs w:val="16"/>
          <w:color w:val="auto"/>
        </w:rPr>
      </w:pPr>
    </w:p>
    <w:p>
      <w:pPr>
        <w:ind w:left="-4" w:right="180" w:firstLine="444"/>
        <w:spacing w:after="0" w:line="259" w:lineRule="auto"/>
        <w:tabs>
          <w:tab w:leader="none" w:pos="617" w:val="left"/>
        </w:tabs>
        <w:numPr>
          <w:ilvl w:val="1"/>
          <w:numId w:val="222"/>
        </w:numPr>
        <w:rPr>
          <w:rFonts w:ascii="Arial" w:cs="Arial" w:eastAsia="Arial" w:hAnsi="Arial"/>
          <w:sz w:val="18"/>
          <w:szCs w:val="18"/>
          <w:color w:val="auto"/>
        </w:rPr>
      </w:pPr>
      <w:r>
        <w:rPr>
          <w:rFonts w:ascii="Arial" w:cs="Arial" w:eastAsia="Arial" w:hAnsi="Arial"/>
          <w:sz w:val="18"/>
          <w:szCs w:val="18"/>
          <w:i w:val="1"/>
          <w:iCs w:val="1"/>
          <w:color w:val="auto"/>
        </w:rPr>
        <w:t>Whistleblower Protection</w:t>
      </w:r>
      <w:r>
        <w:rPr>
          <w:rFonts w:ascii="Arial" w:cs="Arial" w:eastAsia="Arial" w:hAnsi="Arial"/>
          <w:sz w:val="18"/>
          <w:szCs w:val="18"/>
          <w:color w:val="auto"/>
        </w:rPr>
        <w:t>. The Participant has the right under federal law to certain protections for cooperating with or reporting legal</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to the SEC or its Office of the Whistleblower, as well as certain other governmental entities and self-regulatory organizations. As such, nothing in this Agreement or otherwise is intended to prohibit the Participant from disclosing this Agreement to, or from cooperating with or reporting violations to, the SEC or any such governmental entity or self-regulatory</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16"/>
          </w:cols>
          <w:pgMar w:left="444" w:top="274" w:right="439" w:bottom="1440" w:gutter="0" w:footer="0" w:header="0"/>
        </w:sectPr>
      </w:pPr>
    </w:p>
    <w:bookmarkStart w:id="321" w:name="page322"/>
    <w:bookmarkEnd w:id="321"/>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73" w:lineRule="exact"/>
        <w:rPr>
          <w:sz w:val="20"/>
          <w:szCs w:val="20"/>
          <w:color w:val="auto"/>
        </w:rPr>
      </w:pPr>
    </w:p>
    <w:p>
      <w:pPr>
        <w:ind w:right="400" w:firstLine="444"/>
        <w:spacing w:after="0" w:line="277" w:lineRule="auto"/>
        <w:tabs>
          <w:tab w:leader="none" w:pos="711"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The Company’s obligations under this Agreement is conditioned on the Participant signing a Restrictive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the form of Schedule A (the “</w:t>
      </w:r>
      <w:r>
        <w:rPr>
          <w:rFonts w:ascii="Arial" w:cs="Arial" w:eastAsia="Arial" w:hAnsi="Arial"/>
          <w:sz w:val="18"/>
          <w:szCs w:val="18"/>
          <w:b w:val="1"/>
          <w:bCs w:val="1"/>
          <w:color w:val="auto"/>
        </w:rPr>
        <w:t>Restrictive Covenant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Recoupment/Clawback</w:t>
      </w:r>
      <w:r>
        <w:rPr>
          <w:rFonts w:ascii="Arial" w:cs="Arial" w:eastAsia="Arial" w:hAnsi="Arial"/>
          <w:sz w:val="18"/>
          <w:szCs w:val="18"/>
          <w:color w:val="auto"/>
        </w:rPr>
        <w:t>. This Award (including any amounts or benefits arising from this Award) shall be subject to recoupment or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required by applicable law, stock exchange rules or by any applicable Company policy or arrangement the Company has in place from time to time.</w:t>
      </w:r>
    </w:p>
    <w:p>
      <w:pPr>
        <w:spacing w:after="0" w:line="73" w:lineRule="exact"/>
        <w:rPr>
          <w:rFonts w:ascii="Arial" w:cs="Arial" w:eastAsia="Arial" w:hAnsi="Arial"/>
          <w:sz w:val="18"/>
          <w:szCs w:val="18"/>
          <w:color w:val="auto"/>
        </w:rPr>
      </w:pPr>
    </w:p>
    <w:p>
      <w:pPr>
        <w:ind w:right="140" w:firstLine="444"/>
        <w:spacing w:after="0" w:line="257" w:lineRule="auto"/>
        <w:tabs>
          <w:tab w:leader="none" w:pos="711"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Release</w:t>
      </w:r>
      <w:r>
        <w:rPr>
          <w:rFonts w:ascii="Arial" w:cs="Arial" w:eastAsia="Arial" w:hAnsi="Arial"/>
          <w:sz w:val="18"/>
          <w:szCs w:val="18"/>
          <w:color w:val="auto"/>
        </w:rPr>
        <w:t>. In consideration of the grant of this Award, and as a condition for the Participant’s eligibility to receive this Award,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Participant shall have no further rights or interests in respect of any awards previously granted to the Participant by the Company or any of its Subsidiaries under any equity based plan, program or arrangement, and the Participant agrees that Participant fully and forever waives, releases and discharges the Company, its Subsidiaries and their respective affiliates, successors and assigns, from any and all claims relating to such awards under any such plans, programs or arrangements.</w:t>
      </w:r>
    </w:p>
    <w:p>
      <w:pPr>
        <w:spacing w:after="0" w:line="80" w:lineRule="exact"/>
        <w:rPr>
          <w:rFonts w:ascii="Arial" w:cs="Arial" w:eastAsia="Arial" w:hAnsi="Arial"/>
          <w:sz w:val="18"/>
          <w:szCs w:val="18"/>
          <w:color w:val="auto"/>
        </w:rPr>
      </w:pPr>
    </w:p>
    <w:p>
      <w:pPr>
        <w:ind w:left="720" w:hanging="276"/>
        <w:spacing w:after="0"/>
        <w:tabs>
          <w:tab w:leader="none" w:pos="720" w:val="left"/>
        </w:tabs>
        <w:numPr>
          <w:ilvl w:val="0"/>
          <w:numId w:val="223"/>
        </w:numPr>
        <w:rPr>
          <w:rFonts w:ascii="Arial" w:cs="Arial" w:eastAsia="Arial" w:hAnsi="Arial"/>
          <w:sz w:val="17"/>
          <w:szCs w:val="17"/>
          <w:color w:val="auto"/>
        </w:rPr>
      </w:pPr>
      <w:r>
        <w:rPr>
          <w:rFonts w:ascii="Arial" w:cs="Arial" w:eastAsia="Arial" w:hAnsi="Arial"/>
          <w:sz w:val="17"/>
          <w:szCs w:val="17"/>
          <w:i w:val="1"/>
          <w:iCs w:val="1"/>
          <w:color w:val="auto"/>
        </w:rPr>
        <w:t>References</w:t>
      </w:r>
      <w:r>
        <w:rPr>
          <w:rFonts w:ascii="Arial" w:cs="Arial" w:eastAsia="Arial" w:hAnsi="Arial"/>
          <w:sz w:val="17"/>
          <w:szCs w:val="17"/>
          <w:color w:val="auto"/>
        </w:rPr>
        <w:t>. References herein to rights and obligations of the Participant shall apply, where appropriate, to the Participant’s legal</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representative or estate without regard to whether specific reference to such legal representative or estate is contained in a particular provision of this Agreement.</w:t>
      </w:r>
    </w:p>
    <w:p>
      <w:pPr>
        <w:spacing w:after="0" w:line="75" w:lineRule="exact"/>
        <w:rPr>
          <w:rFonts w:ascii="Arial" w:cs="Arial" w:eastAsia="Arial" w:hAnsi="Arial"/>
          <w:sz w:val="17"/>
          <w:szCs w:val="17"/>
          <w:color w:val="auto"/>
        </w:rPr>
      </w:pPr>
    </w:p>
    <w:p>
      <w:pPr>
        <w:ind w:left="720" w:hanging="276"/>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80" w:firstLine="428"/>
        <w:spacing w:after="0" w:line="312" w:lineRule="auto"/>
        <w:tabs>
          <w:tab w:leader="none" w:pos="1108" w:val="left"/>
        </w:tabs>
        <w:numPr>
          <w:ilvl w:val="1"/>
          <w:numId w:val="223"/>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notice required or permitted to be given under this Agreement shall be in writing and shall be deemed to have been given</w:t>
      </w:r>
      <w:r>
        <w:rPr>
          <w:rFonts w:ascii="Arial" w:cs="Arial" w:eastAsia="Arial" w:hAnsi="Arial"/>
          <w:sz w:val="16"/>
          <w:szCs w:val="16"/>
          <w:i w:val="1"/>
          <w:iCs w:val="1"/>
          <w:color w:val="auto"/>
        </w:rPr>
        <w:t xml:space="preserve"> </w:t>
      </w:r>
      <w:r>
        <w:rPr>
          <w:rFonts w:ascii="Arial" w:cs="Arial" w:eastAsia="Arial" w:hAnsi="Arial"/>
          <w:sz w:val="16"/>
          <w:szCs w:val="16"/>
          <w:color w:val="auto"/>
        </w:rPr>
        <w:t>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Illinois 60045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322" w:name="page323"/>
    <w:bookmarkEnd w:id="322"/>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Participant:</w:t>
      </w:r>
    </w:p>
    <w:p>
      <w:pPr>
        <w:spacing w:after="0" w:line="117" w:lineRule="exact"/>
        <w:rPr>
          <w:sz w:val="20"/>
          <w:szCs w:val="20"/>
          <w:color w:val="auto"/>
        </w:rPr>
      </w:pPr>
    </w:p>
    <w:p>
      <w:pPr>
        <w:ind w:left="560" w:right="720"/>
        <w:spacing w:after="0" w:line="277" w:lineRule="auto"/>
        <w:rPr>
          <w:sz w:val="20"/>
          <w:szCs w:val="20"/>
          <w:color w:val="auto"/>
        </w:rPr>
      </w:pPr>
      <w:r>
        <w:rPr>
          <w:rFonts w:ascii="Arial" w:cs="Arial" w:eastAsia="Arial" w:hAnsi="Arial"/>
          <w:sz w:val="18"/>
          <w:szCs w:val="18"/>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62" w:lineRule="exact"/>
        <w:rPr>
          <w:sz w:val="20"/>
          <w:szCs w:val="20"/>
          <w:color w:val="auto"/>
        </w:rPr>
      </w:pPr>
    </w:p>
    <w:p>
      <w:pPr>
        <w:ind w:firstLine="428"/>
        <w:spacing w:after="0" w:line="290" w:lineRule="auto"/>
        <w:tabs>
          <w:tab w:leader="none" w:pos="678"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Plan and any other agreements, schedules, exhibits and other documents referred to herein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58" w:lineRule="exact"/>
        <w:rPr>
          <w:rFonts w:ascii="Arial" w:cs="Arial" w:eastAsia="Arial" w:hAnsi="Arial"/>
          <w:sz w:val="16"/>
          <w:szCs w:val="16"/>
          <w:color w:val="auto"/>
        </w:rPr>
      </w:pPr>
    </w:p>
    <w:p>
      <w:pPr>
        <w:ind w:right="100" w:firstLine="428"/>
        <w:spacing w:after="0" w:line="257" w:lineRule="auto"/>
        <w:tabs>
          <w:tab w:leader="none" w:pos="668"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is or becomes or is deemed to be invalid, illegal or unenforceable in any jurisdiction,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80" w:lineRule="exact"/>
        <w:rPr>
          <w:rFonts w:ascii="Arial" w:cs="Arial" w:eastAsia="Arial" w:hAnsi="Arial"/>
          <w:sz w:val="18"/>
          <w:szCs w:val="18"/>
          <w:color w:val="auto"/>
        </w:rPr>
      </w:pPr>
    </w:p>
    <w:p>
      <w:pPr>
        <w:ind w:right="80" w:firstLine="428"/>
        <w:spacing w:after="0" w:line="273" w:lineRule="auto"/>
        <w:tabs>
          <w:tab w:leader="none" w:pos="678" w:val="left"/>
        </w:tabs>
        <w:numPr>
          <w:ilvl w:val="0"/>
          <w:numId w:val="224"/>
        </w:numPr>
        <w:rPr>
          <w:rFonts w:ascii="Arial" w:cs="Arial" w:eastAsia="Arial" w:hAnsi="Arial"/>
          <w:sz w:val="17"/>
          <w:szCs w:val="17"/>
          <w:color w:val="auto"/>
        </w:rPr>
      </w:pPr>
      <w:r>
        <w:rPr>
          <w:rFonts w:ascii="Arial" w:cs="Arial" w:eastAsia="Arial" w:hAnsi="Arial"/>
          <w:sz w:val="17"/>
          <w:szCs w:val="17"/>
          <w:i w:val="1"/>
          <w:iCs w:val="1"/>
          <w:color w:val="auto"/>
        </w:rPr>
        <w:t>Amendment; Waiver</w:t>
      </w:r>
      <w:r>
        <w:rPr>
          <w:rFonts w:ascii="Arial" w:cs="Arial" w:eastAsia="Arial" w:hAnsi="Arial"/>
          <w:sz w:val="17"/>
          <w:szCs w:val="17"/>
          <w:color w:val="auto"/>
        </w:rPr>
        <w:t>. No amendment or modification of any provision of this Agreement that has a material adverse effect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Participant shall be effective unless signed in writing by or on behalf of the Company and the Participant;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70" w:lineRule="exact"/>
        <w:rPr>
          <w:rFonts w:ascii="Arial" w:cs="Arial" w:eastAsia="Arial" w:hAnsi="Arial"/>
          <w:sz w:val="17"/>
          <w:szCs w:val="17"/>
          <w:color w:val="auto"/>
        </w:rPr>
      </w:pPr>
    </w:p>
    <w:p>
      <w:pPr>
        <w:ind w:right="720" w:firstLine="428"/>
        <w:spacing w:after="0" w:line="277" w:lineRule="auto"/>
        <w:tabs>
          <w:tab w:leader="none" w:pos="668"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Assignment</w:t>
      </w:r>
      <w:r>
        <w:rPr>
          <w:rFonts w:ascii="Arial" w:cs="Arial" w:eastAsia="Arial" w:hAnsi="Arial"/>
          <w:sz w:val="18"/>
          <w:szCs w:val="18"/>
          <w:color w:val="auto"/>
        </w:rPr>
        <w:t>. Neither this Agreement nor any right, remedy, obligation or liability arising hereunder or by reason hereof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by the Participant.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60"/>
          </w:cols>
          <w:pgMar w:left="880" w:top="273" w:right="459" w:bottom="1440" w:gutter="0" w:footer="0" w:header="0"/>
        </w:sectPr>
      </w:pPr>
    </w:p>
    <w:bookmarkStart w:id="323" w:name="page324"/>
    <w:bookmarkEnd w:id="323"/>
    <w:p>
      <w:pPr>
        <w:ind w:right="260" w:firstLine="428"/>
        <w:spacing w:after="0" w:line="302" w:lineRule="auto"/>
        <w:tabs>
          <w:tab w:leader="none" w:pos="648"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 No Third-Party Beneficiaries</w:t>
      </w:r>
      <w:r>
        <w:rPr>
          <w:rFonts w:ascii="Arial" w:cs="Arial" w:eastAsia="Arial" w:hAnsi="Arial"/>
          <w:sz w:val="16"/>
          <w:szCs w:val="16"/>
          <w:color w:val="auto"/>
        </w:rPr>
        <w:t>. This Agreement shall inure to the benefit of and be binding upon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46" w:lineRule="exact"/>
        <w:rPr>
          <w:rFonts w:ascii="Arial" w:cs="Arial" w:eastAsia="Arial" w:hAnsi="Arial"/>
          <w:sz w:val="16"/>
          <w:szCs w:val="16"/>
          <w:color w:val="auto"/>
        </w:rPr>
      </w:pPr>
    </w:p>
    <w:p>
      <w:pPr>
        <w:ind w:right="20" w:firstLine="428"/>
        <w:spacing w:after="0" w:line="257" w:lineRule="auto"/>
        <w:tabs>
          <w:tab w:leader="none" w:pos="678"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Governing Law; Waiver of Jury Trial</w:t>
      </w:r>
      <w:r>
        <w:rPr>
          <w:rFonts w:ascii="Arial" w:cs="Arial" w:eastAsia="Arial" w:hAnsi="Arial"/>
          <w:sz w:val="18"/>
          <w:szCs w:val="18"/>
          <w:color w:val="auto"/>
        </w:rPr>
        <w:t>. This Agreement shall be governed by the laws of the State of Delaware, without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80" w:lineRule="exact"/>
        <w:rPr>
          <w:rFonts w:ascii="Arial" w:cs="Arial" w:eastAsia="Arial" w:hAnsi="Arial"/>
          <w:sz w:val="18"/>
          <w:szCs w:val="18"/>
          <w:color w:val="auto"/>
        </w:rPr>
      </w:pPr>
    </w:p>
    <w:p>
      <w:pPr>
        <w:ind w:firstLine="428"/>
        <w:spacing w:after="0" w:line="269" w:lineRule="auto"/>
        <w:tabs>
          <w:tab w:leader="none" w:pos="67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Dispute Resolution</w:t>
      </w:r>
      <w:r>
        <w:rPr>
          <w:rFonts w:ascii="Arial" w:cs="Arial" w:eastAsia="Arial" w:hAnsi="Arial"/>
          <w:sz w:val="17"/>
          <w:szCs w:val="17"/>
          <w:color w:val="auto"/>
        </w:rPr>
        <w:t>. Any dispute or claim arising out of, under or in connection with the Plan or any Award Agreement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submitted to arbitration in Delaware and shall be conducted in accordance with the rules of, but not necessarily under the auspices of, the American Arbitration Association (“</w:t>
      </w:r>
      <w:r>
        <w:rPr>
          <w:rFonts w:ascii="Arial" w:cs="Arial" w:eastAsia="Arial" w:hAnsi="Arial"/>
          <w:sz w:val="17"/>
          <w:szCs w:val="17"/>
          <w:b w:val="1"/>
          <w:bCs w:val="1"/>
          <w:color w:val="auto"/>
        </w:rPr>
        <w:t>AAA</w:t>
      </w:r>
      <w:r>
        <w:rPr>
          <w:rFonts w:ascii="Arial" w:cs="Arial" w:eastAsia="Arial" w:hAnsi="Arial"/>
          <w:sz w:val="17"/>
          <w:szCs w:val="17"/>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74" w:lineRule="exact"/>
        <w:rPr>
          <w:rFonts w:ascii="Arial" w:cs="Arial" w:eastAsia="Arial" w:hAnsi="Arial"/>
          <w:sz w:val="17"/>
          <w:szCs w:val="17"/>
          <w:color w:val="auto"/>
        </w:rPr>
      </w:pPr>
    </w:p>
    <w:p>
      <w:pPr>
        <w:ind w:left="640" w:hanging="212"/>
        <w:spacing w:after="0"/>
        <w:tabs>
          <w:tab w:leader="none" w:pos="640"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Participant Undertaking; Acceptance</w:t>
      </w:r>
      <w:r>
        <w:rPr>
          <w:rFonts w:ascii="Arial" w:cs="Arial" w:eastAsia="Arial" w:hAnsi="Arial"/>
          <w:sz w:val="17"/>
          <w:szCs w:val="17"/>
          <w:color w:val="auto"/>
        </w:rPr>
        <w:t>. The Participant agrees to take whatever additional action and execute whatever additional</w:t>
      </w:r>
    </w:p>
    <w:p>
      <w:pPr>
        <w:spacing w:after="0" w:line="34" w:lineRule="exact"/>
        <w:rPr>
          <w:rFonts w:ascii="Arial" w:cs="Arial" w:eastAsia="Arial" w:hAnsi="Arial"/>
          <w:sz w:val="17"/>
          <w:szCs w:val="17"/>
          <w:color w:val="auto"/>
        </w:rPr>
      </w:pPr>
    </w:p>
    <w:p>
      <w:pPr>
        <w:ind w:right="20"/>
        <w:spacing w:after="0" w:line="273" w:lineRule="auto"/>
        <w:rPr>
          <w:rFonts w:ascii="Arial" w:cs="Arial" w:eastAsia="Arial" w:hAnsi="Arial"/>
          <w:sz w:val="17"/>
          <w:szCs w:val="17"/>
          <w:color w:val="auto"/>
        </w:rPr>
      </w:pPr>
      <w:r>
        <w:rPr>
          <w:rFonts w:ascii="Arial" w:cs="Arial" w:eastAsia="Arial" w:hAnsi="Arial"/>
          <w:sz w:val="17"/>
          <w:szCs w:val="17"/>
          <w:color w:val="auto"/>
        </w:rPr>
        <w:t>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580"/>
          </w:cols>
          <w:pgMar w:left="880" w:top="273" w:right="439" w:bottom="1440" w:gutter="0" w:footer="0" w:header="0"/>
        </w:sectPr>
      </w:pPr>
    </w:p>
    <w:bookmarkStart w:id="324" w:name="page325"/>
    <w:bookmarkEnd w:id="324"/>
    <w:p>
      <w:pPr>
        <w:ind w:left="-100" w:firstLine="428"/>
        <w:spacing w:after="0" w:line="277" w:lineRule="auto"/>
        <w:tabs>
          <w:tab w:leader="none" w:pos="538"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Captions</w:t>
      </w:r>
      <w:r>
        <w:rPr>
          <w:rFonts w:ascii="Arial" w:cs="Arial" w:eastAsia="Arial" w:hAnsi="Arial"/>
          <w:sz w:val="18"/>
          <w:szCs w:val="18"/>
          <w:color w:val="auto"/>
        </w:rPr>
        <w:t>. Captions provided herein are for convenience only and shall not affect the scope, meaning, intent or interpretation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Award Agreement.</w:t>
      </w:r>
    </w:p>
    <w:p>
      <w:pPr>
        <w:spacing w:after="0" w:line="62" w:lineRule="exact"/>
        <w:rPr>
          <w:rFonts w:ascii="Arial" w:cs="Arial" w:eastAsia="Arial" w:hAnsi="Arial"/>
          <w:sz w:val="18"/>
          <w:szCs w:val="18"/>
          <w:color w:val="auto"/>
        </w:rPr>
      </w:pPr>
    </w:p>
    <w:p>
      <w:pPr>
        <w:ind w:left="580" w:hanging="252"/>
        <w:spacing w:after="0"/>
        <w:tabs>
          <w:tab w:leader="none" w:pos="580"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two counterparts, each of which shall constitute one and the same instrument.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9940"/>
          </w:cols>
          <w:pgMar w:left="980" w:top="274" w:right="979" w:bottom="1440" w:gutter="0" w:footer="0" w:header="0"/>
        </w:sectPr>
      </w:pPr>
    </w:p>
    <w:bookmarkStart w:id="325" w:name="page326"/>
    <w:bookmarkEnd w:id="3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day and year first written above.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289560</wp:posOffset>
            </wp:positionV>
            <wp:extent cx="25641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1"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[Signature Page to RSA Award Agreement]</w:t>
      </w:r>
    </w:p>
    <w:p>
      <w:pPr>
        <w:sectPr>
          <w:pgSz w:w="11900" w:h="16838" w:orient="portrait"/>
          <w:cols w:equalWidth="0" w:num="1">
            <w:col w:w="10020"/>
          </w:cols>
          <w:pgMar w:left="440" w:top="274" w:right="14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PERFORMANCE SHARE UNIT AWARD</w:t>
      </w:r>
    </w:p>
    <w:p>
      <w:pPr>
        <w:spacing w:after="0" w:line="229"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[DATE]</w:t>
      </w:r>
    </w:p>
    <w:p>
      <w:pPr>
        <w:spacing w:after="0" w:line="233"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Reynolds Consumer Products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granted the Participant, effective as of the Grant Date (as set forth below), a Performance Share Unit Award (the “</w:t>
      </w:r>
      <w:r>
        <w:rPr>
          <w:rFonts w:ascii="Arial" w:cs="Arial" w:eastAsia="Arial" w:hAnsi="Arial"/>
          <w:sz w:val="18"/>
          <w:szCs w:val="18"/>
          <w:b w:val="1"/>
          <w:bCs w:val="1"/>
          <w:color w:val="auto"/>
        </w:rPr>
        <w:t>Award</w:t>
      </w:r>
      <w:r>
        <w:rPr>
          <w:rFonts w:ascii="Arial" w:cs="Arial" w:eastAsia="Arial" w:hAnsi="Arial"/>
          <w:sz w:val="18"/>
          <w:szCs w:val="18"/>
          <w:color w:val="auto"/>
        </w:rPr>
        <w:t>”) under the Reynolds Consumer Products Inc. 2019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The Award is subject to the terms and conditions set forth in this award grant letter (this “</w:t>
      </w:r>
      <w:r>
        <w:rPr>
          <w:rFonts w:ascii="Arial" w:cs="Arial" w:eastAsia="Arial" w:hAnsi="Arial"/>
          <w:sz w:val="18"/>
          <w:szCs w:val="18"/>
          <w:b w:val="1"/>
          <w:bCs w:val="1"/>
          <w:color w:val="auto"/>
        </w:rPr>
        <w:t>Grant Letter</w:t>
      </w:r>
      <w:r>
        <w:rPr>
          <w:rFonts w:ascii="Arial" w:cs="Arial" w:eastAsia="Arial" w:hAnsi="Arial"/>
          <w:sz w:val="18"/>
          <w:szCs w:val="18"/>
          <w:color w:val="auto"/>
        </w:rPr>
        <w:t xml:space="preserve">”), the Performance Share Unit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all exhibits and appendices thereto) (the “</w:t>
      </w:r>
      <w:r>
        <w:rPr>
          <w:rFonts w:ascii="Arial" w:cs="Arial" w:eastAsia="Arial" w:hAnsi="Arial"/>
          <w:sz w:val="18"/>
          <w:szCs w:val="18"/>
          <w:b w:val="1"/>
          <w:bCs w:val="1"/>
          <w:color w:val="auto"/>
        </w:rPr>
        <w:t>Award Agreement</w:t>
      </w:r>
      <w:r>
        <w:rPr>
          <w:rFonts w:ascii="Arial" w:cs="Arial" w:eastAsia="Arial" w:hAnsi="Arial"/>
          <w:sz w:val="18"/>
          <w:szCs w:val="18"/>
          <w:color w:val="auto"/>
        </w:rPr>
        <w:t>” and, together with this Grant Letter,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TERMS</w:t>
      </w:r>
    </w:p>
    <w:p>
      <w:pPr>
        <w:spacing w:after="0" w:line="25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Number of Performance </w:t>
      </w:r>
      <w:r>
        <w:rPr>
          <w:rFonts w:ascii="Arial" w:cs="Arial" w:eastAsia="Arial" w:hAnsi="Arial"/>
          <w:sz w:val="16"/>
          <w:szCs w:val="16"/>
          <w:color w:val="auto"/>
        </w:rPr>
        <w:t>[●] is the target number of performance share units (the “</w:t>
      </w:r>
      <w:r>
        <w:rPr>
          <w:rFonts w:ascii="Arial" w:cs="Arial" w:eastAsia="Arial" w:hAnsi="Arial"/>
          <w:sz w:val="16"/>
          <w:szCs w:val="16"/>
          <w:b w:val="1"/>
          <w:bCs w:val="1"/>
          <w:color w:val="auto"/>
        </w:rPr>
        <w:t>PSUs</w:t>
      </w:r>
      <w:r>
        <w:rPr>
          <w:rFonts w:ascii="Arial" w:cs="Arial" w:eastAsia="Arial" w:hAnsi="Arial"/>
          <w:sz w:val="16"/>
          <w:szCs w:val="16"/>
          <w:color w:val="auto"/>
        </w:rPr>
        <w:t>”) granted under this Award. PSUs shall be settled in</w:t>
      </w:r>
    </w:p>
    <w:p>
      <w:pPr>
        <w:spacing w:after="0" w:line="50" w:lineRule="exact"/>
        <w:rPr>
          <w:sz w:val="20"/>
          <w:szCs w:val="20"/>
          <w:color w:val="auto"/>
        </w:rPr>
      </w:pPr>
    </w:p>
    <w:p>
      <w:pPr>
        <w:ind w:left="2540" w:right="20" w:hanging="2538"/>
        <w:spacing w:after="0" w:line="253" w:lineRule="auto"/>
        <w:tabs>
          <w:tab w:leader="none" w:pos="2520" w:val="left"/>
        </w:tabs>
        <w:rPr>
          <w:sz w:val="20"/>
          <w:szCs w:val="20"/>
          <w:color w:val="auto"/>
        </w:rPr>
      </w:pPr>
      <w:r>
        <w:rPr>
          <w:rFonts w:ascii="Arial" w:cs="Arial" w:eastAsia="Arial" w:hAnsi="Arial"/>
          <w:sz w:val="18"/>
          <w:szCs w:val="18"/>
          <w:b w:val="1"/>
          <w:bCs w:val="1"/>
          <w:color w:val="auto"/>
        </w:rPr>
        <w:t>Share Units:</w:t>
      </w:r>
      <w:r>
        <w:rPr>
          <w:sz w:val="20"/>
          <w:szCs w:val="20"/>
          <w:color w:val="auto"/>
        </w:rPr>
        <w:tab/>
      </w:r>
      <w:r>
        <w:rPr>
          <w:rFonts w:ascii="Arial" w:cs="Arial" w:eastAsia="Arial" w:hAnsi="Arial"/>
          <w:sz w:val="18"/>
          <w:szCs w:val="18"/>
          <w:color w:val="auto"/>
        </w:rPr>
        <w:t xml:space="preserve">Shares at a range from zero percent (0%) to [●] percent ([●]%) of target based on the achieved results against the Performance Condition set forth on Attachment A to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settlement shall occur unless both (i) Participant does not experience a Termination of Service at any time prior to the applicable Vesting Date and (ii) the minimum Performance Condition (as such term is defined below) is satisfied. Each PSU shall correspond to a single Share.</w:t>
      </w:r>
    </w:p>
    <w:p>
      <w:pPr>
        <w:sectPr>
          <w:pgSz w:w="11900" w:h="16838" w:orient="portrait"/>
          <w:cols w:equalWidth="0" w:num="1">
            <w:col w:w="11020"/>
          </w:cols>
          <w:pgMar w:left="440" w:top="121" w:right="4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(the “</w:t>
      </w:r>
      <w:r>
        <w:rPr>
          <w:rFonts w:ascii="Arial" w:cs="Arial" w:eastAsia="Arial" w:hAnsi="Arial"/>
          <w:sz w:val="17"/>
          <w:szCs w:val="17"/>
          <w:b w:val="1"/>
          <w:bCs w:val="1"/>
          <w:color w:val="auto"/>
        </w:rPr>
        <w:t>Grant Date</w:t>
      </w:r>
      <w:r>
        <w:rPr>
          <w:rFonts w:ascii="Arial" w:cs="Arial" w:eastAsia="Arial" w:hAnsi="Arial"/>
          <w:sz w:val="17"/>
          <w:szCs w:val="17"/>
          <w:color w:val="auto"/>
        </w:rPr>
        <w:t>”)</w:t>
      </w:r>
    </w:p>
    <w:p>
      <w:pPr>
        <w:spacing w:after="0" w:line="129"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Performance Period shall be three (3) years from the Grant Date.</w:t>
      </w:r>
    </w:p>
    <w:p>
      <w:pPr>
        <w:spacing w:after="0" w:line="136"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Performance Condition:</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The Award shall be subject to satisfaction of the Performance Condition as set forth on Attachment A to the Award Agreement, subject to the terms set forth in the Award Agreement.</w:t>
      </w:r>
    </w:p>
    <w:p>
      <w:pPr>
        <w:spacing w:after="0" w:line="58" w:lineRule="exact"/>
        <w:rPr>
          <w:sz w:val="20"/>
          <w:szCs w:val="20"/>
          <w:color w:val="auto"/>
        </w:rPr>
      </w:pPr>
    </w:p>
    <w:p>
      <w:pPr>
        <w:sectPr>
          <w:pgSz w:w="11900" w:h="16838" w:orient="portrait"/>
          <w:cols w:equalWidth="0" w:num="2">
            <w:col w:w="1880" w:space="66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ind w:right="540"/>
        <w:spacing w:after="0" w:line="264" w:lineRule="auto"/>
        <w:rPr>
          <w:sz w:val="20"/>
          <w:szCs w:val="20"/>
          <w:color w:val="auto"/>
        </w:rPr>
      </w:pPr>
      <w:r>
        <w:rPr>
          <w:rFonts w:ascii="Arial" w:cs="Arial" w:eastAsia="Arial" w:hAnsi="Arial"/>
          <w:sz w:val="18"/>
          <w:szCs w:val="18"/>
          <w:color w:val="auto"/>
        </w:rPr>
        <w:t>Subject to the terms and conditions of the Award Agreement (including the satisfaction of the Performance Condition), the Shares subject to the Award shall vest on the third anniversary of the Grant Date (the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ectPr>
          <w:pgSz w:w="11900" w:h="16838" w:orient="portrait"/>
          <w:cols w:equalWidth="0" w:num="2">
            <w:col w:w="1820" w:space="720"/>
            <w:col w:w="8480"/>
          </w:cols>
          <w:pgMar w:left="440" w:top="121" w:right="439" w:bottom="1440" w:gutter="0" w:footer="0" w:header="0"/>
          <w:type w:val="continuous"/>
        </w:sectPr>
      </w:pPr>
    </w:p>
    <w:bookmarkStart w:id="327" w:name="page328"/>
    <w:bookmarkEnd w:id="32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you have questions please contact [●], the Company’s [●] via email at [●]. Otherwise, please provide your signature, address and the date for this Agreement where indicated below.</w:t>
      </w:r>
    </w:p>
    <w:p>
      <w:pPr>
        <w:sectPr>
          <w:pgSz w:w="11900" w:h="16838" w:orient="portrait"/>
          <w:cols w:equalWidth="0" w:num="1">
            <w:col w:w="10820"/>
          </w:cols>
          <w:pgMar w:left="440" w:top="273" w:right="6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This Performance Share Unit Award Agreement (together with all exhibits and appendices hereto, this “</w:t>
      </w:r>
      <w:r>
        <w:rPr>
          <w:rFonts w:ascii="Arial" w:cs="Arial" w:eastAsia="Arial" w:hAnsi="Arial"/>
          <w:sz w:val="18"/>
          <w:szCs w:val="18"/>
          <w:b w:val="1"/>
          <w:bCs w:val="1"/>
          <w:color w:val="auto"/>
        </w:rPr>
        <w:t>Award Agreement</w:t>
      </w:r>
      <w:r>
        <w:rPr>
          <w:rFonts w:ascii="Arial" w:cs="Arial" w:eastAsia="Arial" w:hAnsi="Arial"/>
          <w:sz w:val="18"/>
          <w:szCs w:val="18"/>
          <w:color w:val="auto"/>
        </w:rPr>
        <w:t>”), dated as of the date of the Grant Letter, is by and between the Company, and the individual listed in the Grant Letter as the Participant.</w:t>
      </w:r>
    </w:p>
    <w:p>
      <w:pPr>
        <w:spacing w:after="0" w:line="16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the Company hereby grants the Award to the Participant under the Plan, and the Participant hereby accepts the Award, in each case, subject to the terms and conditions of the Plan and this Agreement; and</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NOW, THEREFORE, in consideration of the promises and mutual covenants contained herein, and for other good and valuable consideration, the parties hereto agree as follows.</w:t>
      </w:r>
    </w:p>
    <w:p>
      <w:pPr>
        <w:spacing w:after="0" w:line="58" w:lineRule="exact"/>
        <w:rPr>
          <w:sz w:val="20"/>
          <w:szCs w:val="20"/>
          <w:color w:val="auto"/>
        </w:rPr>
      </w:pPr>
    </w:p>
    <w:p>
      <w:pPr>
        <w:ind w:right="40" w:firstLine="444"/>
        <w:spacing w:after="0" w:line="266" w:lineRule="auto"/>
        <w:tabs>
          <w:tab w:leader="none" w:pos="621"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Grant of Award</w:t>
      </w:r>
      <w:r>
        <w:rPr>
          <w:rFonts w:ascii="Arial" w:cs="Arial" w:eastAsia="Arial" w:hAnsi="Arial"/>
          <w:sz w:val="18"/>
          <w:szCs w:val="18"/>
          <w:color w:val="auto"/>
        </w:rPr>
        <w:t>. The Company hereby grants to the Participant on the Grant Date the aggregate number of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Grant Letter, subject to the terms and conditions of the Plan and this Agreement. This Award is granted under the Plan, the provisions of which are incorporated herein by reference and made a part of this Agreement.</w:t>
      </w:r>
    </w:p>
    <w:p>
      <w:pPr>
        <w:spacing w:after="0" w:line="72" w:lineRule="exact"/>
        <w:rPr>
          <w:rFonts w:ascii="Arial" w:cs="Arial" w:eastAsia="Arial" w:hAnsi="Arial"/>
          <w:sz w:val="18"/>
          <w:szCs w:val="18"/>
          <w:color w:val="auto"/>
        </w:rPr>
      </w:pPr>
    </w:p>
    <w:p>
      <w:pPr>
        <w:ind w:right="320" w:firstLine="444"/>
        <w:spacing w:after="0" w:line="264" w:lineRule="auto"/>
        <w:tabs>
          <w:tab w:leader="none" w:pos="621"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Issuance of PSUs</w:t>
      </w:r>
      <w:r>
        <w:rPr>
          <w:rFonts w:ascii="Arial" w:cs="Arial" w:eastAsia="Arial" w:hAnsi="Arial"/>
          <w:sz w:val="18"/>
          <w:szCs w:val="18"/>
          <w:color w:val="auto"/>
        </w:rPr>
        <w:t>. To the extent that the Award has vested, the PSUs associated with such Award shall be settled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the “</w:t>
      </w:r>
      <w:r>
        <w:rPr>
          <w:rFonts w:ascii="Arial" w:cs="Arial" w:eastAsia="Arial" w:hAnsi="Arial"/>
          <w:sz w:val="18"/>
          <w:szCs w:val="18"/>
          <w:b w:val="1"/>
          <w:bCs w:val="1"/>
          <w:color w:val="auto"/>
        </w:rPr>
        <w:t>Performance Condition</w:t>
      </w:r>
      <w:r>
        <w:rPr>
          <w:rFonts w:ascii="Arial" w:cs="Arial" w:eastAsia="Arial" w:hAnsi="Arial"/>
          <w:sz w:val="18"/>
          <w:szCs w:val="18"/>
          <w:color w:val="auto"/>
        </w:rPr>
        <w:t xml:space="preserve">” (as detailed in this Agreement or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to this Agreement), determined in accordance with and subject to the terms of this Award Agreement and the Plan.</w:t>
      </w:r>
    </w:p>
    <w:p>
      <w:pPr>
        <w:spacing w:after="0" w:line="73" w:lineRule="exact"/>
        <w:rPr>
          <w:rFonts w:ascii="Arial" w:cs="Arial" w:eastAsia="Arial" w:hAnsi="Arial"/>
          <w:sz w:val="18"/>
          <w:szCs w:val="18"/>
          <w:color w:val="auto"/>
        </w:rPr>
      </w:pPr>
    </w:p>
    <w:p>
      <w:pPr>
        <w:ind w:left="620" w:hanging="176"/>
        <w:spacing w:after="0"/>
        <w:tabs>
          <w:tab w:leader="none" w:pos="620"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It is understood and agreed that the Award evidenced hereby is subject to the following terms and conditions:</w:t>
      </w:r>
    </w:p>
    <w:p>
      <w:pPr>
        <w:spacing w:after="0" w:line="128" w:lineRule="exact"/>
        <w:rPr>
          <w:rFonts w:ascii="Arial" w:cs="Arial" w:eastAsia="Arial" w:hAnsi="Arial"/>
          <w:sz w:val="17"/>
          <w:szCs w:val="17"/>
          <w:color w:val="auto"/>
        </w:rPr>
      </w:pPr>
    </w:p>
    <w:p>
      <w:pPr>
        <w:ind w:left="440" w:right="80" w:firstLine="428"/>
        <w:spacing w:after="0" w:line="264" w:lineRule="auto"/>
        <w:tabs>
          <w:tab w:leader="none" w:pos="1108"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Vesting of Award</w:t>
      </w:r>
      <w:r>
        <w:rPr>
          <w:rFonts w:ascii="Arial" w:cs="Arial" w:eastAsia="Arial" w:hAnsi="Arial"/>
          <w:sz w:val="18"/>
          <w:szCs w:val="18"/>
          <w:color w:val="auto"/>
        </w:rPr>
        <w:t>. Subject to Sections 4, 5, 6 and 11, the Award shall vest and become non-forfeitable in accordance with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set forth in the Grant Letter, subject to (i) the satisfaction of the Performance Condition and (ii) the Participant’s continuous service with the Company or any of its Affiliates through the Vesting Date.</w:t>
      </w:r>
    </w:p>
    <w:p>
      <w:pPr>
        <w:spacing w:after="0" w:line="73" w:lineRule="exact"/>
        <w:rPr>
          <w:rFonts w:ascii="Arial" w:cs="Arial" w:eastAsia="Arial" w:hAnsi="Arial"/>
          <w:sz w:val="18"/>
          <w:szCs w:val="18"/>
          <w:color w:val="auto"/>
        </w:rPr>
      </w:pPr>
    </w:p>
    <w:p>
      <w:pPr>
        <w:ind w:left="440" w:right="180" w:firstLine="428"/>
        <w:spacing w:after="0" w:line="264" w:lineRule="auto"/>
        <w:tabs>
          <w:tab w:leader="none" w:pos="1118"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Participant shall have no voting rights or any other rights as a shareholder of the Company with respect to the PSUs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the Participant becomes the record owner of the Shares, including Dividend Shares (as defined below) to the extent applicable, underlying such PSUs.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69" w:right="439" w:bottom="1440" w:gutter="0" w:footer="0" w:header="0"/>
        </w:sectPr>
      </w:pPr>
    </w:p>
    <w:bookmarkStart w:id="329" w:name="page330"/>
    <w:bookmarkEnd w:id="329"/>
    <w:p>
      <w:pPr>
        <w:ind w:firstLine="428"/>
        <w:spacing w:after="0" w:line="291" w:lineRule="auto"/>
        <w:tabs>
          <w:tab w:leader="none" w:pos="668"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 Shares</w:t>
      </w:r>
      <w:r>
        <w:rPr>
          <w:rFonts w:ascii="Arial" w:cs="Arial" w:eastAsia="Arial" w:hAnsi="Arial"/>
          <w:sz w:val="16"/>
          <w:szCs w:val="16"/>
          <w:color w:val="auto"/>
        </w:rPr>
        <w:t>. If a dividend is paid on Shares during the period commencing on the Grant Date and ending on the date 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underlying the PSUs are distributed to the Participant pursuant to Section 3(d), the Participant shall be eligible to receive an amount equal to the dividend that the Participant would have received had the Shares underlying the PSUs been distributed to the Participant immediately prior to the record date with respect to such dividend payment, with such amount reinvested in Shares;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amount shall be payable with respect to any PSUs that are forfeited. Such amount shall be paid to the Participant on the date on which the Shares underlying the PSUs are distributed to the Participant in the same form (cash, Shares or other property) in which such dividend is paid to holders of Shares generally. Any Shares that the Participant is eligible to receive pursuant to this Section 3(c) are referred to herein as “</w:t>
      </w:r>
      <w:r>
        <w:rPr>
          <w:rFonts w:ascii="Arial" w:cs="Arial" w:eastAsia="Arial" w:hAnsi="Arial"/>
          <w:sz w:val="16"/>
          <w:szCs w:val="16"/>
          <w:b w:val="1"/>
          <w:bCs w:val="1"/>
          <w:color w:val="auto"/>
        </w:rPr>
        <w:t>Dividend Shares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firstLine="428"/>
        <w:spacing w:after="0" w:line="291" w:lineRule="auto"/>
        <w:tabs>
          <w:tab w:leader="none" w:pos="678"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Distribution on Vesting</w:t>
      </w:r>
      <w:r>
        <w:rPr>
          <w:rFonts w:ascii="Arial" w:cs="Arial" w:eastAsia="Arial" w:hAnsi="Arial"/>
          <w:sz w:val="16"/>
          <w:szCs w:val="16"/>
          <w:color w:val="auto"/>
        </w:rPr>
        <w:t>. Subject to the provisions of this Agreement, upon the vesting of any of the PSUs, the Company shall deliver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Participant, as soon as reasonably practicable after the applicable Vesting Date (or the date of the Participant’s Termination of Service, as applicable), one Share for each such PSU and the number of Dividend Shares (as determined in accordance with Section 3(c));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delivery of Shares shall be made no later than March 15 of the calendar year immediately following the year in which the applicable Vesting Date (or the date of the Participant’s Termination of Service, as applicable) occurs. Upon such delivery, such Shares (including Dividend Shares) shall be fully assignable, alienable, saleable and transferrable by the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assignment, alienation, sale, transfer or other alienation with respect to such Shares shall be in accordance with applicable securities laws and any applicable Company policy.</w:t>
      </w:r>
    </w:p>
    <w:p>
      <w:pPr>
        <w:spacing w:after="0" w:line="59" w:lineRule="exact"/>
        <w:rPr>
          <w:rFonts w:ascii="Arial" w:cs="Arial" w:eastAsia="Arial" w:hAnsi="Arial"/>
          <w:sz w:val="16"/>
          <w:szCs w:val="16"/>
          <w:color w:val="auto"/>
        </w:rPr>
      </w:pPr>
    </w:p>
    <w:p>
      <w:pPr>
        <w:ind w:right="40" w:firstLine="428"/>
        <w:spacing w:after="0" w:line="289" w:lineRule="auto"/>
        <w:tabs>
          <w:tab w:leader="none" w:pos="668"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Adjustment in Capitalization</w:t>
      </w:r>
      <w:r>
        <w:rPr>
          <w:rFonts w:ascii="Arial" w:cs="Arial" w:eastAsia="Arial" w:hAnsi="Arial"/>
          <w:sz w:val="16"/>
          <w:szCs w:val="16"/>
          <w:color w:val="auto"/>
        </w:rPr>
        <w:t>. In the event that, as a result of any dividend (other than ordinary cash dividends) or other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PSUs in a manner which would cause the PSUs to be subject to the provisions of Section 409A or 457A of the Code.</w:t>
      </w:r>
    </w:p>
    <w:p>
      <w:pPr>
        <w:spacing w:after="0" w:line="9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500"/>
          </w:cols>
          <w:pgMar w:left="880" w:top="274" w:right="519" w:bottom="1440" w:gutter="0" w:footer="0" w:header="0"/>
        </w:sectPr>
      </w:pPr>
    </w:p>
    <w:bookmarkStart w:id="330" w:name="page331"/>
    <w:bookmarkEnd w:id="330"/>
    <w:p>
      <w:pPr>
        <w:ind w:left="400" w:firstLine="428"/>
        <w:spacing w:after="0" w:line="259" w:lineRule="auto"/>
        <w:tabs>
          <w:tab w:leader="none" w:pos="1048"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Transferability</w:t>
      </w:r>
      <w:r>
        <w:rPr>
          <w:rFonts w:ascii="Arial" w:cs="Arial" w:eastAsia="Arial" w:hAnsi="Arial"/>
          <w:sz w:val="18"/>
          <w:szCs w:val="18"/>
          <w:color w:val="auto"/>
        </w:rPr>
        <w:t>. Except as may be permitted by the Committee, neither this Award nor any right under this Award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78" w:lineRule="exact"/>
        <w:rPr>
          <w:rFonts w:ascii="Arial" w:cs="Arial" w:eastAsia="Arial" w:hAnsi="Arial"/>
          <w:sz w:val="18"/>
          <w:szCs w:val="18"/>
          <w:color w:val="auto"/>
        </w:rPr>
      </w:pPr>
    </w:p>
    <w:p>
      <w:pPr>
        <w:ind w:left="400" w:right="140" w:firstLine="428"/>
        <w:spacing w:after="0" w:line="264" w:lineRule="auto"/>
        <w:tabs>
          <w:tab w:leader="none" w:pos="1078"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The grant of an Award shall not be construed as giving the Participant the right to be retained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 of, or to continue to provide services to, the Company or any of its Affiliates. The receipt of any Award under the Plan is not intended to confer any rights on the receiving Participant except as set forth in the applicable Agreement.</w:t>
      </w:r>
    </w:p>
    <w:p>
      <w:pPr>
        <w:spacing w:after="0" w:line="73" w:lineRule="exact"/>
        <w:rPr>
          <w:rFonts w:ascii="Arial" w:cs="Arial" w:eastAsia="Arial" w:hAnsi="Arial"/>
          <w:sz w:val="18"/>
          <w:szCs w:val="18"/>
          <w:color w:val="auto"/>
        </w:rPr>
      </w:pPr>
    </w:p>
    <w:p>
      <w:pPr>
        <w:ind w:left="400" w:right="280" w:firstLine="428"/>
        <w:spacing w:after="0" w:line="277" w:lineRule="auto"/>
        <w:tabs>
          <w:tab w:leader="none" w:pos="1078"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No Right to Future Awards</w:t>
      </w:r>
      <w:r>
        <w:rPr>
          <w:rFonts w:ascii="Arial" w:cs="Arial" w:eastAsia="Arial" w:hAnsi="Arial"/>
          <w:sz w:val="18"/>
          <w:szCs w:val="18"/>
          <w:color w:val="auto"/>
        </w:rPr>
        <w:t>. Any Award granted under the Plan shall be a one-time Award that does not constitute a promise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The Company, in its sole discretion, maintains the right to make available future grants under the Plan.</w:t>
      </w:r>
    </w:p>
    <w:p>
      <w:pPr>
        <w:spacing w:after="0" w:line="62" w:lineRule="exact"/>
        <w:rPr>
          <w:rFonts w:ascii="Arial" w:cs="Arial" w:eastAsia="Arial" w:hAnsi="Arial"/>
          <w:sz w:val="18"/>
          <w:szCs w:val="18"/>
          <w:color w:val="auto"/>
        </w:rPr>
      </w:pPr>
    </w:p>
    <w:p>
      <w:pPr>
        <w:ind w:left="-40" w:right="60" w:firstLine="444"/>
        <w:spacing w:after="0" w:line="264" w:lineRule="auto"/>
        <w:tabs>
          <w:tab w:leader="none" w:pos="581"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otherwise provided in Section 5, in the event of the Participant’s Termination of Service for any reason,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73" w:lineRule="exact"/>
        <w:rPr>
          <w:rFonts w:ascii="Arial" w:cs="Arial" w:eastAsia="Arial" w:hAnsi="Arial"/>
          <w:sz w:val="18"/>
          <w:szCs w:val="18"/>
          <w:color w:val="auto"/>
        </w:rPr>
      </w:pPr>
    </w:p>
    <w:p>
      <w:pPr>
        <w:ind w:left="-40" w:right="60" w:firstLine="444"/>
        <w:spacing w:after="0" w:line="254" w:lineRule="auto"/>
        <w:tabs>
          <w:tab w:leader="none" w:pos="581"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Vesting Acceleration Upon Termination due to Death or Retirement</w:t>
      </w:r>
      <w:r>
        <w:rPr>
          <w:rFonts w:ascii="Arial" w:cs="Arial" w:eastAsia="Arial" w:hAnsi="Arial"/>
          <w:sz w:val="18"/>
          <w:szCs w:val="18"/>
          <w:color w:val="auto"/>
        </w:rPr>
        <w:t>. Notwithstanding the foregoing and any other provisions of the Plan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contrary, in the event of the Participant’s Termination of Service due to the Participant’s death or Retirement (in the case of Retirement, subject to the Participant’s execution and non-revocation of a customary release of claims in favor of the Company and its Affiliates), any unvested PSUs shall vest effective as of the date of such Termination of Service based on the likely level of achievement of the Performance Condition, as determined in the sole discretion of the Committee, prorated based on a fraction, the numerator of which is the number of full calendar months the Participant has been employed from the Grant Date through the date of such Termination of Service, and the denominator of which is 36;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has been employed by the Company for at least twelve (12) months following the Grant Date. The Shares underlying the PSUs shall be distributed to the Participant pursuant to Section 3(d).</w:t>
      </w:r>
    </w:p>
    <w:p>
      <w:pPr>
        <w:spacing w:after="0" w:line="84" w:lineRule="exact"/>
        <w:rPr>
          <w:rFonts w:ascii="Arial" w:cs="Arial" w:eastAsia="Arial" w:hAnsi="Arial"/>
          <w:sz w:val="18"/>
          <w:szCs w:val="18"/>
          <w:color w:val="auto"/>
        </w:rPr>
      </w:pPr>
    </w:p>
    <w:p>
      <w:pPr>
        <w:ind w:left="-40" w:right="200" w:firstLine="444"/>
        <w:spacing w:after="0" w:line="302" w:lineRule="auto"/>
        <w:tabs>
          <w:tab w:leader="none" w:pos="581"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Notwithstanding any provision of this Agreement to the contrary in the event of a Change in Control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execution and non-revocation of a customary release of claims in favor of the Company and its Affiliates), any unvested PSUs shall vest effective as of the date of such Change in Control based on the likely level of achievement of the Performance Condition, as determined in the sole discretion of the Committee, and the Shares underlying the PSUs shall be distributed to the Participant pursuant to Section 3(d).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480" w:top="274" w:right="479" w:bottom="1440" w:gutter="0" w:footer="0" w:header="0"/>
        </w:sectPr>
      </w:pPr>
    </w:p>
    <w:bookmarkStart w:id="331" w:name="page332"/>
    <w:bookmarkEnd w:id="331"/>
    <w:p>
      <w:pPr>
        <w:ind w:left="616" w:hanging="176"/>
        <w:spacing w:after="0"/>
        <w:tabs>
          <w:tab w:leader="none" w:pos="616" w:val="left"/>
        </w:tabs>
        <w:numPr>
          <w:ilvl w:val="1"/>
          <w:numId w:val="2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Liability; Withholding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firstLine="428"/>
        <w:spacing w:after="0" w:line="264" w:lineRule="auto"/>
        <w:tabs>
          <w:tab w:leader="none" w:pos="110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The Participant shall be solely responsible for any applicable taxes (including, without limitation, income and excise taxes) and penalties, and any interest that accrues thereon, that the Participant incurs in connection with the receipt, vesting or distribution of any PSU granted hereunder.</w:t>
      </w:r>
    </w:p>
    <w:p>
      <w:pPr>
        <w:spacing w:after="0" w:line="73" w:lineRule="exact"/>
        <w:rPr>
          <w:rFonts w:ascii="Arial" w:cs="Arial" w:eastAsia="Arial" w:hAnsi="Arial"/>
          <w:sz w:val="18"/>
          <w:szCs w:val="18"/>
          <w:color w:val="auto"/>
        </w:rPr>
      </w:pPr>
    </w:p>
    <w:p>
      <w:pPr>
        <w:ind w:left="436" w:right="20" w:firstLine="428"/>
        <w:spacing w:after="0" w:line="283" w:lineRule="auto"/>
        <w:tabs>
          <w:tab w:leader="none" w:pos="1114" w:val="left"/>
        </w:tabs>
        <w:numPr>
          <w:ilvl w:val="2"/>
          <w:numId w:val="231"/>
        </w:numPr>
        <w:rPr>
          <w:rFonts w:ascii="Arial" w:cs="Arial" w:eastAsia="Arial" w:hAnsi="Arial"/>
          <w:sz w:val="16"/>
          <w:szCs w:val="16"/>
          <w:color w:val="auto"/>
        </w:rPr>
      </w:pPr>
      <w:r>
        <w:rPr>
          <w:rFonts w:ascii="Arial" w:cs="Arial" w:eastAsia="Arial" w:hAnsi="Arial"/>
          <w:sz w:val="16"/>
          <w:szCs w:val="16"/>
          <w:color w:val="auto"/>
        </w:rPr>
        <w:t>To the extent authorized by the Committee, the Company may withhold any tax (or other governmental obligation) that becomes due with respect to the PSUs (or any dividend distribution thereon) and take such action as it deems appropriate to ensure that all applicable withholding, income or other taxes, which are the sole and absolute responsibility of the Participant, are withheld or collected from the Participant and, unless otherwise determined by the Committee, to the extent such withholding would not result in liability classification of any portion of the Award pursuant to FASB ASC Subtopic 718-10. The Participant shall make arrangements satisfactory to the Company to enable the Company to satisfy all such withholding requirements. Notwithstanding the foregoing, the Committee may, in its sole discretion, permit the Participant to satisfy any such withholding requirement by transferring to the Company pursuant to such procedures as the Committee may require, effective as of the date on which such requirement arises, a number of vested Shares owned and designated by the Participant having an aggregate Fair Market Value as of such date that is at least equal to the minimum, and not more than the maximum, amount required to be withheld (including by authorizing the Company to withhold Shares that would otherwise be issuable or deliverable to the Participant as a result of the vesting of the Award), to the extent such withholding would not result in liability classification of any portion of the Award pursuant to FASB ASC Subtopic</w:t>
      </w:r>
    </w:p>
    <w:p>
      <w:pPr>
        <w:spacing w:after="0" w:line="4" w:lineRule="exact"/>
        <w:rPr>
          <w:rFonts w:ascii="Arial" w:cs="Arial" w:eastAsia="Arial" w:hAnsi="Arial"/>
          <w:sz w:val="16"/>
          <w:szCs w:val="16"/>
          <w:color w:val="auto"/>
        </w:rPr>
      </w:pPr>
    </w:p>
    <w:p>
      <w:pPr>
        <w:jc w:val="both"/>
        <w:ind w:left="436" w:right="260"/>
        <w:spacing w:after="0" w:line="277" w:lineRule="auto"/>
        <w:rPr>
          <w:rFonts w:ascii="Arial" w:cs="Arial" w:eastAsia="Arial" w:hAnsi="Arial"/>
          <w:sz w:val="16"/>
          <w:szCs w:val="16"/>
          <w:color w:val="auto"/>
        </w:rPr>
      </w:pPr>
      <w:r>
        <w:rPr>
          <w:rFonts w:ascii="Arial" w:cs="Arial" w:eastAsia="Arial" w:hAnsi="Arial"/>
          <w:sz w:val="17"/>
          <w:szCs w:val="17"/>
          <w:color w:val="auto"/>
        </w:rPr>
        <w:t>718-10. If the Committee permits the Participant to satisfy any such withholding requirement pursuant to the preceding sentence, the Company shall remit to the Internal Revenue Service and appropriate state and local revenue agencies, for the credit of the Participant, an amount of cash withholding equal to the Fair Market Value of the Shares transferred to the Company as provided above.</w:t>
      </w:r>
    </w:p>
    <w:p>
      <w:pPr>
        <w:spacing w:after="0" w:line="65" w:lineRule="exact"/>
        <w:rPr>
          <w:rFonts w:ascii="Arial" w:cs="Arial" w:eastAsia="Arial" w:hAnsi="Arial"/>
          <w:sz w:val="16"/>
          <w:szCs w:val="16"/>
          <w:color w:val="auto"/>
        </w:rPr>
      </w:pPr>
    </w:p>
    <w:p>
      <w:pPr>
        <w:ind w:left="616" w:hanging="176"/>
        <w:spacing w:after="0"/>
        <w:tabs>
          <w:tab w:leader="none" w:pos="616" w:val="left"/>
        </w:tabs>
        <w:numPr>
          <w:ilvl w:val="1"/>
          <w:numId w:val="231"/>
        </w:numPr>
        <w:rPr>
          <w:rFonts w:ascii="Arial" w:cs="Arial" w:eastAsia="Arial" w:hAnsi="Arial"/>
          <w:sz w:val="16"/>
          <w:szCs w:val="16"/>
          <w:color w:val="auto"/>
        </w:rPr>
      </w:pPr>
      <w:r>
        <w:rPr>
          <w:rFonts w:ascii="Arial" w:cs="Arial" w:eastAsia="Arial" w:hAnsi="Arial"/>
          <w:sz w:val="16"/>
          <w:szCs w:val="16"/>
          <w:i w:val="1"/>
          <w:iCs w:val="1"/>
          <w:color w:val="auto"/>
        </w:rPr>
        <w:t>Not Salary, Pensionable Earnings or Base Pay</w:t>
      </w:r>
      <w:r>
        <w:rPr>
          <w:rFonts w:ascii="Arial" w:cs="Arial" w:eastAsia="Arial" w:hAnsi="Arial"/>
          <w:sz w:val="16"/>
          <w:szCs w:val="16"/>
          <w:color w:val="auto"/>
        </w:rPr>
        <w:t>. The Participant acknowledges that the Award shall not be included in or deemed to be a part of</w:t>
      </w:r>
    </w:p>
    <w:p>
      <w:pPr>
        <w:spacing w:after="0" w:line="46" w:lineRule="exact"/>
        <w:rPr>
          <w:rFonts w:ascii="Arial" w:cs="Arial" w:eastAsia="Arial" w:hAnsi="Arial"/>
          <w:sz w:val="16"/>
          <w:szCs w:val="16"/>
          <w:color w:val="auto"/>
        </w:rPr>
      </w:pPr>
    </w:p>
    <w:p>
      <w:pPr>
        <w:ind w:left="-4" w:right="140" w:firstLine="4"/>
        <w:spacing w:after="0" w:line="302" w:lineRule="auto"/>
        <w:tabs>
          <w:tab w:leader="none" w:pos="24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8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16"/>
          </w:cols>
          <w:pgMar w:left="444" w:top="274" w:right="439" w:bottom="1440" w:gutter="0" w:footer="0" w:header="0"/>
        </w:sectPr>
      </w:pPr>
    </w:p>
    <w:bookmarkStart w:id="332" w:name="page333"/>
    <w:bookmarkEnd w:id="332"/>
    <w:p>
      <w:pPr>
        <w:ind w:right="80" w:firstLine="444"/>
        <w:spacing w:after="0" w:line="255" w:lineRule="auto"/>
        <w:tabs>
          <w:tab w:leader="none" w:pos="621"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Whistleblower Protection</w:t>
      </w:r>
      <w:r>
        <w:rPr>
          <w:rFonts w:ascii="Arial" w:cs="Arial" w:eastAsia="Arial" w:hAnsi="Arial"/>
          <w:sz w:val="18"/>
          <w:szCs w:val="18"/>
          <w:color w:val="auto"/>
        </w:rPr>
        <w:t>. The Participant has the right under federal law to certain protections for cooperating with or reporting legal</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to the SEC or its Office of the Whistleblower, as well as certain other governmental entities and self-regulatory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81" w:lineRule="exact"/>
        <w:rPr>
          <w:rFonts w:ascii="Arial" w:cs="Arial" w:eastAsia="Arial" w:hAnsi="Arial"/>
          <w:sz w:val="18"/>
          <w:szCs w:val="18"/>
          <w:color w:val="auto"/>
        </w:rPr>
      </w:pPr>
    </w:p>
    <w:p>
      <w:pPr>
        <w:ind w:right="400" w:firstLine="444"/>
        <w:spacing w:after="0" w:line="277"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The Company’s obligations under this Agreement is conditioned on the Participant signing a Restrictive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the form of Schedule A (the “</w:t>
      </w:r>
      <w:r>
        <w:rPr>
          <w:rFonts w:ascii="Arial" w:cs="Arial" w:eastAsia="Arial" w:hAnsi="Arial"/>
          <w:sz w:val="18"/>
          <w:szCs w:val="18"/>
          <w:b w:val="1"/>
          <w:bCs w:val="1"/>
          <w:color w:val="auto"/>
        </w:rPr>
        <w:t>Restrictive Covenant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Recoupment/Clawback</w:t>
      </w:r>
      <w:r>
        <w:rPr>
          <w:rFonts w:ascii="Arial" w:cs="Arial" w:eastAsia="Arial" w:hAnsi="Arial"/>
          <w:sz w:val="18"/>
          <w:szCs w:val="18"/>
          <w:color w:val="auto"/>
        </w:rPr>
        <w:t>. This Award (including any amounts or benefits arising from this Award) shall be subject to recoupment or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required by applicable law, stock exchange rules or by any applicable Company policy or arrangement the Company has in place from time to time.</w:t>
      </w:r>
    </w:p>
    <w:p>
      <w:pPr>
        <w:spacing w:after="0" w:line="73" w:lineRule="exact"/>
        <w:rPr>
          <w:rFonts w:ascii="Arial" w:cs="Arial" w:eastAsia="Arial" w:hAnsi="Arial"/>
          <w:sz w:val="18"/>
          <w:szCs w:val="18"/>
          <w:color w:val="auto"/>
        </w:rPr>
      </w:pPr>
    </w:p>
    <w:p>
      <w:pPr>
        <w:ind w:right="140" w:firstLine="444"/>
        <w:spacing w:after="0" w:line="257" w:lineRule="auto"/>
        <w:tabs>
          <w:tab w:leader="none" w:pos="711"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Release</w:t>
      </w:r>
      <w:r>
        <w:rPr>
          <w:rFonts w:ascii="Arial" w:cs="Arial" w:eastAsia="Arial" w:hAnsi="Arial"/>
          <w:sz w:val="18"/>
          <w:szCs w:val="18"/>
          <w:color w:val="auto"/>
        </w:rPr>
        <w:t>. In consideration of the grant of this Award, and as a condition for the Participant’s eligibility to receive this Award,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Participant shall have no further rights or interests in respect of any awards previously granted to the Participant by the Company or any of its Subsidiaries under any equity based plan, program or arrangement, and the Participant agrees that Participant fully and forever waives, releases and discharges the Company, its Subsidiaries and their respective affiliates, successors and assigns, from any and all claims relating to such awards under any such plans, programs or arrangements.</w:t>
      </w:r>
    </w:p>
    <w:p>
      <w:pPr>
        <w:spacing w:after="0" w:line="80" w:lineRule="exact"/>
        <w:rPr>
          <w:rFonts w:ascii="Arial" w:cs="Arial" w:eastAsia="Arial" w:hAnsi="Arial"/>
          <w:sz w:val="18"/>
          <w:szCs w:val="18"/>
          <w:color w:val="auto"/>
        </w:rPr>
      </w:pPr>
    </w:p>
    <w:p>
      <w:pPr>
        <w:ind w:left="720" w:hanging="276"/>
        <w:spacing w:after="0"/>
        <w:tabs>
          <w:tab w:leader="none" w:pos="720"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References</w:t>
      </w:r>
      <w:r>
        <w:rPr>
          <w:rFonts w:ascii="Arial" w:cs="Arial" w:eastAsia="Arial" w:hAnsi="Arial"/>
          <w:sz w:val="17"/>
          <w:szCs w:val="17"/>
          <w:color w:val="auto"/>
        </w:rPr>
        <w:t>. References herein to rights and obligations of the Participant shall apply, where appropriate, to the Participant’s legal</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representative or estate without regard to whether specific reference to such legal representative or estate is contained in a particular provision of this Agreement.</w:t>
      </w:r>
    </w:p>
    <w:p>
      <w:pPr>
        <w:spacing w:after="0" w:line="75" w:lineRule="exact"/>
        <w:rPr>
          <w:rFonts w:ascii="Arial" w:cs="Arial" w:eastAsia="Arial" w:hAnsi="Arial"/>
          <w:sz w:val="17"/>
          <w:szCs w:val="17"/>
          <w:color w:val="auto"/>
        </w:rPr>
      </w:pPr>
    </w:p>
    <w:p>
      <w:pPr>
        <w:ind w:left="720" w:hanging="276"/>
        <w:spacing w:after="0"/>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40" w:right="180" w:firstLine="428"/>
        <w:spacing w:after="0" w:line="312" w:lineRule="auto"/>
        <w:tabs>
          <w:tab w:leader="none" w:pos="1108"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notice required or permitted to be given under this Agreement shall be in writing and shall be deemed to have been given</w:t>
      </w:r>
      <w:r>
        <w:rPr>
          <w:rFonts w:ascii="Arial" w:cs="Arial" w:eastAsia="Arial" w:hAnsi="Arial"/>
          <w:sz w:val="16"/>
          <w:szCs w:val="16"/>
          <w:i w:val="1"/>
          <w:iCs w:val="1"/>
          <w:color w:val="auto"/>
        </w:rPr>
        <w:t xml:space="preserve"> </w:t>
      </w:r>
      <w:r>
        <w:rPr>
          <w:rFonts w:ascii="Arial" w:cs="Arial" w:eastAsia="Arial" w:hAnsi="Arial"/>
          <w:sz w:val="16"/>
          <w:szCs w:val="16"/>
          <w:color w:val="auto"/>
        </w:rPr>
        <w:t>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Illinois 60045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3" w:right="459" w:bottom="1440" w:gutter="0" w:footer="0" w:header="0"/>
        </w:sectPr>
      </w:pPr>
    </w:p>
    <w:bookmarkStart w:id="333" w:name="page334"/>
    <w:bookmarkEnd w:id="333"/>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Participant:</w:t>
      </w:r>
    </w:p>
    <w:p>
      <w:pPr>
        <w:spacing w:after="0" w:line="117" w:lineRule="exact"/>
        <w:rPr>
          <w:sz w:val="20"/>
          <w:szCs w:val="20"/>
          <w:color w:val="auto"/>
        </w:rPr>
      </w:pPr>
    </w:p>
    <w:p>
      <w:pPr>
        <w:ind w:left="560" w:right="720"/>
        <w:spacing w:after="0" w:line="277" w:lineRule="auto"/>
        <w:rPr>
          <w:sz w:val="20"/>
          <w:szCs w:val="20"/>
          <w:color w:val="auto"/>
        </w:rPr>
      </w:pPr>
      <w:r>
        <w:rPr>
          <w:rFonts w:ascii="Arial" w:cs="Arial" w:eastAsia="Arial" w:hAnsi="Arial"/>
          <w:sz w:val="18"/>
          <w:szCs w:val="18"/>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62" w:lineRule="exact"/>
        <w:rPr>
          <w:sz w:val="20"/>
          <w:szCs w:val="20"/>
          <w:color w:val="auto"/>
        </w:rPr>
      </w:pPr>
    </w:p>
    <w:p>
      <w:pPr>
        <w:ind w:firstLine="428"/>
        <w:spacing w:after="0" w:line="290" w:lineRule="auto"/>
        <w:tabs>
          <w:tab w:leader="none" w:pos="678"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Plan and any other agreements, schedules, exhibits and other documents referred to herein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58" w:lineRule="exact"/>
        <w:rPr>
          <w:rFonts w:ascii="Arial" w:cs="Arial" w:eastAsia="Arial" w:hAnsi="Arial"/>
          <w:sz w:val="16"/>
          <w:szCs w:val="16"/>
          <w:color w:val="auto"/>
        </w:rPr>
      </w:pPr>
    </w:p>
    <w:p>
      <w:pPr>
        <w:ind w:left="680" w:hanging="252"/>
        <w:spacing w:after="0"/>
        <w:tabs>
          <w:tab w:leader="none" w:pos="680"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Sections 409A and 457A of the Code</w:t>
      </w:r>
      <w:r>
        <w:rPr>
          <w:rFonts w:ascii="Arial" w:cs="Arial" w:eastAsia="Arial" w:hAnsi="Arial"/>
          <w:sz w:val="17"/>
          <w:szCs w:val="17"/>
          <w:color w:val="auto"/>
        </w:rPr>
        <w:t>. For the avoidance of doubt, to the extent that this Award is subject to Section 409A and/or</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82" w:lineRule="exact"/>
        <w:rPr>
          <w:sz w:val="20"/>
          <w:szCs w:val="20"/>
          <w:color w:val="auto"/>
        </w:rPr>
      </w:pPr>
    </w:p>
    <w:p>
      <w:pPr>
        <w:ind w:right="100" w:firstLine="428"/>
        <w:spacing w:after="0" w:line="257" w:lineRule="auto"/>
        <w:tabs>
          <w:tab w:leader="none" w:pos="678"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is or becomes or is deemed to be invalid, illegal or unenforceable in any jurisdiction,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80" w:lineRule="exact"/>
        <w:rPr>
          <w:rFonts w:ascii="Arial" w:cs="Arial" w:eastAsia="Arial" w:hAnsi="Arial"/>
          <w:sz w:val="18"/>
          <w:szCs w:val="18"/>
          <w:color w:val="auto"/>
        </w:rPr>
      </w:pPr>
    </w:p>
    <w:p>
      <w:pPr>
        <w:ind w:right="80" w:firstLine="428"/>
        <w:spacing w:after="0" w:line="273" w:lineRule="auto"/>
        <w:tabs>
          <w:tab w:leader="none" w:pos="668"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Amendment; Waiver</w:t>
      </w:r>
      <w:r>
        <w:rPr>
          <w:rFonts w:ascii="Arial" w:cs="Arial" w:eastAsia="Arial" w:hAnsi="Arial"/>
          <w:sz w:val="17"/>
          <w:szCs w:val="17"/>
          <w:color w:val="auto"/>
        </w:rPr>
        <w:t>. No amendment or modification of any provision of this Agreement that has a material adverse effect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Participant shall be effective unless signed in writing by or on behalf of the Company and the Participant;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60"/>
          </w:cols>
          <w:pgMar w:left="880" w:top="273" w:right="459" w:bottom="1440" w:gutter="0" w:footer="0" w:header="0"/>
        </w:sectPr>
      </w:pPr>
    </w:p>
    <w:bookmarkStart w:id="334" w:name="page335"/>
    <w:bookmarkEnd w:id="334"/>
    <w:p>
      <w:pPr>
        <w:ind w:right="740" w:firstLine="428"/>
        <w:spacing w:after="0" w:line="277" w:lineRule="auto"/>
        <w:tabs>
          <w:tab w:leader="none" w:pos="648"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r>
        <w:rPr>
          <w:rFonts w:ascii="Arial" w:cs="Arial" w:eastAsia="Arial" w:hAnsi="Arial"/>
          <w:sz w:val="18"/>
          <w:szCs w:val="18"/>
          <w:color w:val="auto"/>
        </w:rPr>
        <w:t>. Neither this Agreement nor any right, remedy, obligation or liability arising hereunder or by reason hereof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by the Participant.</w:t>
      </w:r>
    </w:p>
    <w:p>
      <w:pPr>
        <w:spacing w:after="0" w:line="62" w:lineRule="exact"/>
        <w:rPr>
          <w:rFonts w:ascii="Arial" w:cs="Arial" w:eastAsia="Arial" w:hAnsi="Arial"/>
          <w:sz w:val="18"/>
          <w:szCs w:val="18"/>
          <w:color w:val="auto"/>
        </w:rPr>
      </w:pPr>
    </w:p>
    <w:p>
      <w:pPr>
        <w:ind w:right="200" w:firstLine="428"/>
        <w:spacing w:after="0" w:line="302" w:lineRule="auto"/>
        <w:tabs>
          <w:tab w:leader="none" w:pos="678"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Successors and Assigns; No Third-Party Beneficiaries</w:t>
      </w:r>
      <w:r>
        <w:rPr>
          <w:rFonts w:ascii="Arial" w:cs="Arial" w:eastAsia="Arial" w:hAnsi="Arial"/>
          <w:sz w:val="16"/>
          <w:szCs w:val="16"/>
          <w:color w:val="auto"/>
        </w:rPr>
        <w:t>. This Agreement shall inure to the benefit of and be binding upon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46" w:lineRule="exact"/>
        <w:rPr>
          <w:rFonts w:ascii="Arial" w:cs="Arial" w:eastAsia="Arial" w:hAnsi="Arial"/>
          <w:sz w:val="16"/>
          <w:szCs w:val="16"/>
          <w:color w:val="auto"/>
        </w:rPr>
      </w:pPr>
    </w:p>
    <w:p>
      <w:pPr>
        <w:ind w:firstLine="428"/>
        <w:spacing w:after="0" w:line="257" w:lineRule="auto"/>
        <w:tabs>
          <w:tab w:leader="none" w:pos="678"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Governing Law; Waiver of Jury Trial</w:t>
      </w:r>
      <w:r>
        <w:rPr>
          <w:rFonts w:ascii="Arial" w:cs="Arial" w:eastAsia="Arial" w:hAnsi="Arial"/>
          <w:sz w:val="18"/>
          <w:szCs w:val="18"/>
          <w:color w:val="auto"/>
        </w:rPr>
        <w:t>. This Agreement shall be governed by the laws of the State of Delaware, without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80" w:lineRule="exact"/>
        <w:rPr>
          <w:rFonts w:ascii="Arial" w:cs="Arial" w:eastAsia="Arial" w:hAnsi="Arial"/>
          <w:sz w:val="18"/>
          <w:szCs w:val="18"/>
          <w:color w:val="auto"/>
        </w:rPr>
      </w:pPr>
    </w:p>
    <w:p>
      <w:pPr>
        <w:ind w:firstLine="428"/>
        <w:spacing w:after="0" w:line="269" w:lineRule="auto"/>
        <w:tabs>
          <w:tab w:leader="none" w:pos="638"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t>Dispute Resolution</w:t>
      </w:r>
      <w:r>
        <w:rPr>
          <w:rFonts w:ascii="Arial" w:cs="Arial" w:eastAsia="Arial" w:hAnsi="Arial"/>
          <w:sz w:val="17"/>
          <w:szCs w:val="17"/>
          <w:color w:val="auto"/>
        </w:rPr>
        <w:t>. Any dispute or claim arising out of, under or in connection with the Plan or any Award Agreement shall be submitted</w:t>
      </w:r>
      <w:r>
        <w:rPr>
          <w:rFonts w:ascii="Arial" w:cs="Arial" w:eastAsia="Arial" w:hAnsi="Arial"/>
          <w:sz w:val="17"/>
          <w:szCs w:val="17"/>
          <w:i w:val="1"/>
          <w:iCs w:val="1"/>
          <w:color w:val="auto"/>
        </w:rPr>
        <w:t xml:space="preserve"> </w:t>
      </w:r>
      <w:r>
        <w:rPr>
          <w:rFonts w:ascii="Arial" w:cs="Arial" w:eastAsia="Arial" w:hAnsi="Arial"/>
          <w:sz w:val="17"/>
          <w:szCs w:val="17"/>
          <w:color w:val="auto"/>
        </w:rPr>
        <w:t>to arbitration in Delaware and shall be conducted in accordance with the rules of, but not necessarily under the auspices of, the American Arbitration Association (“</w:t>
      </w:r>
      <w:r>
        <w:rPr>
          <w:rFonts w:ascii="Arial" w:cs="Arial" w:eastAsia="Arial" w:hAnsi="Arial"/>
          <w:sz w:val="17"/>
          <w:szCs w:val="17"/>
          <w:b w:val="1"/>
          <w:bCs w:val="1"/>
          <w:color w:val="auto"/>
        </w:rPr>
        <w:t>AAA</w:t>
      </w:r>
      <w:r>
        <w:rPr>
          <w:rFonts w:ascii="Arial" w:cs="Arial" w:eastAsia="Arial" w:hAnsi="Arial"/>
          <w:sz w:val="17"/>
          <w:szCs w:val="17"/>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560"/>
          </w:cols>
          <w:pgMar w:left="880" w:top="274" w:right="459" w:bottom="1440" w:gutter="0" w:footer="0" w:header="0"/>
        </w:sectPr>
      </w:pPr>
    </w:p>
    <w:bookmarkStart w:id="335" w:name="page336"/>
    <w:bookmarkEnd w:id="335"/>
    <w:p>
      <w:pPr>
        <w:ind w:left="640" w:hanging="212"/>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Undertaking; Acceptance</w:t>
      </w:r>
      <w:r>
        <w:rPr>
          <w:rFonts w:ascii="Arial" w:cs="Arial" w:eastAsia="Arial" w:hAnsi="Arial"/>
          <w:sz w:val="17"/>
          <w:szCs w:val="17"/>
          <w:color w:val="auto"/>
        </w:rPr>
        <w:t>. The Participant agrees to take whatever additional action and execute whatever additional</w:t>
      </w:r>
    </w:p>
    <w:p>
      <w:pPr>
        <w:spacing w:after="0" w:line="34"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68" w:lineRule="exact"/>
        <w:rPr>
          <w:rFonts w:ascii="Arial" w:cs="Arial" w:eastAsia="Arial" w:hAnsi="Arial"/>
          <w:sz w:val="17"/>
          <w:szCs w:val="17"/>
          <w:color w:val="auto"/>
        </w:rPr>
      </w:pPr>
    </w:p>
    <w:p>
      <w:pPr>
        <w:ind w:right="480" w:firstLine="428"/>
        <w:spacing w:after="0" w:line="277" w:lineRule="auto"/>
        <w:tabs>
          <w:tab w:leader="none" w:pos="678"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Captions</w:t>
      </w:r>
      <w:r>
        <w:rPr>
          <w:rFonts w:ascii="Arial" w:cs="Arial" w:eastAsia="Arial" w:hAnsi="Arial"/>
          <w:sz w:val="18"/>
          <w:szCs w:val="18"/>
          <w:color w:val="auto"/>
        </w:rPr>
        <w:t>. Captions provided herein are for convenience only and shall not affect the scope, meaning, intent or interpretation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Award Agreement.</w:t>
      </w:r>
    </w:p>
    <w:p>
      <w:pPr>
        <w:spacing w:after="0" w:line="62" w:lineRule="exact"/>
        <w:rPr>
          <w:rFonts w:ascii="Arial" w:cs="Arial" w:eastAsia="Arial" w:hAnsi="Arial"/>
          <w:sz w:val="18"/>
          <w:szCs w:val="18"/>
          <w:color w:val="auto"/>
        </w:rPr>
      </w:pPr>
    </w:p>
    <w:p>
      <w:pPr>
        <w:ind w:left="640" w:hanging="212"/>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executed in two counterparts, each of which shall constitute one and the same instrument.</w:t>
      </w: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560"/>
          </w:cols>
          <w:pgMar w:left="880" w:top="274" w:right="459" w:bottom="1440" w:gutter="0" w:footer="0" w:header="0"/>
        </w:sectPr>
      </w:pPr>
    </w:p>
    <w:bookmarkStart w:id="336" w:name="page337"/>
    <w:bookmarkEnd w:id="3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day and year first written above.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23495</wp:posOffset>
            </wp:positionV>
            <wp:extent cx="256413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PSU Award Agreement]</w:t>
      </w:r>
    </w:p>
    <w:p>
      <w:pPr>
        <w:sectPr>
          <w:pgSz w:w="11900" w:h="16838" w:orient="portrait"/>
          <w:cols w:equalWidth="0" w:num="1">
            <w:col w:w="10020"/>
          </w:cols>
          <w:pgMar w:left="440" w:top="274" w:right="1439" w:bottom="1440" w:gutter="0" w:footer="0" w:header="0"/>
        </w:sectPr>
      </w:pPr>
    </w:p>
    <w:bookmarkStart w:id="337" w:name="page338"/>
    <w:bookmarkEnd w:id="337"/>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Conditions]</w:t>
      </w:r>
    </w:p>
    <w:p>
      <w:pPr>
        <w:sectPr>
          <w:pgSz w:w="11900" w:h="16838" w:orient="portrait"/>
          <w:cols w:equalWidth="0" w:num="1">
            <w:col w:w="9019"/>
          </w:cols>
          <w:pgMar w:left="1440" w:top="269" w:right="1440"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July 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Lance Mitchell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Employee is currently employed by the Company with an employment agreement dated as of February 26, 2008 (the “</w:t>
      </w:r>
      <w:r>
        <w:rPr>
          <w:rFonts w:ascii="Arial" w:cs="Arial" w:eastAsia="Arial" w:hAnsi="Arial"/>
          <w:sz w:val="16"/>
          <w:szCs w:val="16"/>
          <w:b w:val="1"/>
          <w:bCs w:val="1"/>
          <w:u w:val="single" w:color="auto"/>
          <w:color w:val="auto"/>
        </w:rPr>
        <w:t>Existing Agreement</w:t>
      </w:r>
      <w:r>
        <w:rPr>
          <w:rFonts w:ascii="Arial" w:cs="Arial" w:eastAsia="Arial" w:hAnsi="Arial"/>
          <w:sz w:val="16"/>
          <w:szCs w:val="16"/>
          <w:color w:val="auto"/>
        </w:rPr>
        <w: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The Company and Employee desire to enter into this Agreement to amend and restate the Existing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20" w:firstLine="444"/>
        <w:spacing w:after="0" w:line="266" w:lineRule="auto"/>
        <w:tabs>
          <w:tab w:leader="none" w:pos="621"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Employee’s employment pursuant to this Agreement shall commence on the date hereof and shall continue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68" w:lineRule="exact"/>
        <w:rPr>
          <w:rFonts w:ascii="Arial" w:cs="Arial" w:eastAsia="Arial" w:hAnsi="Arial"/>
          <w:sz w:val="18"/>
          <w:szCs w:val="18"/>
          <w:color w:val="auto"/>
        </w:rPr>
      </w:pPr>
    </w:p>
    <w:p>
      <w:pPr>
        <w:ind w:right="180" w:firstLine="444"/>
        <w:spacing w:after="0" w:line="258" w:lineRule="auto"/>
        <w:tabs>
          <w:tab w:leader="none" w:pos="621"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Duties and Location</w:t>
      </w:r>
      <w:r>
        <w:rPr>
          <w:rFonts w:ascii="Arial" w:cs="Arial" w:eastAsia="Arial" w:hAnsi="Arial"/>
          <w:sz w:val="18"/>
          <w:szCs w:val="18"/>
          <w:color w:val="auto"/>
        </w:rPr>
        <w:t>. Employee shall serve in the position(s)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Employee shall devote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substantially all of Employee’s working time and efforts to the business and affairs of the Company and shall not engage in any other business activity without prior written approval from RGHL’s CEO or Owner. Employee shall perform the services required by this Agreement at the location(s) indicated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except for customary business travel to other locations as may be necessary to fulfill Employee’s duties and responsibilities hereunder.</w:t>
      </w:r>
    </w:p>
    <w:p>
      <w:pPr>
        <w:spacing w:after="0" w:line="75" w:lineRule="exact"/>
        <w:rPr>
          <w:rFonts w:ascii="Arial" w:cs="Arial" w:eastAsia="Arial" w:hAnsi="Arial"/>
          <w:sz w:val="18"/>
          <w:szCs w:val="18"/>
          <w:color w:val="auto"/>
        </w:rPr>
      </w:pPr>
    </w:p>
    <w:p>
      <w:pPr>
        <w:ind w:left="620" w:hanging="176"/>
        <w:spacing w:after="0"/>
        <w:tabs>
          <w:tab w:leader="none" w:pos="620"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 During the Term:</w:t>
      </w:r>
    </w:p>
    <w:p>
      <w:pPr>
        <w:spacing w:after="0" w:line="117" w:lineRule="exact"/>
        <w:rPr>
          <w:rFonts w:ascii="Arial" w:cs="Arial" w:eastAsia="Arial" w:hAnsi="Arial"/>
          <w:sz w:val="18"/>
          <w:szCs w:val="18"/>
          <w:color w:val="auto"/>
        </w:rPr>
      </w:pPr>
    </w:p>
    <w:p>
      <w:pPr>
        <w:jc w:val="both"/>
        <w:ind w:firstLine="996"/>
        <w:spacing w:after="0" w:line="266" w:lineRule="auto"/>
        <w:tabs>
          <w:tab w:leader="none" w:pos="1236" w:val="left"/>
        </w:tabs>
        <w:numPr>
          <w:ilvl w:val="1"/>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 Salary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68" w:lineRule="exact"/>
        <w:rPr>
          <w:rFonts w:ascii="Arial" w:cs="Arial" w:eastAsia="Arial" w:hAnsi="Arial"/>
          <w:sz w:val="18"/>
          <w:szCs w:val="18"/>
          <w:color w:val="auto"/>
        </w:rPr>
      </w:pPr>
    </w:p>
    <w:p>
      <w:pPr>
        <w:jc w:val="both"/>
        <w:ind w:right="80" w:firstLine="996"/>
        <w:spacing w:after="0" w:line="261" w:lineRule="auto"/>
        <w:tabs>
          <w:tab w:leader="none" w:pos="1247" w:val="left"/>
        </w:tabs>
        <w:numPr>
          <w:ilvl w:val="1"/>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1"/>
          <w:numId w:val="239"/>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Compensation Programs</w:t>
      </w:r>
      <w:r>
        <w:rPr>
          <w:rFonts w:ascii="Arial" w:cs="Arial" w:eastAsia="Arial" w:hAnsi="Arial"/>
          <w:sz w:val="17"/>
          <w:szCs w:val="17"/>
          <w:color w:val="auto"/>
        </w:rPr>
        <w:t>. Employee shall be eligible to participate in such other compensation programs as set forth 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39" w:name="page340"/>
    <w:bookmarkEnd w:id="339"/>
    <w:p>
      <w:pPr>
        <w:ind w:right="480" w:firstLine="996"/>
        <w:spacing w:after="0" w:line="347" w:lineRule="auto"/>
        <w:tabs>
          <w:tab w:leader="none" w:pos="1247" w:val="left"/>
        </w:tabs>
        <w:numPr>
          <w:ilvl w:val="1"/>
          <w:numId w:val="24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6"/>
          <w:szCs w:val="16"/>
          <w:color w:val="auto"/>
        </w:rPr>
        <w:t>. Employee shall be entitled to receive reimbursement for all reasonable expenses incurred by Employee in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hereunder, in accordance with the policies and procedures then in effect and established by the Company for its senior officers.</w:t>
      </w:r>
    </w:p>
    <w:p>
      <w:pPr>
        <w:spacing w:after="0" w:line="8" w:lineRule="exact"/>
        <w:rPr>
          <w:rFonts w:ascii="Arial" w:cs="Arial" w:eastAsia="Arial" w:hAnsi="Arial"/>
          <w:sz w:val="16"/>
          <w:szCs w:val="16"/>
          <w:color w:val="auto"/>
        </w:rPr>
      </w:pPr>
    </w:p>
    <w:p>
      <w:pPr>
        <w:ind w:right="60" w:firstLine="996"/>
        <w:spacing w:after="0" w:line="266" w:lineRule="auto"/>
        <w:tabs>
          <w:tab w:leader="none" w:pos="1236" w:val="left"/>
        </w:tabs>
        <w:numPr>
          <w:ilvl w:val="1"/>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color w:val="auto"/>
        </w:rPr>
        <w:t>. Employee shall be entitled to participate in the Company’s employee health and welfare plans,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arrangements as they may be amended from time to time, to the extent Employee meets the eligibility requirements for any such plan, policy, program or arrangement.</w:t>
      </w:r>
    </w:p>
    <w:p>
      <w:pPr>
        <w:spacing w:after="0" w:line="68" w:lineRule="exact"/>
        <w:rPr>
          <w:rFonts w:ascii="Arial" w:cs="Arial" w:eastAsia="Arial" w:hAnsi="Arial"/>
          <w:sz w:val="18"/>
          <w:szCs w:val="18"/>
          <w:color w:val="auto"/>
        </w:rPr>
      </w:pPr>
    </w:p>
    <w:p>
      <w:pPr>
        <w:jc w:val="both"/>
        <w:ind w:right="100" w:firstLine="996"/>
        <w:spacing w:after="0" w:line="266" w:lineRule="auto"/>
        <w:tabs>
          <w:tab w:leader="none" w:pos="1217" w:val="left"/>
        </w:tabs>
        <w:numPr>
          <w:ilvl w:val="1"/>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color w:val="auto"/>
        </w:rPr>
        <w:t>. Employee shall be entitled to paid vacation, as well as holidays and other paid absences,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for similarly situated employees of the Company, to the extent Employee meets the eligibility requirements for any such policy and procedures.</w:t>
      </w:r>
    </w:p>
    <w:p>
      <w:pPr>
        <w:spacing w:after="0" w:line="68" w:lineRule="exact"/>
        <w:rPr>
          <w:rFonts w:ascii="Arial" w:cs="Arial" w:eastAsia="Arial" w:hAnsi="Arial"/>
          <w:sz w:val="18"/>
          <w:szCs w:val="18"/>
          <w:color w:val="auto"/>
        </w:rPr>
      </w:pPr>
    </w:p>
    <w:p>
      <w:pPr>
        <w:ind w:right="580" w:firstLine="444"/>
        <w:spacing w:after="0" w:line="282" w:lineRule="auto"/>
        <w:tabs>
          <w:tab w:leader="none" w:pos="621"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Term shall automatically end.</w:t>
      </w:r>
    </w:p>
    <w:p>
      <w:pPr>
        <w:spacing w:after="0" w:line="53" w:lineRule="exact"/>
        <w:rPr>
          <w:rFonts w:ascii="Arial" w:cs="Arial" w:eastAsia="Arial" w:hAnsi="Arial"/>
          <w:sz w:val="18"/>
          <w:szCs w:val="18"/>
          <w:color w:val="auto"/>
        </w:rPr>
      </w:pPr>
    </w:p>
    <w:p>
      <w:pPr>
        <w:ind w:left="1240" w:hanging="244"/>
        <w:spacing w:after="0"/>
        <w:tabs>
          <w:tab w:leader="none" w:pos="1240"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 Employee’s employment hereunder shall automatically terminate upon Employee’s death.</w:t>
      </w:r>
    </w:p>
    <w:p>
      <w:pPr>
        <w:spacing w:after="0" w:line="117" w:lineRule="exact"/>
        <w:rPr>
          <w:rFonts w:ascii="Arial" w:cs="Arial" w:eastAsia="Arial" w:hAnsi="Arial"/>
          <w:sz w:val="18"/>
          <w:szCs w:val="18"/>
          <w:color w:val="auto"/>
        </w:rPr>
      </w:pPr>
    </w:p>
    <w:p>
      <w:pPr>
        <w:ind w:firstLine="996"/>
        <w:spacing w:after="0" w:line="256" w:lineRule="auto"/>
        <w:tabs>
          <w:tab w:leader="none" w:pos="1247"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color w:val="auto"/>
        </w:rPr>
        <w:t>. The Company may terminate Employee’s employment hereunder for Cause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in the good faith determination of RGHL’s CEO or Owner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79" w:lineRule="exact"/>
        <w:rPr>
          <w:rFonts w:ascii="Arial" w:cs="Arial" w:eastAsia="Arial" w:hAnsi="Arial"/>
          <w:sz w:val="18"/>
          <w:szCs w:val="18"/>
          <w:color w:val="auto"/>
        </w:rPr>
      </w:pPr>
    </w:p>
    <w:p>
      <w:pPr>
        <w:ind w:right="260" w:firstLine="996"/>
        <w:spacing w:after="0" w:line="266" w:lineRule="auto"/>
        <w:tabs>
          <w:tab w:leader="none" w:pos="1236"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Employee’s employment hereunder at any time without Cause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68" w:lineRule="exact"/>
        <w:rPr>
          <w:rFonts w:ascii="Arial" w:cs="Arial" w:eastAsia="Arial" w:hAnsi="Arial"/>
          <w:sz w:val="18"/>
          <w:szCs w:val="18"/>
          <w:color w:val="auto"/>
        </w:rPr>
      </w:pPr>
    </w:p>
    <w:p>
      <w:pPr>
        <w:ind w:left="1260" w:hanging="264"/>
        <w:spacing w:after="0"/>
        <w:tabs>
          <w:tab w:leader="none" w:pos="1260" w:val="left"/>
        </w:tabs>
        <w:numPr>
          <w:ilvl w:val="1"/>
          <w:numId w:val="241"/>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by Employee</w:t>
      </w:r>
      <w:r>
        <w:rPr>
          <w:rFonts w:ascii="Arial" w:cs="Arial" w:eastAsia="Arial" w:hAnsi="Arial"/>
          <w:sz w:val="17"/>
          <w:szCs w:val="17"/>
          <w:color w:val="auto"/>
        </w:rPr>
        <w:t>. Employee may terminate Employee’s employment hereunder upon 60 days’ written notice to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98" w:lineRule="exact"/>
        <w:rPr>
          <w:rFonts w:ascii="Arial" w:cs="Arial" w:eastAsia="Arial" w:hAnsi="Arial"/>
          <w:sz w:val="17"/>
          <w:szCs w:val="17"/>
          <w:color w:val="auto"/>
        </w:rPr>
      </w:pPr>
    </w:p>
    <w:p>
      <w:pPr>
        <w:ind w:right="20" w:firstLine="996"/>
        <w:spacing w:after="0" w:line="256" w:lineRule="auto"/>
        <w:tabs>
          <w:tab w:leader="none" w:pos="1236"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40" w:name="page341"/>
    <w:bookmarkEnd w:id="340"/>
    <w:p>
      <w:pPr>
        <w:ind w:left="600" w:hanging="176"/>
        <w:spacing w:after="0"/>
        <w:tabs>
          <w:tab w:leader="none" w:pos="600"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996"/>
        <w:spacing w:after="0" w:line="258" w:lineRule="auto"/>
        <w:tabs>
          <w:tab w:leader="none" w:pos="1216" w:val="left"/>
        </w:tabs>
        <w:numPr>
          <w:ilvl w:val="1"/>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color w:val="auto"/>
        </w:rPr>
        <w:t>. If Employee’s employment with the Company is terminated for any reason, Employee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The Accrued Obligations shall be paid at the time(s) specified under any applicable employee benefit plan, or, if there is no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within 30 days after Employee’s Date of Termination.</w:t>
      </w:r>
    </w:p>
    <w:p>
      <w:pPr>
        <w:spacing w:after="0" w:line="75" w:lineRule="exact"/>
        <w:rPr>
          <w:rFonts w:ascii="Arial" w:cs="Arial" w:eastAsia="Arial" w:hAnsi="Arial"/>
          <w:sz w:val="18"/>
          <w:szCs w:val="18"/>
          <w:color w:val="auto"/>
        </w:rPr>
      </w:pPr>
    </w:p>
    <w:p>
      <w:pPr>
        <w:ind w:left="-20" w:right="80" w:firstLine="996"/>
        <w:spacing w:after="0" w:line="266" w:lineRule="auto"/>
        <w:tabs>
          <w:tab w:leader="none" w:pos="1227" w:val="left"/>
        </w:tabs>
        <w:numPr>
          <w:ilvl w:val="1"/>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color w:val="auto"/>
        </w:rPr>
        <w:t>. If Employee’s employment is terminated by the Company without Cause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pacing w:after="0" w:line="68" w:lineRule="exact"/>
        <w:rPr>
          <w:rFonts w:ascii="Arial" w:cs="Arial" w:eastAsia="Arial" w:hAnsi="Arial"/>
          <w:sz w:val="18"/>
          <w:szCs w:val="18"/>
          <w:color w:val="auto"/>
        </w:rPr>
      </w:pPr>
    </w:p>
    <w:p>
      <w:pPr>
        <w:ind w:left="420" w:right="20" w:firstLine="957"/>
        <w:spacing w:after="0" w:line="289" w:lineRule="auto"/>
        <w:tabs>
          <w:tab w:leader="none" w:pos="1587" w:val="left"/>
        </w:tabs>
        <w:numPr>
          <w:ilvl w:val="2"/>
          <w:numId w:val="242"/>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Severance</w:t>
      </w:r>
      <w:r>
        <w:rPr>
          <w:rFonts w:ascii="Arial" w:cs="Arial" w:eastAsia="Arial" w:hAnsi="Arial"/>
          <w:sz w:val="16"/>
          <w:szCs w:val="16"/>
          <w:color w:val="auto"/>
        </w:rPr>
        <w:t>. A severance payment (the “</w:t>
      </w:r>
      <w:r>
        <w:rPr>
          <w:rFonts w:ascii="Arial" w:cs="Arial" w:eastAsia="Arial" w:hAnsi="Arial"/>
          <w:sz w:val="16"/>
          <w:szCs w:val="16"/>
          <w:b w:val="1"/>
          <w:bCs w:val="1"/>
          <w:u w:val="single" w:color="auto"/>
          <w:color w:val="auto"/>
        </w:rPr>
        <w:t>Severance Amount</w:t>
      </w:r>
      <w:r>
        <w:rPr>
          <w:rFonts w:ascii="Arial" w:cs="Arial" w:eastAsia="Arial" w:hAnsi="Arial"/>
          <w:sz w:val="16"/>
          <w:szCs w:val="16"/>
          <w:color w:val="auto"/>
        </w:rPr>
        <w:t>”) in the Amount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Severance Amount shall be paid to Employee in equal installments in accordance with the Company’s normal payroll practices over a period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of the severance shall be payable until the revocation period for the Release described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53" w:lineRule="exact"/>
        <w:rPr>
          <w:rFonts w:ascii="Arial" w:cs="Arial" w:eastAsia="Arial" w:hAnsi="Arial"/>
          <w:sz w:val="16"/>
          <w:szCs w:val="16"/>
          <w:color w:val="auto"/>
        </w:rPr>
      </w:pPr>
    </w:p>
    <w:p>
      <w:pPr>
        <w:ind w:left="420" w:firstLine="957"/>
        <w:spacing w:after="0" w:line="291" w:lineRule="auto"/>
        <w:tabs>
          <w:tab w:leader="none" w:pos="1637" w:val="left"/>
        </w:tabs>
        <w:numPr>
          <w:ilvl w:val="2"/>
          <w:numId w:val="242"/>
        </w:numPr>
        <w:rPr>
          <w:rFonts w:ascii="Arial" w:cs="Arial" w:eastAsia="Arial" w:hAnsi="Arial"/>
          <w:sz w:val="16"/>
          <w:szCs w:val="16"/>
          <w:color w:val="auto"/>
        </w:rPr>
      </w:pPr>
      <w:r>
        <w:rPr>
          <w:rFonts w:ascii="Arial" w:cs="Arial" w:eastAsia="Arial" w:hAnsi="Arial"/>
          <w:sz w:val="16"/>
          <w:szCs w:val="16"/>
          <w:b w:val="1"/>
          <w:bCs w:val="1"/>
          <w:u w:val="single" w:color="auto"/>
          <w:color w:val="auto"/>
        </w:rPr>
        <w:t>Health Care Continuation</w:t>
      </w:r>
      <w:r>
        <w:rPr>
          <w:rFonts w:ascii="Arial" w:cs="Arial" w:eastAsia="Arial" w:hAnsi="Arial"/>
          <w:sz w:val="16"/>
          <w:szCs w:val="16"/>
          <w:color w:val="auto"/>
        </w:rPr>
        <w:t>. In addition, Employee and Employee’s eligible dependents, if any, shall continue to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health plan (the “</w:t>
      </w:r>
      <w:r>
        <w:rPr>
          <w:rFonts w:ascii="Arial" w:cs="Arial" w:eastAsia="Arial" w:hAnsi="Arial"/>
          <w:sz w:val="16"/>
          <w:szCs w:val="16"/>
          <w:b w:val="1"/>
          <w:bCs w:val="1"/>
          <w:u w:val="single" w:color="auto"/>
          <w:color w:val="auto"/>
        </w:rPr>
        <w:t>Health Plan</w:t>
      </w:r>
      <w:r>
        <w:rPr>
          <w:rFonts w:ascii="Arial" w:cs="Arial" w:eastAsia="Arial" w:hAnsi="Arial"/>
          <w:sz w:val="16"/>
          <w:szCs w:val="16"/>
          <w:color w:val="auto"/>
        </w:rPr>
        <w:t>”),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a lump-sum cash payment equal to the total monthly premiums (or in the case of a self-funded plan, the cost of COBRA continuation coverage) that would have been paid by the Company for Employee under the Health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0" w:right="439" w:bottom="1440" w:gutter="0" w:footer="0" w:header="0"/>
        </w:sectPr>
      </w:pPr>
    </w:p>
    <w:bookmarkStart w:id="341" w:name="page342"/>
    <w:bookmarkEnd w:id="341"/>
    <w:p>
      <w:pPr>
        <w:ind w:right="260" w:firstLine="996"/>
        <w:spacing w:after="0" w:line="291" w:lineRule="auto"/>
        <w:tabs>
          <w:tab w:leader="none" w:pos="1236" w:val="left"/>
        </w:tabs>
        <w:numPr>
          <w:ilvl w:val="1"/>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that may become due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Employee signing a general release of claims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the Company and related persons and entities in a form and manner satisfactory to the Company (the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contingent upon Employee abiding by and not breaching any of the covenants set forth in the Release and in the Restrictive Covenant Agreement.</w:t>
      </w:r>
    </w:p>
    <w:p>
      <w:pPr>
        <w:spacing w:after="0" w:line="52" w:lineRule="exact"/>
        <w:rPr>
          <w:rFonts w:ascii="Arial" w:cs="Arial" w:eastAsia="Arial" w:hAnsi="Arial"/>
          <w:sz w:val="16"/>
          <w:szCs w:val="16"/>
          <w:color w:val="auto"/>
        </w:rPr>
      </w:pPr>
    </w:p>
    <w:p>
      <w:pPr>
        <w:ind w:left="620" w:hanging="176"/>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96"/>
        <w:spacing w:after="0" w:line="290" w:lineRule="auto"/>
        <w:tabs>
          <w:tab w:leader="none" w:pos="1237" w:val="left"/>
        </w:tabs>
        <w:numPr>
          <w:ilvl w:val="1"/>
          <w:numId w:val="24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1.409A-1(h).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Termination.</w:t>
      </w:r>
    </w:p>
    <w:p>
      <w:pPr>
        <w:spacing w:after="0" w:line="58" w:lineRule="exact"/>
        <w:rPr>
          <w:rFonts w:ascii="Arial" w:cs="Arial" w:eastAsia="Arial" w:hAnsi="Arial"/>
          <w:sz w:val="16"/>
          <w:szCs w:val="16"/>
          <w:color w:val="auto"/>
        </w:rPr>
      </w:pPr>
    </w:p>
    <w:p>
      <w:pPr>
        <w:ind w:right="220" w:firstLine="996"/>
        <w:spacing w:after="0" w:line="288" w:lineRule="auto"/>
        <w:tabs>
          <w:tab w:leader="none" w:pos="1247" w:val="left"/>
        </w:tabs>
        <w:numPr>
          <w:ilvl w:val="1"/>
          <w:numId w:val="24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75" w:lineRule="exact"/>
        <w:rPr>
          <w:rFonts w:ascii="Arial" w:cs="Arial" w:eastAsia="Arial" w:hAnsi="Arial"/>
          <w:sz w:val="16"/>
          <w:szCs w:val="16"/>
          <w:color w:val="auto"/>
        </w:rPr>
      </w:pPr>
    </w:p>
    <w:p>
      <w:pPr>
        <w:ind w:right="80" w:firstLine="996"/>
        <w:spacing w:after="0" w:line="255" w:lineRule="auto"/>
        <w:tabs>
          <w:tab w:leader="none" w:pos="123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42" w:name="page343"/>
    <w:bookmarkEnd w:id="342"/>
    <w:p>
      <w:pPr>
        <w:ind w:left="-60" w:right="20" w:firstLine="996"/>
        <w:spacing w:after="0" w:line="264" w:lineRule="auto"/>
        <w:tabs>
          <w:tab w:leader="none" w:pos="1187" w:val="left"/>
        </w:tabs>
        <w:numPr>
          <w:ilvl w:val="1"/>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69" w:lineRule="exact"/>
        <w:rPr>
          <w:rFonts w:ascii="Arial" w:cs="Arial" w:eastAsia="Arial" w:hAnsi="Arial"/>
          <w:sz w:val="18"/>
          <w:szCs w:val="18"/>
          <w:color w:val="auto"/>
        </w:rPr>
      </w:pPr>
    </w:p>
    <w:p>
      <w:pPr>
        <w:ind w:left="-60" w:right="120" w:firstLine="444"/>
        <w:spacing w:after="0" w:line="266" w:lineRule="auto"/>
        <w:tabs>
          <w:tab w:leader="none" w:pos="561"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 The Company’s obligations under this Agreement, including the Company’s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0" w:firstLine="444"/>
        <w:spacing w:after="0" w:line="287" w:lineRule="auto"/>
        <w:tabs>
          <w:tab w:leader="none" w:pos="561" w:val="left"/>
        </w:tabs>
        <w:numPr>
          <w:ilvl w:val="0"/>
          <w:numId w:val="246"/>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xml:space="preserve">”) in Chicago, IL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specifically enforceable.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other relief shall be pursued through an arbitration proceeding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Further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limit the Company’s ability to terminate Employee’s employment at any time.</w:t>
      </w:r>
    </w:p>
    <w:p>
      <w:pPr>
        <w:spacing w:after="0" w:line="60" w:lineRule="exact"/>
        <w:rPr>
          <w:rFonts w:ascii="Arial" w:cs="Arial" w:eastAsia="Arial" w:hAnsi="Arial"/>
          <w:sz w:val="16"/>
          <w:szCs w:val="16"/>
          <w:color w:val="auto"/>
        </w:rPr>
      </w:pPr>
    </w:p>
    <w:p>
      <w:pPr>
        <w:ind w:left="-60" w:right="160" w:firstLine="444"/>
        <w:spacing w:after="0" w:line="266" w:lineRule="auto"/>
        <w:tabs>
          <w:tab w:leader="none" w:pos="561"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68" w:lineRule="exact"/>
        <w:rPr>
          <w:rFonts w:ascii="Arial" w:cs="Arial" w:eastAsia="Arial" w:hAnsi="Arial"/>
          <w:sz w:val="18"/>
          <w:szCs w:val="18"/>
          <w:color w:val="auto"/>
        </w:rPr>
      </w:pPr>
    </w:p>
    <w:p>
      <w:pPr>
        <w:ind w:left="-60" w:right="60" w:firstLine="444"/>
        <w:spacing w:after="0" w:line="282" w:lineRule="auto"/>
        <w:tabs>
          <w:tab w:leader="none" w:pos="651"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payments made by the Company to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3" w:right="499" w:bottom="1440" w:gutter="0" w:footer="0" w:header="0"/>
        </w:sectPr>
      </w:pPr>
    </w:p>
    <w:bookmarkStart w:id="343" w:name="page344"/>
    <w:bookmarkEnd w:id="343"/>
    <w:p>
      <w:pPr>
        <w:jc w:val="both"/>
        <w:ind w:left="-40" w:right="240" w:firstLine="444"/>
        <w:spacing w:after="0" w:line="303" w:lineRule="auto"/>
        <w:tabs>
          <w:tab w:leader="none" w:pos="664" w:val="left"/>
        </w:tabs>
        <w:numPr>
          <w:ilvl w:val="0"/>
          <w:numId w:val="24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Enforceability</w:t>
      </w:r>
      <w:r>
        <w:rPr>
          <w:rFonts w:ascii="Arial" w:cs="Arial" w:eastAsia="Arial" w:hAnsi="Arial"/>
          <w:sz w:val="16"/>
          <w:szCs w:val="16"/>
          <w:color w:val="auto"/>
        </w:rPr>
        <w:t>. If any portion or provision of this Agreement (including, without limitation, any portion or provision of any section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43" w:lineRule="exact"/>
        <w:rPr>
          <w:rFonts w:ascii="Arial" w:cs="Arial" w:eastAsia="Arial" w:hAnsi="Arial"/>
          <w:sz w:val="16"/>
          <w:szCs w:val="16"/>
          <w:color w:val="auto"/>
        </w:rPr>
      </w:pPr>
    </w:p>
    <w:p>
      <w:pPr>
        <w:ind w:left="-40" w:firstLine="444"/>
        <w:spacing w:after="0" w:line="282"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Employee’s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to effectuate the terms contained herein.</w:t>
      </w:r>
    </w:p>
    <w:p>
      <w:pPr>
        <w:spacing w:after="0" w:line="53" w:lineRule="exact"/>
        <w:rPr>
          <w:rFonts w:ascii="Arial" w:cs="Arial" w:eastAsia="Arial" w:hAnsi="Arial"/>
          <w:sz w:val="18"/>
          <w:szCs w:val="18"/>
          <w:color w:val="auto"/>
        </w:rPr>
      </w:pPr>
    </w:p>
    <w:p>
      <w:pPr>
        <w:ind w:left="-40" w:right="60" w:firstLine="444"/>
        <w:spacing w:after="0" w:line="266"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68" w:lineRule="exact"/>
        <w:rPr>
          <w:rFonts w:ascii="Arial" w:cs="Arial" w:eastAsia="Arial" w:hAnsi="Arial"/>
          <w:sz w:val="18"/>
          <w:szCs w:val="18"/>
          <w:color w:val="auto"/>
        </w:rPr>
      </w:pPr>
    </w:p>
    <w:p>
      <w:pPr>
        <w:ind w:left="-40" w:right="100" w:firstLine="444"/>
        <w:spacing w:after="0" w:line="261"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Thomas Degnan.</w:t>
      </w:r>
    </w:p>
    <w:p>
      <w:pPr>
        <w:spacing w:after="0" w:line="71" w:lineRule="exact"/>
        <w:rPr>
          <w:rFonts w:ascii="Arial" w:cs="Arial" w:eastAsia="Arial" w:hAnsi="Arial"/>
          <w:sz w:val="18"/>
          <w:szCs w:val="18"/>
          <w:color w:val="auto"/>
        </w:rPr>
      </w:pPr>
    </w:p>
    <w:p>
      <w:pPr>
        <w:ind w:left="-40" w:right="500" w:firstLine="444"/>
        <w:spacing w:after="0" w:line="282"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instrument signed by Employee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 (other than Employee).</w:t>
      </w:r>
    </w:p>
    <w:p>
      <w:pPr>
        <w:spacing w:after="0" w:line="53" w:lineRule="exact"/>
        <w:rPr>
          <w:rFonts w:ascii="Arial" w:cs="Arial" w:eastAsia="Arial" w:hAnsi="Arial"/>
          <w:sz w:val="18"/>
          <w:szCs w:val="18"/>
          <w:color w:val="auto"/>
        </w:rPr>
      </w:pPr>
    </w:p>
    <w:p>
      <w:pPr>
        <w:ind w:left="-40" w:right="180" w:firstLine="444"/>
        <w:spacing w:after="0" w:line="282"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under and be governed in all respects by the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 of laws principles of such State.</w:t>
      </w:r>
    </w:p>
    <w:p>
      <w:pPr>
        <w:spacing w:after="0" w:line="53" w:lineRule="exact"/>
        <w:rPr>
          <w:rFonts w:ascii="Arial" w:cs="Arial" w:eastAsia="Arial" w:hAnsi="Arial"/>
          <w:sz w:val="18"/>
          <w:szCs w:val="18"/>
          <w:color w:val="auto"/>
        </w:rPr>
      </w:pPr>
    </w:p>
    <w:p>
      <w:pPr>
        <w:ind w:left="-40" w:right="40" w:firstLine="444"/>
        <w:spacing w:after="0" w:line="282"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such counterparts shall together constitute one and the same document.</w:t>
      </w:r>
    </w:p>
    <w:p>
      <w:pPr>
        <w:spacing w:after="0" w:line="53" w:lineRule="exact"/>
        <w:rPr>
          <w:rFonts w:ascii="Arial" w:cs="Arial" w:eastAsia="Arial" w:hAnsi="Arial"/>
          <w:sz w:val="18"/>
          <w:szCs w:val="18"/>
          <w:color w:val="auto"/>
        </w:rPr>
      </w:pPr>
    </w:p>
    <w:p>
      <w:pPr>
        <w:ind w:left="-40" w:right="180" w:firstLine="444"/>
        <w:spacing w:after="0" w:line="282" w:lineRule="auto"/>
        <w:tabs>
          <w:tab w:leader="none" w:pos="671"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amends and restates the Existing Agreement. All prior negotiations and agreements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subject matter hereof are superseded by this Agreement.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parties have executed this Agreement effective as of the date set forth above.</w:t>
      </w:r>
    </w:p>
    <w:p>
      <w:pPr>
        <w:spacing w:after="0" w:line="248"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Steve Estes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14605</wp:posOffset>
            </wp:positionV>
            <wp:extent cx="25641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Steve Estes</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CHRO</w:t>
      </w:r>
    </w:p>
    <w:p>
      <w:pPr>
        <w:spacing w:after="0" w:line="20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Victor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14605</wp:posOffset>
            </wp:positionV>
            <wp:extent cx="27959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80" w:top="269" w:right="459" w:bottom="1440" w:gutter="0" w:footer="0" w:header="0"/>
        </w:sectPr>
      </w:pPr>
    </w:p>
    <w:bookmarkStart w:id="344" w:name="page345"/>
    <w:bookmarkEnd w:id="344"/>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56" w:lineRule="exact"/>
        <w:rPr>
          <w:sz w:val="20"/>
          <w:szCs w:val="20"/>
          <w:color w:val="auto"/>
        </w:rPr>
      </w:pPr>
    </w:p>
    <w:p>
      <w:pPr>
        <w:ind w:left="436" w:hanging="436"/>
        <w:spacing w:after="0"/>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Chief Executive Officer, Reynolds Consumer Products LLC</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Primary Location(s)</w:t>
      </w:r>
      <w:r>
        <w:rPr>
          <w:rFonts w:ascii="Arial" w:cs="Arial" w:eastAsia="Arial" w:hAnsi="Arial"/>
          <w:sz w:val="18"/>
          <w:szCs w:val="18"/>
          <w:color w:val="auto"/>
        </w:rPr>
        <w:t>: Lake Forest, IL</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$1,550,000</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Annual Bonus Target</w:t>
      </w:r>
      <w:r>
        <w:rPr>
          <w:rFonts w:ascii="Arial" w:cs="Arial" w:eastAsia="Arial" w:hAnsi="Arial"/>
          <w:sz w:val="18"/>
          <w:szCs w:val="18"/>
          <w:color w:val="auto"/>
        </w:rPr>
        <w:t>: 115% of Base Salary</w:t>
      </w:r>
    </w:p>
    <w:p>
      <w:pPr>
        <w:spacing w:after="0" w:line="130" w:lineRule="exact"/>
        <w:rPr>
          <w:rFonts w:ascii="Arial" w:cs="Arial" w:eastAsia="Arial" w:hAnsi="Arial"/>
          <w:sz w:val="18"/>
          <w:szCs w:val="18"/>
          <w:color w:val="auto"/>
        </w:rPr>
      </w:pPr>
    </w:p>
    <w:p>
      <w:pPr>
        <w:ind w:left="436" w:hanging="436"/>
        <w:spacing w:after="0" w:line="268" w:lineRule="auto"/>
        <w:tabs>
          <w:tab w:leader="none" w:pos="436"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Severance Amount/Period</w:t>
      </w:r>
      <w:r>
        <w:rPr>
          <w:rFonts w:ascii="Arial" w:cs="Arial" w:eastAsia="Arial" w:hAnsi="Arial"/>
          <w:sz w:val="17"/>
          <w:szCs w:val="17"/>
          <w:color w:val="auto"/>
        </w:rPr>
        <w:t xml:space="preserve">: (i) Base Salary plus (ii) Annual Bonus at Target prorated through Date of Termination,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Employee’s Base Salary plus (ii) Annual Bonus at Target prorated through Date of Termination, paid in equal installments over 24 months following the Date of Termination. All other terms of </w:t>
      </w:r>
      <w:r>
        <w:rPr>
          <w:rFonts w:ascii="Arial" w:cs="Arial" w:eastAsia="Arial" w:hAnsi="Arial"/>
          <w:sz w:val="17"/>
          <w:szCs w:val="17"/>
          <w:u w:val="single" w:color="auto"/>
          <w:color w:val="auto"/>
        </w:rPr>
        <w:t>Section 5(b)(i)</w:t>
      </w:r>
      <w:r>
        <w:rPr>
          <w:rFonts w:ascii="Arial" w:cs="Arial" w:eastAsia="Arial" w:hAnsi="Arial"/>
          <w:sz w:val="17"/>
          <w:szCs w:val="17"/>
          <w:color w:val="auto"/>
        </w:rPr>
        <w:t xml:space="preserve"> of the Agreement will apply. For purposes of this provision a “</w:t>
      </w:r>
      <w:r>
        <w:rPr>
          <w:rFonts w:ascii="Arial" w:cs="Arial" w:eastAsia="Arial" w:hAnsi="Arial"/>
          <w:sz w:val="17"/>
          <w:szCs w:val="17"/>
          <w:b w:val="1"/>
          <w:bCs w:val="1"/>
          <w:color w:val="auto"/>
        </w:rPr>
        <w:t>Sale of Business</w:t>
      </w:r>
      <w:r>
        <w:rPr>
          <w:rFonts w:ascii="Arial" w:cs="Arial" w:eastAsia="Arial" w:hAnsi="Arial"/>
          <w:sz w:val="17"/>
          <w:szCs w:val="17"/>
          <w:color w:val="auto"/>
        </w:rPr>
        <w:t>” shall mean the sale or other disposition of (x) more than 50% of the shares or other equity interests of the Company or the Company’s direct or indirect parent to a non-affiliated party, or (y) more than 50% of the businesses or assets that, as of the most recent year end, generated more than 50% of the Company’s EBITDA (as determined in good faith by RGHL’s CEO,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93" w:lineRule="exact"/>
        <w:rPr>
          <w:rFonts w:ascii="Arial" w:cs="Arial" w:eastAsia="Arial" w:hAnsi="Arial"/>
          <w:sz w:val="17"/>
          <w:szCs w:val="17"/>
          <w:color w:val="auto"/>
        </w:rPr>
      </w:pPr>
    </w:p>
    <w:p>
      <w:pPr>
        <w:ind w:left="436" w:hanging="436"/>
        <w:spacing w:after="0"/>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spacing w:after="0"/>
        <w:rPr>
          <w:rFonts w:ascii="Arial" w:cs="Arial" w:eastAsia="Arial" w:hAnsi="Arial"/>
          <w:sz w:val="18"/>
          <w:szCs w:val="18"/>
          <w:color w:val="auto"/>
        </w:rPr>
      </w:pPr>
      <w:r>
        <w:rPr>
          <w:rFonts w:ascii="Arial" w:cs="Arial" w:eastAsia="Arial" w:hAnsi="Arial"/>
          <w:sz w:val="18"/>
          <w:szCs w:val="18"/>
          <w:color w:val="auto"/>
        </w:rPr>
        <w:t>Long-Term Incentive Program Target: 100% of Base Salary</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96"/>
          </w:cols>
          <w:pgMar w:left="444" w:top="270" w:right="459"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Covenant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Restrictive Covenant Agreement dated July 8, 2019, between Reynolds Consumer Products LLC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and Lance (“</w:t>
      </w:r>
      <w:r>
        <w:rPr>
          <w:rFonts w:ascii="Arial" w:cs="Arial" w:eastAsia="Arial" w:hAnsi="Arial"/>
          <w:sz w:val="16"/>
          <w:szCs w:val="16"/>
          <w:b w:val="1"/>
          <w:bCs w:val="1"/>
          <w:u w:val="single" w:color="auto"/>
          <w:color w:val="auto"/>
        </w:rPr>
        <w:t>Employe</w:t>
      </w:r>
      <w:r>
        <w:rPr>
          <w:rFonts w:ascii="Arial" w:cs="Arial" w:eastAsia="Arial" w:hAnsi="Arial"/>
          <w:sz w:val="16"/>
          <w:szCs w:val="16"/>
          <w:b w:val="1"/>
          <w:bCs w:val="1"/>
          <w:color w:val="auto"/>
        </w:rPr>
        <w:t>e</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6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 In addition, the Company is providing Employee other consideration for Employee’s execution of this Agreement, as provided in a separate letter of even date herewith.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20" w:hanging="176"/>
        <w:spacing w:after="0"/>
        <w:tabs>
          <w:tab w:leader="none" w:pos="620" w:val="left"/>
        </w:tabs>
        <w:numPr>
          <w:ilvl w:val="1"/>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w:t>
      </w:r>
    </w:p>
    <w:p>
      <w:pPr>
        <w:spacing w:after="0" w:line="117" w:lineRule="exact"/>
        <w:rPr>
          <w:rFonts w:ascii="Arial" w:cs="Arial" w:eastAsia="Arial" w:hAnsi="Arial"/>
          <w:sz w:val="18"/>
          <w:szCs w:val="18"/>
          <w:color w:val="auto"/>
        </w:rPr>
      </w:pPr>
    </w:p>
    <w:p>
      <w:pPr>
        <w:jc w:val="both"/>
        <w:ind w:right="220" w:firstLine="996"/>
        <w:spacing w:after="0" w:line="281" w:lineRule="auto"/>
        <w:tabs>
          <w:tab w:leader="none" w:pos="1237" w:val="left"/>
        </w:tabs>
        <w:numPr>
          <w:ilvl w:val="2"/>
          <w:numId w:val="2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Product</w:t>
      </w:r>
      <w:r>
        <w:rPr>
          <w:rFonts w:ascii="Arial" w:cs="Arial" w:eastAsia="Arial" w:hAnsi="Arial"/>
          <w:sz w:val="17"/>
          <w:szCs w:val="17"/>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56" w:lineRule="exact"/>
        <w:rPr>
          <w:rFonts w:ascii="Arial" w:cs="Arial" w:eastAsia="Arial" w:hAnsi="Arial"/>
          <w:sz w:val="17"/>
          <w:szCs w:val="17"/>
          <w:color w:val="auto"/>
        </w:rPr>
      </w:pPr>
    </w:p>
    <w:p>
      <w:pPr>
        <w:ind w:right="220" w:firstLine="996"/>
        <w:spacing w:after="0" w:line="282" w:lineRule="auto"/>
        <w:tabs>
          <w:tab w:leader="none" w:pos="1247" w:val="left"/>
        </w:tabs>
        <w:numPr>
          <w:ilvl w:val="2"/>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Competitive Activity</w:t>
      </w:r>
      <w:r>
        <w:rPr>
          <w:rFonts w:ascii="Arial" w:cs="Arial" w:eastAsia="Arial" w:hAnsi="Arial"/>
          <w:sz w:val="18"/>
          <w:szCs w:val="18"/>
          <w:color w:val="auto"/>
        </w:rPr>
        <w:t>” means the marketing, distribution, promotion, sales, development, delivery, or servicing of any product that competes with any Company Product.</w:t>
      </w:r>
    </w:p>
    <w:p>
      <w:pPr>
        <w:spacing w:after="0" w:line="53" w:lineRule="exact"/>
        <w:rPr>
          <w:rFonts w:ascii="Arial" w:cs="Arial" w:eastAsia="Arial" w:hAnsi="Arial"/>
          <w:sz w:val="18"/>
          <w:szCs w:val="18"/>
          <w:color w:val="auto"/>
        </w:rPr>
      </w:pPr>
    </w:p>
    <w:p>
      <w:pPr>
        <w:jc w:val="both"/>
        <w:ind w:firstLine="996"/>
        <w:spacing w:after="0" w:line="261" w:lineRule="auto"/>
        <w:tabs>
          <w:tab w:leader="none" w:pos="1237" w:val="left"/>
        </w:tabs>
        <w:numPr>
          <w:ilvl w:val="2"/>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Competitor</w:t>
      </w:r>
      <w:r>
        <w:rPr>
          <w:rFonts w:ascii="Arial" w:cs="Arial" w:eastAsia="Arial" w:hAnsi="Arial"/>
          <w:sz w:val="18"/>
          <w:szCs w:val="18"/>
          <w:color w:val="auto"/>
        </w:rPr>
        <w:t xml:space="preserve">” means (i) those entities listed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other entities that the Company reasonably determines are engaged in a Competitive Activity, in each case plus any direct or indirect parent or subsidiary of such entity,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right="340" w:firstLine="996"/>
        <w:spacing w:after="0" w:line="293" w:lineRule="auto"/>
        <w:tabs>
          <w:tab w:leader="none" w:pos="1247" w:val="left"/>
        </w:tabs>
        <w:numPr>
          <w:ilvl w:val="2"/>
          <w:numId w:val="2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Customer</w:t>
      </w:r>
      <w:r>
        <w:rPr>
          <w:rFonts w:ascii="Arial" w:cs="Arial" w:eastAsia="Arial" w:hAnsi="Arial"/>
          <w:sz w:val="16"/>
          <w:szCs w:val="16"/>
          <w:color w:val="auto"/>
        </w:rPr>
        <w:t>” means any customer, including distributors, with whom the Company transacted business during the 24-month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right="760" w:firstLine="4"/>
        <w:spacing w:after="0" w:line="261" w:lineRule="auto"/>
        <w:tabs>
          <w:tab w:leader="none" w:pos="26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knew Proprietary Information of or about, the Customer during the 24-month period immediately preceding the termination of Employee’s employment with the Company.</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121" w:lineRule="exact"/>
        <w:rPr>
          <w:sz w:val="20"/>
          <w:szCs w:val="20"/>
          <w:color w:val="auto"/>
        </w:rPr>
      </w:pPr>
    </w:p>
    <w:p>
      <w:pPr>
        <w:ind w:left="5460" w:right="4760" w:hanging="4464"/>
        <w:spacing w:after="0" w:line="388" w:lineRule="auto"/>
        <w:tabs>
          <w:tab w:leader="none" w:pos="124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with whom or with which Employee dealt on behalf of the Company; 2</w:t>
      </w:r>
    </w:p>
    <w:p>
      <w:pPr>
        <w:sectPr>
          <w:pgSz w:w="11900" w:h="16838" w:orient="portrait"/>
          <w:cols w:equalWidth="0" w:num="1">
            <w:col w:w="11020"/>
          </w:cols>
          <w:pgMar w:left="440" w:top="270" w:right="439" w:bottom="1440" w:gutter="0" w:footer="0" w:header="0"/>
        </w:sectPr>
      </w:pPr>
    </w:p>
    <w:bookmarkStart w:id="346" w:name="page347"/>
    <w:bookmarkEnd w:id="346"/>
    <w:p>
      <w:pPr>
        <w:ind w:left="1116" w:hanging="252"/>
        <w:spacing w:after="0"/>
        <w:tabs>
          <w:tab w:leader="none" w:pos="1116" w:val="left"/>
        </w:tabs>
        <w:numPr>
          <w:ilvl w:val="1"/>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whose dealings with the Company were coordinated or supervised by Employee; or</w:t>
      </w:r>
    </w:p>
    <w:p>
      <w:pPr>
        <w:spacing w:after="0" w:line="117" w:lineRule="exact"/>
        <w:rPr>
          <w:rFonts w:ascii="Arial" w:cs="Arial" w:eastAsia="Arial" w:hAnsi="Arial"/>
          <w:sz w:val="18"/>
          <w:szCs w:val="18"/>
          <w:color w:val="auto"/>
        </w:rPr>
      </w:pPr>
    </w:p>
    <w:p>
      <w:pPr>
        <w:ind w:left="1116" w:hanging="252"/>
        <w:spacing w:after="0"/>
        <w:tabs>
          <w:tab w:leader="none" w:pos="111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pacing w:after="0" w:line="113" w:lineRule="exact"/>
        <w:rPr>
          <w:rFonts w:ascii="Arial" w:cs="Arial" w:eastAsia="Arial" w:hAnsi="Arial"/>
          <w:sz w:val="18"/>
          <w:szCs w:val="18"/>
          <w:color w:val="auto"/>
        </w:rPr>
      </w:pPr>
    </w:p>
    <w:p>
      <w:pPr>
        <w:ind w:left="-4" w:firstLine="996"/>
        <w:spacing w:after="0" w:line="267" w:lineRule="auto"/>
        <w:tabs>
          <w:tab w:leader="none" w:pos="1213" w:val="left"/>
        </w:tabs>
        <w:numPr>
          <w:ilvl w:val="2"/>
          <w:numId w:val="2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Proprietary Information</w:t>
      </w:r>
      <w:r>
        <w:rPr>
          <w:rFonts w:ascii="Arial" w:cs="Arial" w:eastAsia="Arial" w:hAnsi="Arial"/>
          <w:sz w:val="17"/>
          <w:szCs w:val="17"/>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81" w:lineRule="exact"/>
        <w:rPr>
          <w:rFonts w:ascii="Arial" w:cs="Arial" w:eastAsia="Arial" w:hAnsi="Arial"/>
          <w:sz w:val="17"/>
          <w:szCs w:val="17"/>
          <w:color w:val="auto"/>
        </w:rPr>
      </w:pPr>
    </w:p>
    <w:p>
      <w:pPr>
        <w:ind w:left="-4" w:right="100" w:firstLine="996"/>
        <w:spacing w:after="0" w:line="293" w:lineRule="auto"/>
        <w:tabs>
          <w:tab w:leader="none" w:pos="1243" w:val="left"/>
        </w:tabs>
        <w:numPr>
          <w:ilvl w:val="2"/>
          <w:numId w:val="2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Prospective Customer</w:t>
      </w:r>
      <w:r>
        <w:rPr>
          <w:rFonts w:ascii="Arial" w:cs="Arial" w:eastAsia="Arial" w:hAnsi="Arial"/>
          <w:sz w:val="16"/>
          <w:szCs w:val="16"/>
          <w:color w:val="auto"/>
        </w:rPr>
        <w:t>” means any person with whom the Company was attempting to transact business within the six 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left="-4" w:right="740" w:firstLine="4"/>
        <w:spacing w:after="0" w:line="261" w:lineRule="auto"/>
        <w:tabs>
          <w:tab w:leader="none" w:pos="26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knew Proprietary Information of or about, the Prospective Customer during the six-month period immediately preceding the termination of Employee’s employment.</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6"/>
          </w:cols>
          <w:pgMar w:left="444" w:top="274" w:right="439" w:bottom="1440" w:gutter="0" w:footer="0" w:header="0"/>
        </w:sectPr>
      </w:pPr>
    </w:p>
    <w:bookmarkStart w:id="347" w:name="page348"/>
    <w:bookmarkEnd w:id="347"/>
    <w:p>
      <w:pPr>
        <w:ind w:left="-40" w:firstLine="444"/>
        <w:spacing w:after="0" w:line="272" w:lineRule="auto"/>
        <w:tabs>
          <w:tab w:leader="none" w:pos="581" w:val="left"/>
        </w:tabs>
        <w:numPr>
          <w:ilvl w:val="0"/>
          <w:numId w:val="25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Legitimate Interest</w:t>
      </w:r>
      <w:r>
        <w:rPr>
          <w:rFonts w:ascii="Arial" w:cs="Arial" w:eastAsia="Arial" w:hAnsi="Arial"/>
          <w:sz w:val="17"/>
          <w:szCs w:val="17"/>
          <w:color w:val="auto"/>
        </w:rPr>
        <w:t>. Due to the nature of the Company’s business, certain the Company employees, including Employee, have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64" w:lineRule="exact"/>
        <w:rPr>
          <w:rFonts w:ascii="Arial" w:cs="Arial" w:eastAsia="Arial" w:hAnsi="Arial"/>
          <w:sz w:val="17"/>
          <w:szCs w:val="17"/>
          <w:color w:val="auto"/>
        </w:rPr>
      </w:pPr>
    </w:p>
    <w:p>
      <w:pPr>
        <w:ind w:left="580" w:hanging="176"/>
        <w:spacing w:after="0"/>
        <w:tabs>
          <w:tab w:leader="none" w:pos="58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color w:val="auto"/>
        </w:rPr>
        <w:t>. 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color w:val="auto"/>
        </w:rPr>
        <w:t>, Employee certifies the following:</w:t>
      </w:r>
    </w:p>
    <w:p>
      <w:pPr>
        <w:spacing w:after="0" w:line="121" w:lineRule="exact"/>
        <w:rPr>
          <w:rFonts w:ascii="Arial" w:cs="Arial" w:eastAsia="Arial" w:hAnsi="Arial"/>
          <w:sz w:val="18"/>
          <w:szCs w:val="18"/>
          <w:color w:val="auto"/>
        </w:rPr>
      </w:pPr>
    </w:p>
    <w:p>
      <w:pPr>
        <w:ind w:left="-40" w:right="360" w:firstLine="996"/>
        <w:spacing w:after="0" w:line="259" w:lineRule="auto"/>
        <w:tabs>
          <w:tab w:leader="none" w:pos="1197"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pacing w:after="0" w:line="78" w:lineRule="exact"/>
        <w:rPr>
          <w:rFonts w:ascii="Arial" w:cs="Arial" w:eastAsia="Arial" w:hAnsi="Arial"/>
          <w:sz w:val="18"/>
          <w:szCs w:val="18"/>
          <w:color w:val="auto"/>
        </w:rPr>
      </w:pPr>
    </w:p>
    <w:p>
      <w:pPr>
        <w:ind w:left="-40" w:firstLine="996"/>
        <w:spacing w:after="0" w:line="257" w:lineRule="auto"/>
        <w:tabs>
          <w:tab w:leader="none" w:pos="1207"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B</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80" w:lineRule="exact"/>
        <w:rPr>
          <w:rFonts w:ascii="Arial" w:cs="Arial" w:eastAsia="Arial" w:hAnsi="Arial"/>
          <w:sz w:val="18"/>
          <w:szCs w:val="18"/>
          <w:color w:val="auto"/>
        </w:rPr>
      </w:pPr>
    </w:p>
    <w:p>
      <w:pPr>
        <w:jc w:val="both"/>
        <w:ind w:left="-40" w:right="120" w:firstLine="996"/>
        <w:spacing w:after="0" w:line="264" w:lineRule="auto"/>
        <w:tabs>
          <w:tab w:leader="none" w:pos="1197"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580" w:hanging="176"/>
        <w:spacing w:after="0"/>
        <w:tabs>
          <w:tab w:leader="none" w:pos="58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0" w:right="60" w:firstLine="996"/>
        <w:spacing w:after="0" w:line="289" w:lineRule="auto"/>
        <w:tabs>
          <w:tab w:leader="none" w:pos="1197"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80" w:top="269" w:right="459" w:bottom="1440" w:gutter="0" w:footer="0" w:header="0"/>
        </w:sectPr>
      </w:pPr>
    </w:p>
    <w:bookmarkStart w:id="348" w:name="page349"/>
    <w:bookmarkEnd w:id="348"/>
    <w:p>
      <w:pPr>
        <w:ind w:left="-20" w:firstLine="996"/>
        <w:spacing w:after="0" w:line="269" w:lineRule="auto"/>
        <w:tabs>
          <w:tab w:leader="none" w:pos="1227" w:val="left"/>
        </w:tabs>
        <w:numPr>
          <w:ilvl w:val="1"/>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74" w:lineRule="exact"/>
        <w:rPr>
          <w:rFonts w:ascii="Arial" w:cs="Arial" w:eastAsia="Arial" w:hAnsi="Arial"/>
          <w:sz w:val="17"/>
          <w:szCs w:val="17"/>
          <w:color w:val="auto"/>
        </w:rPr>
      </w:pPr>
    </w:p>
    <w:p>
      <w:pPr>
        <w:ind w:left="-20" w:right="140" w:firstLine="996"/>
        <w:spacing w:after="0" w:line="312" w:lineRule="auto"/>
        <w:tabs>
          <w:tab w:leader="none" w:pos="121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Employee has identified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6"/>
          <w:szCs w:val="16"/>
          <w:u w:val="single" w:color="auto"/>
          <w:color w:val="auto"/>
        </w:rPr>
        <w:t>Attachment C</w:t>
      </w:r>
      <w:r>
        <w:rPr>
          <w:rFonts w:ascii="Arial" w:cs="Arial" w:eastAsia="Arial" w:hAnsi="Arial"/>
          <w:sz w:val="16"/>
          <w:szCs w:val="16"/>
          <w:color w:val="auto"/>
        </w:rPr>
        <w:t>, Employee represents that Employee has made no such inventions and improvements at the time of signing this Agreement.</w:t>
      </w:r>
    </w:p>
    <w:p>
      <w:pPr>
        <w:spacing w:after="0" w:line="38" w:lineRule="exact"/>
        <w:rPr>
          <w:rFonts w:ascii="Arial" w:cs="Arial" w:eastAsia="Arial" w:hAnsi="Arial"/>
          <w:sz w:val="16"/>
          <w:szCs w:val="16"/>
          <w:color w:val="auto"/>
        </w:rPr>
      </w:pPr>
    </w:p>
    <w:p>
      <w:pPr>
        <w:jc w:val="both"/>
        <w:ind w:left="-20" w:right="120" w:firstLine="996"/>
        <w:spacing w:after="0" w:line="279" w:lineRule="auto"/>
        <w:tabs>
          <w:tab w:leader="none" w:pos="1227" w:val="left"/>
        </w:tabs>
        <w:numPr>
          <w:ilvl w:val="1"/>
          <w:numId w:val="255"/>
        </w:numPr>
        <w:rPr>
          <w:rFonts w:ascii="Arial" w:cs="Arial" w:eastAsia="Arial" w:hAnsi="Arial"/>
          <w:sz w:val="17"/>
          <w:szCs w:val="17"/>
          <w:color w:val="auto"/>
        </w:rPr>
      </w:pPr>
      <w:r>
        <w:rPr>
          <w:rFonts w:ascii="Arial" w:cs="Arial" w:eastAsia="Arial" w:hAnsi="Arial"/>
          <w:sz w:val="17"/>
          <w:szCs w:val="17"/>
          <w:color w:val="auto"/>
        </w:rPr>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59" w:lineRule="exact"/>
        <w:rPr>
          <w:rFonts w:ascii="Arial" w:cs="Arial" w:eastAsia="Arial" w:hAnsi="Arial"/>
          <w:sz w:val="17"/>
          <w:szCs w:val="17"/>
          <w:color w:val="auto"/>
        </w:rPr>
      </w:pPr>
    </w:p>
    <w:p>
      <w:pPr>
        <w:ind w:left="600" w:hanging="176"/>
        <w:spacing w:after="0"/>
        <w:tabs>
          <w:tab w:leader="none" w:pos="600"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96"/>
        <w:spacing w:after="0" w:line="261" w:lineRule="auto"/>
        <w:tabs>
          <w:tab w:leader="none" w:pos="1216" w:val="left"/>
        </w:tabs>
        <w:numPr>
          <w:ilvl w:val="1"/>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an the Company Product.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349" w:name="page350"/>
    <w:bookmarkEnd w:id="349"/>
    <w:p>
      <w:pPr>
        <w:ind w:right="40" w:firstLine="996"/>
        <w:spacing w:after="0" w:line="261" w:lineRule="auto"/>
        <w:tabs>
          <w:tab w:leader="none" w:pos="1247"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Prospective Customers</w:t>
      </w:r>
      <w:r>
        <w:rPr>
          <w:rFonts w:ascii="Arial" w:cs="Arial" w:eastAsia="Arial" w:hAnsi="Arial"/>
          <w:sz w:val="18"/>
          <w:szCs w:val="18"/>
          <w:color w:val="auto"/>
        </w:rPr>
        <w:t>. 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an the Company Product.</w:t>
      </w:r>
    </w:p>
    <w:p>
      <w:pPr>
        <w:spacing w:after="0" w:line="71" w:lineRule="exact"/>
        <w:rPr>
          <w:rFonts w:ascii="Arial" w:cs="Arial" w:eastAsia="Arial" w:hAnsi="Arial"/>
          <w:sz w:val="18"/>
          <w:szCs w:val="18"/>
          <w:color w:val="auto"/>
        </w:rPr>
      </w:pPr>
    </w:p>
    <w:p>
      <w:pPr>
        <w:ind w:firstLine="996"/>
        <w:spacing w:after="0" w:line="256" w:lineRule="auto"/>
        <w:tabs>
          <w:tab w:leader="none" w:pos="1236"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79" w:lineRule="exact"/>
        <w:rPr>
          <w:rFonts w:ascii="Arial" w:cs="Arial" w:eastAsia="Arial" w:hAnsi="Arial"/>
          <w:sz w:val="18"/>
          <w:szCs w:val="18"/>
          <w:color w:val="auto"/>
        </w:rPr>
      </w:pPr>
    </w:p>
    <w:p>
      <w:pPr>
        <w:ind w:right="120" w:firstLine="996"/>
        <w:spacing w:after="0" w:line="256" w:lineRule="auto"/>
        <w:tabs>
          <w:tab w:leader="none" w:pos="1247"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color w:val="auto"/>
        </w:rPr>
        <w:t>. Employee agrees that during Employee’s employment with the Company and for a period of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termination of Employee’s employment, Employee shall not, anywhere in North America (United States, Mexico or Canada) act in any capacity, whether or not for consideration, for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shall is reasonable and appropriate.</w:t>
      </w:r>
    </w:p>
    <w:p>
      <w:pPr>
        <w:spacing w:after="0" w:line="79" w:lineRule="exact"/>
        <w:rPr>
          <w:rFonts w:ascii="Arial" w:cs="Arial" w:eastAsia="Arial" w:hAnsi="Arial"/>
          <w:sz w:val="18"/>
          <w:szCs w:val="18"/>
          <w:color w:val="auto"/>
        </w:rPr>
      </w:pPr>
    </w:p>
    <w:p>
      <w:pPr>
        <w:ind w:left="1240" w:hanging="244"/>
        <w:spacing w:after="0"/>
        <w:tabs>
          <w:tab w:leader="none" w:pos="1240" w:val="left"/>
        </w:tabs>
        <w:numPr>
          <w:ilvl w:val="0"/>
          <w:numId w:val="257"/>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Covenant</w:t>
      </w:r>
      <w:r>
        <w:rPr>
          <w:rFonts w:ascii="Arial" w:cs="Arial" w:eastAsia="Arial" w:hAnsi="Arial"/>
          <w:sz w:val="17"/>
          <w:szCs w:val="17"/>
          <w:color w:val="auto"/>
        </w:rPr>
        <w:t>. During Employee’s employment with the Company and following the termination of Employee’s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102" w:lineRule="exact"/>
        <w:rPr>
          <w:rFonts w:ascii="Arial" w:cs="Arial" w:eastAsia="Arial" w:hAnsi="Arial"/>
          <w:sz w:val="17"/>
          <w:szCs w:val="17"/>
          <w:color w:val="auto"/>
        </w:rPr>
      </w:pPr>
    </w:p>
    <w:p>
      <w:pPr>
        <w:ind w:left="440" w:firstLine="957"/>
        <w:spacing w:after="0" w:line="259" w:lineRule="auto"/>
        <w:tabs>
          <w:tab w:leader="none" w:pos="160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8" w:lineRule="exact"/>
        <w:rPr>
          <w:rFonts w:ascii="Arial" w:cs="Arial" w:eastAsia="Arial" w:hAnsi="Arial"/>
          <w:sz w:val="18"/>
          <w:szCs w:val="18"/>
          <w:color w:val="auto"/>
        </w:rPr>
      </w:pPr>
    </w:p>
    <w:p>
      <w:pPr>
        <w:ind w:left="440" w:right="140" w:firstLine="957"/>
        <w:spacing w:after="0" w:line="277" w:lineRule="auto"/>
        <w:tabs>
          <w:tab w:leader="none" w:pos="165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62" w:lineRule="exact"/>
        <w:rPr>
          <w:rFonts w:ascii="Arial" w:cs="Arial" w:eastAsia="Arial" w:hAnsi="Arial"/>
          <w:sz w:val="18"/>
          <w:szCs w:val="18"/>
          <w:color w:val="auto"/>
        </w:rPr>
      </w:pPr>
    </w:p>
    <w:p>
      <w:pPr>
        <w:ind w:left="440" w:right="80" w:firstLine="957"/>
        <w:spacing w:after="0" w:line="264" w:lineRule="auto"/>
        <w:tabs>
          <w:tab w:leader="none" w:pos="170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50" w:name="page351"/>
    <w:bookmarkEnd w:id="350"/>
    <w:p>
      <w:pPr>
        <w:ind w:left="420" w:right="20" w:firstLine="957"/>
        <w:spacing w:after="0" w:line="264" w:lineRule="auto"/>
        <w:tabs>
          <w:tab w:leader="none" w:pos="1677" w:val="left"/>
        </w:tabs>
        <w:numPr>
          <w:ilvl w:val="1"/>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73" w:lineRule="exact"/>
        <w:rPr>
          <w:rFonts w:ascii="Arial" w:cs="Arial" w:eastAsia="Arial" w:hAnsi="Arial"/>
          <w:sz w:val="18"/>
          <w:szCs w:val="18"/>
          <w:color w:val="auto"/>
        </w:rPr>
      </w:pPr>
    </w:p>
    <w:p>
      <w:pPr>
        <w:ind w:left="420" w:right="60" w:firstLine="957"/>
        <w:spacing w:after="0" w:line="264" w:lineRule="auto"/>
        <w:tabs>
          <w:tab w:leader="none" w:pos="162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73" w:lineRule="exact"/>
        <w:rPr>
          <w:rFonts w:ascii="Arial" w:cs="Arial" w:eastAsia="Arial" w:hAnsi="Arial"/>
          <w:sz w:val="18"/>
          <w:szCs w:val="18"/>
          <w:color w:val="auto"/>
        </w:rPr>
      </w:pPr>
    </w:p>
    <w:p>
      <w:pPr>
        <w:ind w:left="420" w:firstLine="957"/>
        <w:spacing w:after="0" w:line="277" w:lineRule="auto"/>
        <w:tabs>
          <w:tab w:leader="none" w:pos="167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62" w:lineRule="exact"/>
        <w:rPr>
          <w:rFonts w:ascii="Arial" w:cs="Arial" w:eastAsia="Arial" w:hAnsi="Arial"/>
          <w:sz w:val="18"/>
          <w:szCs w:val="18"/>
          <w:color w:val="auto"/>
        </w:rPr>
      </w:pPr>
    </w:p>
    <w:p>
      <w:pPr>
        <w:ind w:left="420" w:right="120" w:firstLine="957"/>
        <w:spacing w:after="0" w:line="264" w:lineRule="auto"/>
        <w:tabs>
          <w:tab w:leader="none" w:pos="172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69" w:lineRule="exact"/>
        <w:rPr>
          <w:rFonts w:ascii="Arial" w:cs="Arial" w:eastAsia="Arial" w:hAnsi="Arial"/>
          <w:sz w:val="18"/>
          <w:szCs w:val="18"/>
          <w:color w:val="auto"/>
        </w:rPr>
      </w:pPr>
    </w:p>
    <w:p>
      <w:pPr>
        <w:ind w:left="-20" w:right="60" w:firstLine="996"/>
        <w:spacing w:after="0" w:line="292" w:lineRule="auto"/>
        <w:tabs>
          <w:tab w:leader="none" w:pos="1197" w:val="left"/>
        </w:tabs>
        <w:numPr>
          <w:ilvl w:val="0"/>
          <w:numId w:val="259"/>
        </w:numPr>
        <w:rPr>
          <w:rFonts w:ascii="Arial" w:cs="Arial" w:eastAsia="Arial" w:hAnsi="Arial"/>
          <w:sz w:val="16"/>
          <w:szCs w:val="16"/>
          <w:color w:val="auto"/>
        </w:rPr>
      </w:pPr>
      <w:r>
        <w:rPr>
          <w:rFonts w:ascii="Arial" w:cs="Arial" w:eastAsia="Arial" w:hAnsi="Arial"/>
          <w:sz w:val="16"/>
          <w:szCs w:val="16"/>
          <w:b w:val="1"/>
          <w:bCs w:val="1"/>
          <w:u w:val="single" w:color="auto"/>
          <w:color w:val="auto"/>
        </w:rPr>
        <w:t>Scope of Covenants</w:t>
      </w:r>
      <w:r>
        <w:rPr>
          <w:rFonts w:ascii="Arial" w:cs="Arial" w:eastAsia="Arial" w:hAnsi="Arial"/>
          <w:sz w:val="16"/>
          <w:szCs w:val="16"/>
          <w:color w:val="auto"/>
        </w:rPr>
        <w:t>. The parties desire for the restrictive covenants, including any time period and geographic scope, to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53" w:lineRule="exact"/>
        <w:rPr>
          <w:rFonts w:ascii="Arial" w:cs="Arial" w:eastAsia="Arial" w:hAnsi="Arial"/>
          <w:sz w:val="16"/>
          <w:szCs w:val="16"/>
          <w:color w:val="auto"/>
        </w:rPr>
      </w:pPr>
    </w:p>
    <w:p>
      <w:pPr>
        <w:ind w:left="-20" w:right="180" w:firstLine="996"/>
        <w:spacing w:after="0" w:line="256" w:lineRule="auto"/>
        <w:tabs>
          <w:tab w:leader="none" w:pos="1227" w:val="left"/>
        </w:tabs>
        <w:numPr>
          <w:ilvl w:val="0"/>
          <w:numId w:val="259"/>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Employee agrees that a threatened or existing violation of any of the post-employment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79" w:lineRule="exact"/>
        <w:rPr>
          <w:rFonts w:ascii="Arial" w:cs="Arial" w:eastAsia="Arial" w:hAnsi="Arial"/>
          <w:sz w:val="18"/>
          <w:szCs w:val="18"/>
          <w:color w:val="auto"/>
        </w:rPr>
      </w:pPr>
    </w:p>
    <w:p>
      <w:pPr>
        <w:jc w:val="both"/>
        <w:ind w:left="-20" w:right="300" w:firstLine="996"/>
        <w:spacing w:after="0" w:line="266" w:lineRule="auto"/>
        <w:tabs>
          <w:tab w:leader="none" w:pos="1227" w:val="left"/>
        </w:tabs>
        <w:numPr>
          <w:ilvl w:val="0"/>
          <w:numId w:val="259"/>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color w:val="auto"/>
        </w:rPr>
        <w:t>. 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351" w:name="page352"/>
    <w:bookmarkEnd w:id="351"/>
    <w:p>
      <w:pPr>
        <w:ind w:left="-20" w:right="20" w:firstLine="996"/>
        <w:spacing w:after="0" w:line="277" w:lineRule="auto"/>
        <w:tabs>
          <w:tab w:leader="none" w:pos="1187" w:val="left"/>
        </w:tabs>
        <w:numPr>
          <w:ilvl w:val="1"/>
          <w:numId w:val="26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Inevitable Use of Proprietary Information</w:t>
      </w:r>
      <w:r>
        <w:rPr>
          <w:rFonts w:ascii="Arial" w:cs="Arial" w:eastAsia="Arial" w:hAnsi="Arial"/>
          <w:sz w:val="17"/>
          <w:szCs w:val="17"/>
          <w:color w:val="auto"/>
        </w:rPr>
        <w:t>. Employee acknowledges and agrees that, after Employee’s separation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will possess the Company’s Proprietary Information which Employee would inevitably use if Employee were to engage in the conduct prohibited by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60" w:lineRule="exact"/>
        <w:rPr>
          <w:rFonts w:ascii="Arial" w:cs="Arial" w:eastAsia="Arial" w:hAnsi="Arial"/>
          <w:sz w:val="17"/>
          <w:szCs w:val="17"/>
          <w:color w:val="auto"/>
        </w:rPr>
      </w:pPr>
    </w:p>
    <w:p>
      <w:pPr>
        <w:ind w:left="-20" w:firstLine="444"/>
        <w:spacing w:after="0" w:line="258" w:lineRule="auto"/>
        <w:tabs>
          <w:tab w:leader="none" w:pos="601" w:val="left"/>
        </w:tabs>
        <w:numPr>
          <w:ilvl w:val="0"/>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color w:val="auto"/>
        </w:rPr>
        <w:t>. Employee acknowledges that it is necessary and appropriate for the Company to protect its legitimate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75" w:lineRule="exact"/>
        <w:rPr>
          <w:rFonts w:ascii="Arial" w:cs="Arial" w:eastAsia="Arial" w:hAnsi="Arial"/>
          <w:sz w:val="18"/>
          <w:szCs w:val="18"/>
          <w:color w:val="auto"/>
        </w:rPr>
      </w:pPr>
    </w:p>
    <w:p>
      <w:pPr>
        <w:ind w:left="-20" w:right="80" w:firstLine="444"/>
        <w:spacing w:after="0" w:line="298" w:lineRule="auto"/>
        <w:tabs>
          <w:tab w:leader="none" w:pos="601" w:val="left"/>
        </w:tabs>
        <w:numPr>
          <w:ilvl w:val="0"/>
          <w:numId w:val="261"/>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No representation, promise, understanding, or warranty not set forth herein has been made or relied upon by either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making this Agreement. No modification, amendment or addition will be valid, unless set forth in writing and signed by the party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parties agree that the term of any prior confidentiality or restrictive covenants shall govern.</w:t>
      </w:r>
    </w:p>
    <w:p>
      <w:pPr>
        <w:spacing w:after="0" w:line="46" w:lineRule="exact"/>
        <w:rPr>
          <w:rFonts w:ascii="Arial" w:cs="Arial" w:eastAsia="Arial" w:hAnsi="Arial"/>
          <w:sz w:val="16"/>
          <w:szCs w:val="16"/>
          <w:color w:val="auto"/>
        </w:rPr>
      </w:pPr>
    </w:p>
    <w:p>
      <w:pPr>
        <w:ind w:left="-20" w:right="280" w:firstLine="444"/>
        <w:spacing w:after="0" w:line="266" w:lineRule="auto"/>
        <w:tabs>
          <w:tab w:leader="none" w:pos="601" w:val="left"/>
        </w:tabs>
        <w:numPr>
          <w:ilvl w:val="0"/>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color w:val="auto"/>
        </w:rPr>
        <w:t>. Nothing in this Agreement shall be deemed to constitute a contract of employment for any given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Company and Employee shall be employment-at-will and either the Company or Employee may terminate it at any time for any reason without liability.</w:t>
      </w:r>
    </w:p>
    <w:p>
      <w:pPr>
        <w:spacing w:after="0" w:line="68" w:lineRule="exact"/>
        <w:rPr>
          <w:rFonts w:ascii="Arial" w:cs="Arial" w:eastAsia="Arial" w:hAnsi="Arial"/>
          <w:sz w:val="18"/>
          <w:szCs w:val="18"/>
          <w:color w:val="auto"/>
        </w:rPr>
      </w:pPr>
    </w:p>
    <w:p>
      <w:pPr>
        <w:ind w:left="600" w:hanging="176"/>
        <w:spacing w:after="0"/>
        <w:tabs>
          <w:tab w:leader="none" w:pos="600" w:val="left"/>
        </w:tabs>
        <w:numPr>
          <w:ilvl w:val="0"/>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Employment</w:t>
      </w:r>
      <w:r>
        <w:rPr>
          <w:rFonts w:ascii="Arial" w:cs="Arial" w:eastAsia="Arial" w:hAnsi="Arial"/>
          <w:sz w:val="18"/>
          <w:szCs w:val="18"/>
          <w:color w:val="auto"/>
        </w:rPr>
        <w:t>. In order to protect the Company’s rights under this Agreement, Employee agrees that:</w:t>
      </w:r>
    </w:p>
    <w:p>
      <w:pPr>
        <w:spacing w:after="0" w:line="121" w:lineRule="exact"/>
        <w:rPr>
          <w:rFonts w:ascii="Arial" w:cs="Arial" w:eastAsia="Arial" w:hAnsi="Arial"/>
          <w:sz w:val="18"/>
          <w:szCs w:val="18"/>
          <w:color w:val="auto"/>
        </w:rPr>
      </w:pPr>
    </w:p>
    <w:p>
      <w:pPr>
        <w:ind w:left="-20" w:right="60" w:firstLine="996"/>
        <w:spacing w:after="0" w:line="276" w:lineRule="auto"/>
        <w:tabs>
          <w:tab w:leader="none" w:pos="1217" w:val="left"/>
        </w:tabs>
        <w:numPr>
          <w:ilvl w:val="1"/>
          <w:numId w:val="261"/>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64" w:lineRule="exact"/>
        <w:rPr>
          <w:rFonts w:ascii="Arial" w:cs="Arial" w:eastAsia="Arial" w:hAnsi="Arial"/>
          <w:sz w:val="17"/>
          <w:szCs w:val="17"/>
          <w:color w:val="auto"/>
        </w:rPr>
      </w:pPr>
    </w:p>
    <w:p>
      <w:pPr>
        <w:jc w:val="both"/>
        <w:ind w:left="-20" w:right="80" w:firstLine="996"/>
        <w:spacing w:after="0" w:line="264" w:lineRule="auto"/>
        <w:tabs>
          <w:tab w:leader="none" w:pos="122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 month period after the termination of Employee’s employment.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352" w:name="page353"/>
    <w:bookmarkEnd w:id="352"/>
    <w:p>
      <w:pPr>
        <w:ind w:right="120" w:firstLine="444"/>
        <w:spacing w:after="0" w:line="277" w:lineRule="auto"/>
        <w:tabs>
          <w:tab w:leader="none" w:pos="711" w:val="left"/>
        </w:tabs>
        <w:numPr>
          <w:ilvl w:val="0"/>
          <w:numId w:val="26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Agreement</w:t>
      </w:r>
      <w:r>
        <w:rPr>
          <w:rFonts w:ascii="Arial" w:cs="Arial" w:eastAsia="Arial" w:hAnsi="Arial"/>
          <w:sz w:val="17"/>
          <w:szCs w:val="17"/>
          <w:color w:val="auto"/>
        </w:rPr>
        <w:t>. The Company may assign this Agreement, its rights, interests and remedies under this Agreement,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60" w:lineRule="exact"/>
        <w:rPr>
          <w:rFonts w:ascii="Arial" w:cs="Arial" w:eastAsia="Arial" w:hAnsi="Arial"/>
          <w:sz w:val="17"/>
          <w:szCs w:val="17"/>
          <w:color w:val="auto"/>
        </w:rPr>
      </w:pPr>
    </w:p>
    <w:p>
      <w:pPr>
        <w:jc w:val="both"/>
        <w:ind w:firstLine="444"/>
        <w:spacing w:after="0" w:line="289" w:lineRule="auto"/>
        <w:tabs>
          <w:tab w:leader="none" w:pos="704" w:val="left"/>
        </w:tabs>
        <w:numPr>
          <w:ilvl w:val="0"/>
          <w:numId w:val="262"/>
        </w:numPr>
        <w:rPr>
          <w:rFonts w:ascii="Arial" w:cs="Arial" w:eastAsia="Arial" w:hAnsi="Arial"/>
          <w:sz w:val="17"/>
          <w:szCs w:val="17"/>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color w:val="auto"/>
        </w:rPr>
        <w:t>. No failure or delay by any party to this Agreement in exercising any right, power or privilege hereunder,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50" w:lineRule="exact"/>
        <w:rPr>
          <w:rFonts w:ascii="Arial" w:cs="Arial" w:eastAsia="Arial" w:hAnsi="Arial"/>
          <w:sz w:val="17"/>
          <w:szCs w:val="17"/>
          <w:color w:val="auto"/>
        </w:rPr>
      </w:pPr>
    </w:p>
    <w:p>
      <w:pPr>
        <w:ind w:right="100" w:firstLine="444"/>
        <w:spacing w:after="0" w:line="282"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governed by and construed in accordance with the laws of the State of Illinois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w:t>
      </w:r>
    </w:p>
    <w:p>
      <w:pPr>
        <w:spacing w:after="0" w:line="53" w:lineRule="exact"/>
        <w:rPr>
          <w:rFonts w:ascii="Arial" w:cs="Arial" w:eastAsia="Arial" w:hAnsi="Arial"/>
          <w:sz w:val="18"/>
          <w:szCs w:val="18"/>
          <w:color w:val="auto"/>
        </w:rPr>
      </w:pPr>
    </w:p>
    <w:p>
      <w:pPr>
        <w:ind w:firstLine="444"/>
        <w:spacing w:after="0" w:line="258"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color w:val="auto"/>
        </w:rPr>
        <w:t>. The parties expressly consent to the exclusive jurisdiction of the state or federal courts of Illinois to resolve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75" w:lineRule="exact"/>
        <w:rPr>
          <w:rFonts w:ascii="Arial" w:cs="Arial" w:eastAsia="Arial" w:hAnsi="Arial"/>
          <w:sz w:val="18"/>
          <w:szCs w:val="18"/>
          <w:color w:val="auto"/>
        </w:rPr>
      </w:pPr>
    </w:p>
    <w:p>
      <w:pPr>
        <w:jc w:val="both"/>
        <w:ind w:firstLine="444"/>
        <w:spacing w:after="0" w:line="261"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&amp; Signatures</w:t>
      </w:r>
      <w:r>
        <w:rPr>
          <w:rFonts w:ascii="Arial" w:cs="Arial" w:eastAsia="Arial" w:hAnsi="Arial"/>
          <w:sz w:val="18"/>
          <w:szCs w:val="18"/>
          <w:color w:val="auto"/>
        </w:rPr>
        <w:t>. This Agreement may be executed in duplicate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71" w:lineRule="exact"/>
        <w:rPr>
          <w:rFonts w:ascii="Arial" w:cs="Arial" w:eastAsia="Arial" w:hAnsi="Arial"/>
          <w:sz w:val="18"/>
          <w:szCs w:val="18"/>
          <w:color w:val="auto"/>
        </w:rPr>
      </w:pPr>
    </w:p>
    <w:p>
      <w:pPr>
        <w:ind w:right="100" w:firstLine="444"/>
        <w:spacing w:after="0" w:line="274" w:lineRule="auto"/>
        <w:tabs>
          <w:tab w:leader="none" w:pos="711" w:val="left"/>
        </w:tabs>
        <w:numPr>
          <w:ilvl w:val="0"/>
          <w:numId w:val="26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Immunity</w:t>
      </w:r>
      <w:r>
        <w:rPr>
          <w:rFonts w:ascii="Arial" w:cs="Arial" w:eastAsia="Arial" w:hAnsi="Arial"/>
          <w:sz w:val="17"/>
          <w:szCs w:val="17"/>
          <w:color w:val="auto"/>
        </w:rPr>
        <w:t>. Employee understands that nothing in this Agreement is intended to prohibit Employee from disclosing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 reporting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69" w:right="439" w:bottom="1440" w:gutter="0" w:footer="0" w:header="0"/>
        </w:sectPr>
      </w:pPr>
    </w:p>
    <w:bookmarkStart w:id="353" w:name="page354"/>
    <w:bookmarkEnd w:id="35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75" w:lineRule="exact"/>
        <w:rPr>
          <w:sz w:val="20"/>
          <w:szCs w:val="20"/>
          <w:color w:val="auto"/>
        </w:rPr>
      </w:pPr>
    </w:p>
    <w:p>
      <w:pPr>
        <w:ind w:right="60" w:firstLine="444"/>
        <w:spacing w:after="0" w:line="272" w:lineRule="auto"/>
        <w:tabs>
          <w:tab w:leader="none" w:pos="711" w:val="left"/>
        </w:tabs>
        <w:numPr>
          <w:ilvl w:val="0"/>
          <w:numId w:val="263"/>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the Company Property</w:t>
      </w:r>
      <w:r>
        <w:rPr>
          <w:rFonts w:ascii="Arial" w:cs="Arial" w:eastAsia="Arial" w:hAnsi="Arial"/>
          <w:sz w:val="17"/>
          <w:szCs w:val="17"/>
          <w:color w:val="auto"/>
        </w:rPr>
        <w:t>. At the request of the Company (or, without any request, upon termination of my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444"/>
        <w:spacing w:after="0" w:line="272" w:lineRule="auto"/>
        <w:tabs>
          <w:tab w:leader="none" w:pos="711" w:val="left"/>
        </w:tabs>
        <w:numPr>
          <w:ilvl w:val="0"/>
          <w:numId w:val="263"/>
        </w:numPr>
        <w:rPr>
          <w:rFonts w:ascii="Arial" w:cs="Arial" w:eastAsia="Arial" w:hAnsi="Arial"/>
          <w:sz w:val="17"/>
          <w:szCs w:val="17"/>
          <w:color w:val="auto"/>
        </w:rPr>
      </w:pPr>
      <w:r>
        <w:rPr>
          <w:rFonts w:ascii="Arial" w:cs="Arial" w:eastAsia="Arial" w:hAnsi="Arial"/>
          <w:sz w:val="17"/>
          <w:szCs w:val="17"/>
          <w:b w:val="1"/>
          <w:bCs w:val="1"/>
          <w:u w:val="single" w:color="auto"/>
          <w:color w:val="auto"/>
        </w:rPr>
        <w:t>Promotional Materials</w:t>
      </w:r>
      <w:r>
        <w:rPr>
          <w:rFonts w:ascii="Arial" w:cs="Arial" w:eastAsia="Arial" w:hAnsi="Arial"/>
          <w:sz w:val="17"/>
          <w:szCs w:val="17"/>
          <w:color w:val="auto"/>
        </w:rPr>
        <w:t>. Employee authorizes and consents to, during the term of Employee’s employment with the Company, the creation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64" w:lineRule="exact"/>
        <w:rPr>
          <w:rFonts w:ascii="Arial" w:cs="Arial" w:eastAsia="Arial" w:hAnsi="Arial"/>
          <w:sz w:val="17"/>
          <w:szCs w:val="17"/>
          <w:color w:val="auto"/>
        </w:rPr>
      </w:pPr>
    </w:p>
    <w:p>
      <w:pPr>
        <w:ind w:left="720" w:hanging="276"/>
        <w:spacing w:after="0"/>
        <w:tabs>
          <w:tab w:leader="none" w:pos="720" w:val="left"/>
        </w:tabs>
        <w:numPr>
          <w:ilvl w:val="0"/>
          <w:numId w:val="263"/>
        </w:numPr>
        <w:rPr>
          <w:rFonts w:ascii="Arial" w:cs="Arial" w:eastAsia="Arial" w:hAnsi="Arial"/>
          <w:sz w:val="16"/>
          <w:szCs w:val="16"/>
          <w:color w:val="auto"/>
        </w:rPr>
      </w:pPr>
      <w:r>
        <w:rPr>
          <w:rFonts w:ascii="Arial" w:cs="Arial" w:eastAsia="Arial" w:hAnsi="Arial"/>
          <w:sz w:val="16"/>
          <w:szCs w:val="16"/>
          <w:b w:val="1"/>
          <w:bCs w:val="1"/>
          <w:u w:val="single" w:color="auto"/>
          <w:color w:val="auto"/>
        </w:rPr>
        <w:t>Fair Meaning</w:t>
      </w:r>
      <w:r>
        <w:rPr>
          <w:rFonts w:ascii="Arial" w:cs="Arial" w:eastAsia="Arial" w:hAnsi="Arial"/>
          <w:sz w:val="16"/>
          <w:szCs w:val="16"/>
          <w:color w:val="auto"/>
        </w:rPr>
        <w:t>. The language of this Agreement shall be construed as a whole, according to its fair meaning, and not strictly for or against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98" w:lineRule="exact"/>
        <w:rPr>
          <w:rFonts w:ascii="Arial" w:cs="Arial" w:eastAsia="Arial" w:hAnsi="Arial"/>
          <w:sz w:val="16"/>
          <w:szCs w:val="16"/>
          <w:color w:val="auto"/>
        </w:rPr>
      </w:pPr>
    </w:p>
    <w:p>
      <w:pPr>
        <w:ind w:right="60" w:firstLine="444"/>
        <w:spacing w:after="0" w:line="273" w:lineRule="auto"/>
        <w:tabs>
          <w:tab w:leader="none" w:pos="711"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Consideration</w:t>
      </w:r>
      <w:r>
        <w:rPr>
          <w:rFonts w:ascii="Arial" w:cs="Arial" w:eastAsia="Arial" w:hAnsi="Arial"/>
          <w:sz w:val="17"/>
          <w:szCs w:val="17"/>
          <w:b w:val="1"/>
          <w:bCs w:val="1"/>
          <w:color w:val="auto"/>
        </w:rPr>
        <w:t>.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initialing below, Employee specifically acknowledges that Employee has read, understands and agrees to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632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Employee initials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executing this Agreement below, the parties confirm they have read, understood, and voluntarily agreed to be bound by the entire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ectPr>
          <w:pgSz w:w="11900" w:h="16838" w:orient="portrait"/>
          <w:cols w:equalWidth="0" w:num="1">
            <w:col w:w="10900"/>
          </w:cols>
          <w:pgMar w:left="440" w:top="270" w:right="55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Printed: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Victor Lance Mitchell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 Victor Lance Mitchell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7/31/19</w:t>
      </w:r>
    </w:p>
    <w:p>
      <w:pPr>
        <w:spacing w:after="0" w:line="113" w:lineRule="exact"/>
        <w:rPr>
          <w:sz w:val="20"/>
          <w:szCs w:val="20"/>
          <w:color w:val="auto"/>
        </w:rPr>
      </w:pPr>
    </w:p>
    <w:p>
      <w:pPr>
        <w:sectPr>
          <w:pgSz w:w="11900" w:h="16838" w:orient="portrait"/>
          <w:cols w:equalWidth="0" w:num="2">
            <w:col w:w="580" w:space="540"/>
            <w:col w:w="9780"/>
          </w:cols>
          <w:pgMar w:left="440" w:top="270" w:right="5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ectPr>
          <w:pgSz w:w="11900" w:h="16838" w:orient="portrait"/>
          <w:cols w:equalWidth="0" w:num="1">
            <w:col w:w="10900"/>
          </w:cols>
          <w:pgMar w:left="440" w:top="270" w:right="5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Printed: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Steve Estes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 Steve Estes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7/8/19</w:t>
      </w:r>
    </w:p>
    <w:p>
      <w:pPr>
        <w:spacing w:after="0" w:line="158" w:lineRule="exact"/>
        <w:rPr>
          <w:sz w:val="20"/>
          <w:szCs w:val="20"/>
          <w:color w:val="auto"/>
        </w:rPr>
      </w:pPr>
    </w:p>
    <w:p>
      <w:pPr>
        <w:sectPr>
          <w:pgSz w:w="11900" w:h="16838" w:orient="portrait"/>
          <w:cols w:equalWidth="0" w:num="2">
            <w:col w:w="580" w:space="540"/>
            <w:col w:w="9780"/>
          </w:cols>
          <w:pgMar w:left="440" w:top="270" w:right="5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00"/>
          </w:cols>
          <w:pgMar w:left="440" w:top="270" w:right="559" w:bottom="1440" w:gutter="0" w:footer="0" w:header="0"/>
          <w:type w:val="continuous"/>
        </w:sectPr>
      </w:pPr>
    </w:p>
    <w:bookmarkStart w:id="355" w:name="page356"/>
    <w:bookmarkEnd w:id="355"/>
    <w:p>
      <w:pPr>
        <w:jc w:val="center"/>
        <w:ind w:right="-88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u w:val="single" w:color="auto"/>
          <w:color w:val="auto"/>
        </w:rPr>
        <w:t>RCP Competitors</w:t>
      </w:r>
    </w:p>
    <w:p>
      <w:pPr>
        <w:spacing w:after="0" w:line="256" w:lineRule="exact"/>
        <w:rPr>
          <w:sz w:val="20"/>
          <w:szCs w:val="20"/>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Clorox Company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S.C. Johnson &amp; Sons, Inc.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Trinidad Benham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Dart Container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Handi-foil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Durable Packaging, International</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Solo Cup Company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Novellis</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Georgia Pacific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Huhtamaki</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Newell/Rubbermaid</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Jarden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Waddington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CuBe</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Poly-America, Inc.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Inteplast Group, Ltd.</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Waste Zero</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Petoskey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Multibax</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King Pac Industrial</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Sunkor</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Threestone Packing</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Bagmart Packaging</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Thantawan</w:t>
      </w:r>
    </w:p>
    <w:p>
      <w:pPr>
        <w:spacing w:after="0" w:line="158" w:lineRule="exact"/>
        <w:rPr>
          <w:sz w:val="20"/>
          <w:szCs w:val="20"/>
          <w:color w:val="auto"/>
        </w:rPr>
      </w:pPr>
    </w:p>
    <w:p>
      <w:pPr>
        <w:ind w:left="5308"/>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7"/>
          </w:cols>
          <w:pgMar w:left="552" w:top="269" w:right="1440" w:bottom="1440" w:gutter="0" w:footer="0" w:header="0"/>
        </w:sectPr>
      </w:pPr>
    </w:p>
    <w:bookmarkStart w:id="356" w:name="page357"/>
    <w:bookmarkEnd w:id="35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List of Confidential or Proprietary Information Belonging to Others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0" w:right="1440"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Prior Inventions or Improvements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270"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July 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Michael Graham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Employee is currently employed by the Company without a written employment agreement.</w:t>
      </w:r>
    </w:p>
    <w:p>
      <w:pPr>
        <w:spacing w:after="0" w:line="117"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B. The Company and Employee desire to enter into this Agreement to set forth their agreements regarding certain terms and conditions of Employee’s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20" w:firstLine="444"/>
        <w:spacing w:after="0" w:line="266" w:lineRule="auto"/>
        <w:tabs>
          <w:tab w:leader="none" w:pos="621"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Employee’s employment pursuant to this Agreement shall commence on the date hereof and shall continue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68" w:lineRule="exact"/>
        <w:rPr>
          <w:rFonts w:ascii="Arial" w:cs="Arial" w:eastAsia="Arial" w:hAnsi="Arial"/>
          <w:sz w:val="18"/>
          <w:szCs w:val="18"/>
          <w:color w:val="auto"/>
        </w:rPr>
      </w:pPr>
    </w:p>
    <w:p>
      <w:pPr>
        <w:ind w:right="180" w:firstLine="444"/>
        <w:spacing w:after="0" w:line="303" w:lineRule="auto"/>
        <w:tabs>
          <w:tab w:leader="none" w:pos="621" w:val="left"/>
        </w:tabs>
        <w:numPr>
          <w:ilvl w:val="0"/>
          <w:numId w:val="265"/>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Duties and Location</w:t>
      </w:r>
      <w:r>
        <w:rPr>
          <w:rFonts w:ascii="Arial" w:cs="Arial" w:eastAsia="Arial" w:hAnsi="Arial"/>
          <w:sz w:val="16"/>
          <w:szCs w:val="16"/>
          <w:color w:val="auto"/>
        </w:rPr>
        <w:t>. Employee shall serve in the position(s)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Employee shall devote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except for customary business travel to other locations as may be necessary to fulfill Employee’s duties and responsibilities hereunder.</w:t>
      </w:r>
    </w:p>
    <w:p>
      <w:pPr>
        <w:spacing w:after="0" w:line="43" w:lineRule="exact"/>
        <w:rPr>
          <w:rFonts w:ascii="Arial" w:cs="Arial" w:eastAsia="Arial" w:hAnsi="Arial"/>
          <w:sz w:val="16"/>
          <w:szCs w:val="16"/>
          <w:color w:val="auto"/>
        </w:rPr>
      </w:pPr>
    </w:p>
    <w:p>
      <w:pPr>
        <w:ind w:left="620" w:hanging="176"/>
        <w:spacing w:after="0"/>
        <w:tabs>
          <w:tab w:leader="none" w:pos="620"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 During the Term:</w:t>
      </w:r>
    </w:p>
    <w:p>
      <w:pPr>
        <w:spacing w:after="0" w:line="117" w:lineRule="exact"/>
        <w:rPr>
          <w:rFonts w:ascii="Arial" w:cs="Arial" w:eastAsia="Arial" w:hAnsi="Arial"/>
          <w:sz w:val="18"/>
          <w:szCs w:val="18"/>
          <w:color w:val="auto"/>
        </w:rPr>
      </w:pPr>
    </w:p>
    <w:p>
      <w:pPr>
        <w:jc w:val="both"/>
        <w:ind w:firstLine="996"/>
        <w:spacing w:after="0" w:line="266" w:lineRule="auto"/>
        <w:tabs>
          <w:tab w:leader="none" w:pos="1236" w:val="left"/>
        </w:tabs>
        <w:numPr>
          <w:ilvl w:val="1"/>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 Salary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68" w:lineRule="exact"/>
        <w:rPr>
          <w:rFonts w:ascii="Arial" w:cs="Arial" w:eastAsia="Arial" w:hAnsi="Arial"/>
          <w:sz w:val="18"/>
          <w:szCs w:val="18"/>
          <w:color w:val="auto"/>
        </w:rPr>
      </w:pPr>
    </w:p>
    <w:p>
      <w:pPr>
        <w:jc w:val="both"/>
        <w:ind w:right="80" w:firstLine="996"/>
        <w:spacing w:after="0" w:line="261" w:lineRule="auto"/>
        <w:tabs>
          <w:tab w:leader="none" w:pos="1247" w:val="left"/>
        </w:tabs>
        <w:numPr>
          <w:ilvl w:val="1"/>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1"/>
          <w:numId w:val="265"/>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Compensation Programs</w:t>
      </w:r>
      <w:r>
        <w:rPr>
          <w:rFonts w:ascii="Arial" w:cs="Arial" w:eastAsia="Arial" w:hAnsi="Arial"/>
          <w:sz w:val="17"/>
          <w:szCs w:val="17"/>
          <w:color w:val="auto"/>
        </w:rPr>
        <w:t>. Employee shall be eligible to participate in such other compensation programs as set forth 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9" w:name="page360"/>
    <w:bookmarkEnd w:id="359"/>
    <w:p>
      <w:pPr>
        <w:ind w:right="460" w:firstLine="996"/>
        <w:spacing w:after="0" w:line="347" w:lineRule="auto"/>
        <w:tabs>
          <w:tab w:leader="none" w:pos="1247" w:val="left"/>
        </w:tabs>
        <w:numPr>
          <w:ilvl w:val="1"/>
          <w:numId w:val="26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6"/>
          <w:szCs w:val="16"/>
          <w:color w:val="auto"/>
        </w:rPr>
        <w:t>. Employee shall be entitled to receive reimbursement for all reasonable expenses incurred by Employee in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hereunder, in accordance with the policies and procedures then in effect and established by the Company for its senior officers.</w:t>
      </w:r>
    </w:p>
    <w:p>
      <w:pPr>
        <w:spacing w:after="0" w:line="8" w:lineRule="exact"/>
        <w:rPr>
          <w:rFonts w:ascii="Arial" w:cs="Arial" w:eastAsia="Arial" w:hAnsi="Arial"/>
          <w:sz w:val="16"/>
          <w:szCs w:val="16"/>
          <w:color w:val="auto"/>
        </w:rPr>
      </w:pPr>
    </w:p>
    <w:p>
      <w:pPr>
        <w:ind w:right="40" w:firstLine="996"/>
        <w:spacing w:after="0" w:line="266" w:lineRule="auto"/>
        <w:tabs>
          <w:tab w:leader="none" w:pos="1236" w:val="left"/>
        </w:tabs>
        <w:numPr>
          <w:ilvl w:val="1"/>
          <w:numId w:val="26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color w:val="auto"/>
        </w:rPr>
        <w:t>. Employee shall be entitled to participate in the Company’s employee health and welfare plans,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arrangements as they may be amended from time to time, to the extent Employee meets the eligibility requirements for any such plan, policy, program or arrangement.</w:t>
      </w:r>
    </w:p>
    <w:p>
      <w:pPr>
        <w:spacing w:after="0" w:line="68" w:lineRule="exact"/>
        <w:rPr>
          <w:rFonts w:ascii="Arial" w:cs="Arial" w:eastAsia="Arial" w:hAnsi="Arial"/>
          <w:sz w:val="18"/>
          <w:szCs w:val="18"/>
          <w:color w:val="auto"/>
        </w:rPr>
      </w:pPr>
    </w:p>
    <w:p>
      <w:pPr>
        <w:jc w:val="both"/>
        <w:ind w:right="80" w:firstLine="996"/>
        <w:spacing w:after="0" w:line="266" w:lineRule="auto"/>
        <w:tabs>
          <w:tab w:leader="none" w:pos="1217" w:val="left"/>
        </w:tabs>
        <w:numPr>
          <w:ilvl w:val="1"/>
          <w:numId w:val="266"/>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color w:val="auto"/>
        </w:rPr>
        <w:t>. Employee shall be entitled to paid vacation, as well as holidays and other paid absences,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for similarly situated employees of the Company, to the extent Employee meets the eligibility requirements for any such policy and procedures.</w:t>
      </w:r>
    </w:p>
    <w:p>
      <w:pPr>
        <w:spacing w:after="0" w:line="68" w:lineRule="exact"/>
        <w:rPr>
          <w:rFonts w:ascii="Arial" w:cs="Arial" w:eastAsia="Arial" w:hAnsi="Arial"/>
          <w:sz w:val="18"/>
          <w:szCs w:val="18"/>
          <w:color w:val="auto"/>
        </w:rPr>
      </w:pPr>
    </w:p>
    <w:p>
      <w:pPr>
        <w:ind w:right="560" w:firstLine="444"/>
        <w:spacing w:after="0" w:line="282" w:lineRule="auto"/>
        <w:tabs>
          <w:tab w:leader="none" w:pos="621" w:val="left"/>
        </w:tabs>
        <w:numPr>
          <w:ilvl w:val="0"/>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Term shall automatically end.</w:t>
      </w:r>
    </w:p>
    <w:p>
      <w:pPr>
        <w:spacing w:after="0" w:line="53" w:lineRule="exact"/>
        <w:rPr>
          <w:rFonts w:ascii="Arial" w:cs="Arial" w:eastAsia="Arial" w:hAnsi="Arial"/>
          <w:sz w:val="18"/>
          <w:szCs w:val="18"/>
          <w:color w:val="auto"/>
        </w:rPr>
      </w:pPr>
    </w:p>
    <w:p>
      <w:pPr>
        <w:ind w:left="1240" w:hanging="244"/>
        <w:spacing w:after="0"/>
        <w:tabs>
          <w:tab w:leader="none" w:pos="1240" w:val="left"/>
        </w:tabs>
        <w:numPr>
          <w:ilvl w:val="1"/>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 Employee’s employment hereunder shall automatically terminate upon Employee’s death.</w:t>
      </w:r>
    </w:p>
    <w:p>
      <w:pPr>
        <w:spacing w:after="0" w:line="117" w:lineRule="exact"/>
        <w:rPr>
          <w:rFonts w:ascii="Arial" w:cs="Arial" w:eastAsia="Arial" w:hAnsi="Arial"/>
          <w:sz w:val="18"/>
          <w:szCs w:val="18"/>
          <w:color w:val="auto"/>
        </w:rPr>
      </w:pPr>
    </w:p>
    <w:p>
      <w:pPr>
        <w:ind w:right="80" w:firstLine="996"/>
        <w:spacing w:after="0" w:line="256" w:lineRule="auto"/>
        <w:tabs>
          <w:tab w:leader="none" w:pos="1247" w:val="left"/>
        </w:tabs>
        <w:numPr>
          <w:ilvl w:val="1"/>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color w:val="auto"/>
        </w:rPr>
        <w:t>. The Company may terminate Employee’s employment hereunder for Cause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in the good faith determination of [the Company’s CEO][RGHL’s CEO or Owner]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79" w:lineRule="exact"/>
        <w:rPr>
          <w:rFonts w:ascii="Arial" w:cs="Arial" w:eastAsia="Arial" w:hAnsi="Arial"/>
          <w:sz w:val="18"/>
          <w:szCs w:val="18"/>
          <w:color w:val="auto"/>
        </w:rPr>
      </w:pPr>
    </w:p>
    <w:p>
      <w:pPr>
        <w:ind w:right="240" w:firstLine="996"/>
        <w:spacing w:after="0" w:line="266" w:lineRule="auto"/>
        <w:tabs>
          <w:tab w:leader="none" w:pos="1236" w:val="left"/>
        </w:tabs>
        <w:numPr>
          <w:ilvl w:val="1"/>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Employee’s employment hereunder at any time without Cause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68" w:lineRule="exact"/>
        <w:rPr>
          <w:rFonts w:ascii="Arial" w:cs="Arial" w:eastAsia="Arial" w:hAnsi="Arial"/>
          <w:sz w:val="18"/>
          <w:szCs w:val="18"/>
          <w:color w:val="auto"/>
        </w:rPr>
      </w:pPr>
    </w:p>
    <w:p>
      <w:pPr>
        <w:ind w:left="1260" w:hanging="264"/>
        <w:spacing w:after="0"/>
        <w:tabs>
          <w:tab w:leader="none" w:pos="1260" w:val="left"/>
        </w:tabs>
        <w:numPr>
          <w:ilvl w:val="1"/>
          <w:numId w:val="26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by Employee</w:t>
      </w:r>
      <w:r>
        <w:rPr>
          <w:rFonts w:ascii="Arial" w:cs="Arial" w:eastAsia="Arial" w:hAnsi="Arial"/>
          <w:sz w:val="17"/>
          <w:szCs w:val="17"/>
          <w:color w:val="auto"/>
        </w:rPr>
        <w:t>. Employee may terminate Employee’s employment hereunder upon 30 days’ written notice to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98" w:lineRule="exact"/>
        <w:rPr>
          <w:rFonts w:ascii="Arial" w:cs="Arial" w:eastAsia="Arial" w:hAnsi="Arial"/>
          <w:sz w:val="17"/>
          <w:szCs w:val="17"/>
          <w:color w:val="auto"/>
        </w:rPr>
      </w:pPr>
    </w:p>
    <w:p>
      <w:pPr>
        <w:ind w:firstLine="996"/>
        <w:spacing w:after="0" w:line="256" w:lineRule="auto"/>
        <w:tabs>
          <w:tab w:leader="none" w:pos="1236" w:val="left"/>
        </w:tabs>
        <w:numPr>
          <w:ilvl w:val="1"/>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60" w:name="page361"/>
    <w:bookmarkEnd w:id="360"/>
    <w:p>
      <w:pPr>
        <w:ind w:left="600" w:hanging="176"/>
        <w:spacing w:after="0"/>
        <w:tabs>
          <w:tab w:leader="none" w:pos="600"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996"/>
        <w:spacing w:after="0" w:line="258" w:lineRule="auto"/>
        <w:tabs>
          <w:tab w:leader="none" w:pos="1216" w:val="left"/>
        </w:tabs>
        <w:numPr>
          <w:ilvl w:val="1"/>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color w:val="auto"/>
        </w:rPr>
        <w:t>. If Employee’s employment with the Company is terminated for any reason, Employee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The Accrued Obligations shall be paid at the time(s) specified under any applicable employee benefit plan, or, if there is no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within 30 days after Employee’s Date of Termination.</w:t>
      </w:r>
    </w:p>
    <w:p>
      <w:pPr>
        <w:spacing w:after="0" w:line="75" w:lineRule="exact"/>
        <w:rPr>
          <w:rFonts w:ascii="Arial" w:cs="Arial" w:eastAsia="Arial" w:hAnsi="Arial"/>
          <w:sz w:val="18"/>
          <w:szCs w:val="18"/>
          <w:color w:val="auto"/>
        </w:rPr>
      </w:pPr>
    </w:p>
    <w:p>
      <w:pPr>
        <w:ind w:left="-20" w:right="80" w:firstLine="996"/>
        <w:spacing w:after="0" w:line="266" w:lineRule="auto"/>
        <w:tabs>
          <w:tab w:leader="none" w:pos="1227" w:val="left"/>
        </w:tabs>
        <w:numPr>
          <w:ilvl w:val="1"/>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color w:val="auto"/>
        </w:rPr>
        <w:t>. If Employee’s employment is terminated by the Company without Cause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pacing w:after="0" w:line="68" w:lineRule="exact"/>
        <w:rPr>
          <w:rFonts w:ascii="Arial" w:cs="Arial" w:eastAsia="Arial" w:hAnsi="Arial"/>
          <w:sz w:val="18"/>
          <w:szCs w:val="18"/>
          <w:color w:val="auto"/>
        </w:rPr>
      </w:pPr>
    </w:p>
    <w:p>
      <w:pPr>
        <w:ind w:left="420" w:right="20" w:firstLine="957"/>
        <w:spacing w:after="0" w:line="289" w:lineRule="auto"/>
        <w:tabs>
          <w:tab w:leader="none" w:pos="1587" w:val="left"/>
        </w:tabs>
        <w:numPr>
          <w:ilvl w:val="2"/>
          <w:numId w:val="268"/>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Severance</w:t>
      </w:r>
      <w:r>
        <w:rPr>
          <w:rFonts w:ascii="Arial" w:cs="Arial" w:eastAsia="Arial" w:hAnsi="Arial"/>
          <w:sz w:val="16"/>
          <w:szCs w:val="16"/>
          <w:color w:val="auto"/>
        </w:rPr>
        <w:t>. A severance payment (the “</w:t>
      </w:r>
      <w:r>
        <w:rPr>
          <w:rFonts w:ascii="Arial" w:cs="Arial" w:eastAsia="Arial" w:hAnsi="Arial"/>
          <w:sz w:val="16"/>
          <w:szCs w:val="16"/>
          <w:b w:val="1"/>
          <w:bCs w:val="1"/>
          <w:u w:val="single" w:color="auto"/>
          <w:color w:val="auto"/>
        </w:rPr>
        <w:t>Severance Amount</w:t>
      </w:r>
      <w:r>
        <w:rPr>
          <w:rFonts w:ascii="Arial" w:cs="Arial" w:eastAsia="Arial" w:hAnsi="Arial"/>
          <w:sz w:val="16"/>
          <w:szCs w:val="16"/>
          <w:color w:val="auto"/>
        </w:rPr>
        <w:t>”) in the Amount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Severance Amount shall be paid to Employee in equal installments in accordance with the Company’s normal payroll practices over a period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of the severance shall be payable until the revocation period for the Release described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53" w:lineRule="exact"/>
        <w:rPr>
          <w:rFonts w:ascii="Arial" w:cs="Arial" w:eastAsia="Arial" w:hAnsi="Arial"/>
          <w:sz w:val="16"/>
          <w:szCs w:val="16"/>
          <w:color w:val="auto"/>
        </w:rPr>
      </w:pPr>
    </w:p>
    <w:p>
      <w:pPr>
        <w:ind w:left="420" w:firstLine="957"/>
        <w:spacing w:after="0" w:line="291" w:lineRule="auto"/>
        <w:tabs>
          <w:tab w:leader="none" w:pos="1637" w:val="left"/>
        </w:tabs>
        <w:numPr>
          <w:ilvl w:val="2"/>
          <w:numId w:val="268"/>
        </w:numPr>
        <w:rPr>
          <w:rFonts w:ascii="Arial" w:cs="Arial" w:eastAsia="Arial" w:hAnsi="Arial"/>
          <w:sz w:val="16"/>
          <w:szCs w:val="16"/>
          <w:color w:val="auto"/>
        </w:rPr>
      </w:pPr>
      <w:r>
        <w:rPr>
          <w:rFonts w:ascii="Arial" w:cs="Arial" w:eastAsia="Arial" w:hAnsi="Arial"/>
          <w:sz w:val="16"/>
          <w:szCs w:val="16"/>
          <w:b w:val="1"/>
          <w:bCs w:val="1"/>
          <w:u w:val="single" w:color="auto"/>
          <w:color w:val="auto"/>
        </w:rPr>
        <w:t>Health Care Continuation</w:t>
      </w:r>
      <w:r>
        <w:rPr>
          <w:rFonts w:ascii="Arial" w:cs="Arial" w:eastAsia="Arial" w:hAnsi="Arial"/>
          <w:sz w:val="16"/>
          <w:szCs w:val="16"/>
          <w:color w:val="auto"/>
        </w:rPr>
        <w:t>. In addition, Employee and Employee’s eligible dependents, if any, shall continue to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health plan (the “</w:t>
      </w:r>
      <w:r>
        <w:rPr>
          <w:rFonts w:ascii="Arial" w:cs="Arial" w:eastAsia="Arial" w:hAnsi="Arial"/>
          <w:sz w:val="16"/>
          <w:szCs w:val="16"/>
          <w:b w:val="1"/>
          <w:bCs w:val="1"/>
          <w:u w:val="single" w:color="auto"/>
          <w:color w:val="auto"/>
        </w:rPr>
        <w:t>Health Plan</w:t>
      </w:r>
      <w:r>
        <w:rPr>
          <w:rFonts w:ascii="Arial" w:cs="Arial" w:eastAsia="Arial" w:hAnsi="Arial"/>
          <w:sz w:val="16"/>
          <w:szCs w:val="16"/>
          <w:color w:val="auto"/>
        </w:rPr>
        <w:t>”),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a lump-sum cash payment equal to the total monthly premiums (or in the case of a self-funded plan, the cost of COBRA continuation coverage) that would have been paid by the Company for Employee under the Health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69" w:right="439" w:bottom="1440" w:gutter="0" w:footer="0" w:header="0"/>
        </w:sectPr>
      </w:pPr>
    </w:p>
    <w:bookmarkStart w:id="361" w:name="page362"/>
    <w:bookmarkEnd w:id="361"/>
    <w:p>
      <w:pPr>
        <w:ind w:right="260" w:firstLine="996"/>
        <w:spacing w:after="0" w:line="291" w:lineRule="auto"/>
        <w:tabs>
          <w:tab w:leader="none" w:pos="1236" w:val="left"/>
        </w:tabs>
        <w:numPr>
          <w:ilvl w:val="1"/>
          <w:numId w:val="26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that may become due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Employee signing a general release of claims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the Company and related persons and entities in a form and manner satisfactory to the Company (the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contingent upon Employee abiding by and not breaching any of the covenants set forth in the Release and in the Restrictive Covenant Agreement.</w:t>
      </w:r>
    </w:p>
    <w:p>
      <w:pPr>
        <w:spacing w:after="0" w:line="52" w:lineRule="exact"/>
        <w:rPr>
          <w:rFonts w:ascii="Arial" w:cs="Arial" w:eastAsia="Arial" w:hAnsi="Arial"/>
          <w:sz w:val="16"/>
          <w:szCs w:val="16"/>
          <w:color w:val="auto"/>
        </w:rPr>
      </w:pPr>
    </w:p>
    <w:p>
      <w:pPr>
        <w:ind w:left="620" w:hanging="176"/>
        <w:spacing w:after="0"/>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96"/>
        <w:spacing w:after="0" w:line="290" w:lineRule="auto"/>
        <w:tabs>
          <w:tab w:leader="none" w:pos="1237" w:val="left"/>
        </w:tabs>
        <w:numPr>
          <w:ilvl w:val="1"/>
          <w:numId w:val="27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1.409A-1(h).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Termination.</w:t>
      </w:r>
    </w:p>
    <w:p>
      <w:pPr>
        <w:spacing w:after="0" w:line="58" w:lineRule="exact"/>
        <w:rPr>
          <w:rFonts w:ascii="Arial" w:cs="Arial" w:eastAsia="Arial" w:hAnsi="Arial"/>
          <w:sz w:val="16"/>
          <w:szCs w:val="16"/>
          <w:color w:val="auto"/>
        </w:rPr>
      </w:pPr>
    </w:p>
    <w:p>
      <w:pPr>
        <w:ind w:right="220" w:firstLine="996"/>
        <w:spacing w:after="0" w:line="288" w:lineRule="auto"/>
        <w:tabs>
          <w:tab w:leader="none" w:pos="1247" w:val="left"/>
        </w:tabs>
        <w:numPr>
          <w:ilvl w:val="1"/>
          <w:numId w:val="27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75" w:lineRule="exact"/>
        <w:rPr>
          <w:rFonts w:ascii="Arial" w:cs="Arial" w:eastAsia="Arial" w:hAnsi="Arial"/>
          <w:sz w:val="16"/>
          <w:szCs w:val="16"/>
          <w:color w:val="auto"/>
        </w:rPr>
      </w:pPr>
    </w:p>
    <w:p>
      <w:pPr>
        <w:ind w:right="80" w:firstLine="996"/>
        <w:spacing w:after="0" w:line="255" w:lineRule="auto"/>
        <w:tabs>
          <w:tab w:leader="none" w:pos="123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62" w:name="page363"/>
    <w:bookmarkEnd w:id="362"/>
    <w:p>
      <w:pPr>
        <w:ind w:left="-60" w:right="20" w:firstLine="996"/>
        <w:spacing w:after="0" w:line="264" w:lineRule="auto"/>
        <w:tabs>
          <w:tab w:leader="none" w:pos="1187" w:val="left"/>
        </w:tabs>
        <w:numPr>
          <w:ilvl w:val="1"/>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69" w:lineRule="exact"/>
        <w:rPr>
          <w:rFonts w:ascii="Arial" w:cs="Arial" w:eastAsia="Arial" w:hAnsi="Arial"/>
          <w:sz w:val="18"/>
          <w:szCs w:val="18"/>
          <w:color w:val="auto"/>
        </w:rPr>
      </w:pPr>
    </w:p>
    <w:p>
      <w:pPr>
        <w:ind w:left="-60" w:right="120" w:firstLine="444"/>
        <w:spacing w:after="0" w:line="266" w:lineRule="auto"/>
        <w:tabs>
          <w:tab w:leader="none" w:pos="561"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 The Company’s obligations under this Agreement, including the Company’s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0" w:firstLine="444"/>
        <w:spacing w:after="0" w:line="287" w:lineRule="auto"/>
        <w:tabs>
          <w:tab w:leader="none" w:pos="561" w:val="left"/>
        </w:tabs>
        <w:numPr>
          <w:ilvl w:val="0"/>
          <w:numId w:val="272"/>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xml:space="preserve">”) in Chicago, IL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specifically enforceable.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other relief shall be pursued through an arbitration proceeding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Further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limit the Company’s ability to terminate Employee’s employment at any time.</w:t>
      </w:r>
    </w:p>
    <w:p>
      <w:pPr>
        <w:spacing w:after="0" w:line="60" w:lineRule="exact"/>
        <w:rPr>
          <w:rFonts w:ascii="Arial" w:cs="Arial" w:eastAsia="Arial" w:hAnsi="Arial"/>
          <w:sz w:val="16"/>
          <w:szCs w:val="16"/>
          <w:color w:val="auto"/>
        </w:rPr>
      </w:pPr>
    </w:p>
    <w:p>
      <w:pPr>
        <w:ind w:left="-60" w:right="160" w:firstLine="444"/>
        <w:spacing w:after="0" w:line="266" w:lineRule="auto"/>
        <w:tabs>
          <w:tab w:leader="none" w:pos="561"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68" w:lineRule="exact"/>
        <w:rPr>
          <w:rFonts w:ascii="Arial" w:cs="Arial" w:eastAsia="Arial" w:hAnsi="Arial"/>
          <w:sz w:val="18"/>
          <w:szCs w:val="18"/>
          <w:color w:val="auto"/>
        </w:rPr>
      </w:pPr>
    </w:p>
    <w:p>
      <w:pPr>
        <w:ind w:left="-60" w:right="60" w:firstLine="444"/>
        <w:spacing w:after="0" w:line="282" w:lineRule="auto"/>
        <w:tabs>
          <w:tab w:leader="none" w:pos="651"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payments made by the Company to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4" w:right="499" w:bottom="1440" w:gutter="0" w:footer="0" w:header="0"/>
        </w:sectPr>
      </w:pPr>
    </w:p>
    <w:bookmarkStart w:id="363" w:name="page364"/>
    <w:bookmarkEnd w:id="363"/>
    <w:p>
      <w:pPr>
        <w:jc w:val="both"/>
        <w:ind w:left="-40" w:right="240" w:firstLine="444"/>
        <w:spacing w:after="0" w:line="303" w:lineRule="auto"/>
        <w:tabs>
          <w:tab w:leader="none" w:pos="664" w:val="left"/>
        </w:tabs>
        <w:numPr>
          <w:ilvl w:val="0"/>
          <w:numId w:val="27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w:t>
      </w:r>
      <w:r>
        <w:rPr>
          <w:rFonts w:ascii="Arial" w:cs="Arial" w:eastAsia="Arial" w:hAnsi="Arial"/>
          <w:sz w:val="16"/>
          <w:szCs w:val="16"/>
          <w:color w:val="auto"/>
        </w:rPr>
        <w:t>. If any portion or provision of this Agreement (including, without limitation, any portion or provision of any section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43" w:lineRule="exact"/>
        <w:rPr>
          <w:rFonts w:ascii="Arial" w:cs="Arial" w:eastAsia="Arial" w:hAnsi="Arial"/>
          <w:sz w:val="16"/>
          <w:szCs w:val="16"/>
          <w:color w:val="auto"/>
        </w:rPr>
      </w:pPr>
    </w:p>
    <w:p>
      <w:pPr>
        <w:ind w:left="-40" w:firstLine="444"/>
        <w:spacing w:after="0" w:line="282" w:lineRule="auto"/>
        <w:tabs>
          <w:tab w:leader="none" w:pos="671"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Employee’s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to effectuate the terms contained herein.</w:t>
      </w:r>
    </w:p>
    <w:p>
      <w:pPr>
        <w:spacing w:after="0" w:line="53" w:lineRule="exact"/>
        <w:rPr>
          <w:rFonts w:ascii="Arial" w:cs="Arial" w:eastAsia="Arial" w:hAnsi="Arial"/>
          <w:sz w:val="18"/>
          <w:szCs w:val="18"/>
          <w:color w:val="auto"/>
        </w:rPr>
      </w:pPr>
    </w:p>
    <w:p>
      <w:pPr>
        <w:ind w:left="-40" w:right="60" w:firstLine="444"/>
        <w:spacing w:after="0" w:line="266" w:lineRule="auto"/>
        <w:tabs>
          <w:tab w:leader="none" w:pos="671"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68" w:lineRule="exact"/>
        <w:rPr>
          <w:rFonts w:ascii="Arial" w:cs="Arial" w:eastAsia="Arial" w:hAnsi="Arial"/>
          <w:sz w:val="18"/>
          <w:szCs w:val="18"/>
          <w:color w:val="auto"/>
        </w:rPr>
      </w:pPr>
    </w:p>
    <w:p>
      <w:pPr>
        <w:ind w:left="-40" w:right="100" w:firstLine="444"/>
        <w:spacing w:after="0" w:line="261" w:lineRule="auto"/>
        <w:tabs>
          <w:tab w:leader="none" w:pos="671"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Lance Mitchell.</w:t>
      </w:r>
    </w:p>
    <w:p>
      <w:pPr>
        <w:spacing w:after="0" w:line="71" w:lineRule="exact"/>
        <w:rPr>
          <w:rFonts w:ascii="Arial" w:cs="Arial" w:eastAsia="Arial" w:hAnsi="Arial"/>
          <w:sz w:val="18"/>
          <w:szCs w:val="18"/>
          <w:color w:val="auto"/>
        </w:rPr>
      </w:pPr>
    </w:p>
    <w:p>
      <w:pPr>
        <w:ind w:left="-40" w:right="500" w:firstLine="444"/>
        <w:spacing w:after="0" w:line="282" w:lineRule="auto"/>
        <w:tabs>
          <w:tab w:leader="none" w:pos="671"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instrument signed by Employee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 (other than Employee).</w:t>
      </w:r>
    </w:p>
    <w:p>
      <w:pPr>
        <w:spacing w:after="0" w:line="53" w:lineRule="exact"/>
        <w:rPr>
          <w:rFonts w:ascii="Arial" w:cs="Arial" w:eastAsia="Arial" w:hAnsi="Arial"/>
          <w:sz w:val="18"/>
          <w:szCs w:val="18"/>
          <w:color w:val="auto"/>
        </w:rPr>
      </w:pPr>
    </w:p>
    <w:p>
      <w:pPr>
        <w:ind w:left="-40" w:right="180" w:firstLine="444"/>
        <w:spacing w:after="0" w:line="282" w:lineRule="auto"/>
        <w:tabs>
          <w:tab w:leader="none" w:pos="671"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under and be governed in all respects by the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 of laws principles of such State.</w:t>
      </w:r>
    </w:p>
    <w:p>
      <w:pPr>
        <w:spacing w:after="0" w:line="53" w:lineRule="exact"/>
        <w:rPr>
          <w:rFonts w:ascii="Arial" w:cs="Arial" w:eastAsia="Arial" w:hAnsi="Arial"/>
          <w:sz w:val="18"/>
          <w:szCs w:val="18"/>
          <w:color w:val="auto"/>
        </w:rPr>
      </w:pPr>
    </w:p>
    <w:p>
      <w:pPr>
        <w:ind w:left="-40" w:right="40" w:firstLine="444"/>
        <w:spacing w:after="0" w:line="282" w:lineRule="auto"/>
        <w:tabs>
          <w:tab w:leader="none" w:pos="671"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such counterparts shall together constitute one and the same document.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parties have executed this Agreement effective as of the date set forth above.</w:t>
      </w:r>
    </w:p>
    <w:p>
      <w:pPr>
        <w:spacing w:after="0" w:line="248"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V.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14605</wp:posOffset>
            </wp:positionV>
            <wp:extent cx="256413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V. Lance Mitchell</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CEO</w:t>
      </w:r>
    </w:p>
    <w:p>
      <w:pPr>
        <w:spacing w:after="0" w:line="20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Michael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14605</wp:posOffset>
            </wp:positionV>
            <wp:extent cx="279590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80" w:top="270" w:right="459" w:bottom="1440" w:gutter="0" w:footer="0" w:header="0"/>
        </w:sectPr>
      </w:pPr>
    </w:p>
    <w:bookmarkStart w:id="364" w:name="page365"/>
    <w:bookmarkEnd w:id="364"/>
    <w:p>
      <w:pPr>
        <w:jc w:val="center"/>
        <w:ind w:right="-5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56" w:lineRule="exact"/>
        <w:rPr>
          <w:sz w:val="20"/>
          <w:szCs w:val="20"/>
          <w:color w:val="auto"/>
        </w:rPr>
      </w:pPr>
    </w:p>
    <w:p>
      <w:pPr>
        <w:ind w:left="436" w:hanging="436"/>
        <w:spacing w:after="0"/>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Chief Financial Officer, Reynolds Consumer Products LLC</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Primary Location(s)</w:t>
      </w:r>
      <w:r>
        <w:rPr>
          <w:rFonts w:ascii="Arial" w:cs="Arial" w:eastAsia="Arial" w:hAnsi="Arial"/>
          <w:sz w:val="18"/>
          <w:szCs w:val="18"/>
          <w:color w:val="auto"/>
        </w:rPr>
        <w:t>: Lake Forest, IL</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$798,716</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Annual Bonus Target</w:t>
      </w:r>
      <w:r>
        <w:rPr>
          <w:rFonts w:ascii="Arial" w:cs="Arial" w:eastAsia="Arial" w:hAnsi="Arial"/>
          <w:sz w:val="18"/>
          <w:szCs w:val="18"/>
          <w:color w:val="auto"/>
        </w:rPr>
        <w:t>: 60% of Base Salary</w:t>
      </w:r>
    </w:p>
    <w:p>
      <w:pPr>
        <w:spacing w:after="0" w:line="130" w:lineRule="exact"/>
        <w:rPr>
          <w:rFonts w:ascii="Arial" w:cs="Arial" w:eastAsia="Arial" w:hAnsi="Arial"/>
          <w:sz w:val="18"/>
          <w:szCs w:val="18"/>
          <w:color w:val="auto"/>
        </w:rPr>
      </w:pPr>
    </w:p>
    <w:p>
      <w:pPr>
        <w:ind w:left="436" w:hanging="436"/>
        <w:spacing w:after="0" w:line="287" w:lineRule="auto"/>
        <w:tabs>
          <w:tab w:leader="none" w:pos="436"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Severance Amount/Period</w:t>
      </w:r>
      <w:r>
        <w:rPr>
          <w:rFonts w:ascii="Arial" w:cs="Arial" w:eastAsia="Arial" w:hAnsi="Arial"/>
          <w:sz w:val="16"/>
          <w:szCs w:val="16"/>
          <w:color w:val="auto"/>
        </w:rPr>
        <w:t xml:space="preserve">: (i) Base Salary,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Base Salary plus (ii) Annual Bonus at Target prorated through Date of Termination, paid in equal installments over 24 months following the Date of Termination. All other terms of </w:t>
      </w:r>
      <w:r>
        <w:rPr>
          <w:rFonts w:ascii="Arial" w:cs="Arial" w:eastAsia="Arial" w:hAnsi="Arial"/>
          <w:sz w:val="16"/>
          <w:szCs w:val="16"/>
          <w:u w:val="single" w:color="auto"/>
          <w:color w:val="auto"/>
        </w:rPr>
        <w:t>Section 5(b)(i)</w:t>
      </w:r>
      <w:r>
        <w:rPr>
          <w:rFonts w:ascii="Arial" w:cs="Arial" w:eastAsia="Arial" w:hAnsi="Arial"/>
          <w:sz w:val="16"/>
          <w:szCs w:val="16"/>
          <w:color w:val="auto"/>
        </w:rPr>
        <w:t xml:space="preserve"> of the Agreement will apply. For purposes of this provision a “</w:t>
      </w:r>
      <w:r>
        <w:rPr>
          <w:rFonts w:ascii="Arial" w:cs="Arial" w:eastAsia="Arial" w:hAnsi="Arial"/>
          <w:sz w:val="16"/>
          <w:szCs w:val="16"/>
          <w:b w:val="1"/>
          <w:bCs w:val="1"/>
          <w:color w:val="auto"/>
        </w:rPr>
        <w:t>Sale of Business</w:t>
      </w:r>
      <w:r>
        <w:rPr>
          <w:rFonts w:ascii="Arial" w:cs="Arial" w:eastAsia="Arial" w:hAnsi="Arial"/>
          <w:sz w:val="16"/>
          <w:szCs w:val="16"/>
          <w:color w:val="auto"/>
        </w:rPr>
        <w:t>” shall mean the sale or other disposition of (x) more than 50% of the shares or other equity interests of the Company or the Company’s direct or indirect parent to a non-affiliated party, or (y) more than 50% of the businesses or assets that, as of the most recent year end, generated more than 50% of the Company’s EBITDA (as determined in good faith by RGHL’s CEO,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60" w:lineRule="exact"/>
        <w:rPr>
          <w:rFonts w:ascii="Arial" w:cs="Arial" w:eastAsia="Arial" w:hAnsi="Arial"/>
          <w:sz w:val="16"/>
          <w:szCs w:val="16"/>
          <w:color w:val="auto"/>
        </w:rPr>
      </w:pPr>
    </w:p>
    <w:p>
      <w:pPr>
        <w:ind w:left="176" w:hanging="176"/>
        <w:spacing w:after="0"/>
        <w:tabs>
          <w:tab w:leader="none" w:pos="17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r>
        <w:rPr>
          <w:rFonts w:ascii="Arial" w:cs="Arial" w:eastAsia="Arial" w:hAnsi="Arial"/>
          <w:sz w:val="18"/>
          <w:szCs w:val="18"/>
          <w:color w:val="auto"/>
        </w:rPr>
        <w: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Long-Term Incentive Program Target: 75% of Base Salary</w:t>
      </w:r>
    </w:p>
    <w:p>
      <w:pPr>
        <w:spacing w:after="0" w:line="158"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76"/>
          </w:cols>
          <w:pgMar w:left="444" w:top="270" w:right="479"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Restrictive Covenant Agreement</w:t>
      </w:r>
    </w:p>
    <w:p>
      <w:pPr>
        <w:spacing w:after="0" w:line="225" w:lineRule="exact"/>
        <w:rPr>
          <w:sz w:val="20"/>
          <w:szCs w:val="20"/>
          <w:color w:val="auto"/>
        </w:rPr>
      </w:pPr>
    </w:p>
    <w:p>
      <w:pPr>
        <w:ind w:right="680" w:firstLine="441"/>
        <w:spacing w:after="0" w:line="282" w:lineRule="auto"/>
        <w:rPr>
          <w:sz w:val="20"/>
          <w:szCs w:val="20"/>
          <w:color w:val="auto"/>
        </w:rPr>
      </w:pPr>
      <w:r>
        <w:rPr>
          <w:rFonts w:ascii="Arial" w:cs="Arial" w:eastAsia="Arial" w:hAnsi="Arial"/>
          <w:sz w:val="18"/>
          <w:szCs w:val="18"/>
          <w:color w:val="auto"/>
        </w:rPr>
        <w:t>Restrictive Covenant Agreement dated July 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Michael Graham (“</w:t>
      </w:r>
      <w:r>
        <w:rPr>
          <w:rFonts w:ascii="Arial" w:cs="Arial" w:eastAsia="Arial" w:hAnsi="Arial"/>
          <w:sz w:val="18"/>
          <w:szCs w:val="18"/>
          <w:b w:val="1"/>
          <w:bCs w:val="1"/>
          <w:u w:val="single" w:color="auto"/>
          <w:color w:val="auto"/>
        </w:rPr>
        <w:t>Employe</w:t>
      </w:r>
      <w:r>
        <w:rPr>
          <w:rFonts w:ascii="Arial" w:cs="Arial" w:eastAsia="Arial" w:hAnsi="Arial"/>
          <w:sz w:val="18"/>
          <w:szCs w:val="18"/>
          <w:b w:val="1"/>
          <w:bCs w:val="1"/>
          <w:color w:val="auto"/>
        </w:rPr>
        <w:t>e</w:t>
      </w:r>
      <w:r>
        <w:rPr>
          <w:rFonts w:ascii="Arial" w:cs="Arial" w:eastAsia="Arial" w:hAnsi="Arial"/>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6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 In addition, the Company is providing Employee other consideration for Employee’s execution of this Agreement, as provided in a separate letter of even date herewith.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20" w:hanging="176"/>
        <w:spacing w:after="0"/>
        <w:tabs>
          <w:tab w:leader="none" w:pos="620" w:val="left"/>
        </w:tabs>
        <w:numPr>
          <w:ilvl w:val="0"/>
          <w:numId w:val="27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w:t>
      </w:r>
    </w:p>
    <w:p>
      <w:pPr>
        <w:spacing w:after="0" w:line="117" w:lineRule="exact"/>
        <w:rPr>
          <w:rFonts w:ascii="Arial" w:cs="Arial" w:eastAsia="Arial" w:hAnsi="Arial"/>
          <w:sz w:val="18"/>
          <w:szCs w:val="18"/>
          <w:color w:val="auto"/>
        </w:rPr>
      </w:pPr>
    </w:p>
    <w:p>
      <w:pPr>
        <w:ind w:right="240" w:firstLine="996"/>
        <w:spacing w:after="0" w:line="277" w:lineRule="auto"/>
        <w:tabs>
          <w:tab w:leader="none" w:pos="1237"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Product</w:t>
      </w:r>
      <w:r>
        <w:rPr>
          <w:rFonts w:ascii="Arial" w:cs="Arial" w:eastAsia="Arial" w:hAnsi="Arial"/>
          <w:sz w:val="17"/>
          <w:szCs w:val="17"/>
          <w:color w:val="auto"/>
        </w:rPr>
        <w:t>” means any product developed, manufactured, produced or distributed by the Company during the 24 month period immediately preceding the termination of Employee’s employment with the Company. Such a product shall only constitute an the Company Product for purposes of this Agreement if, as a result of Employee’s employment with the Company, Employee had access to Proprietary Information related to the product or Employee designed, marketed, or interacted with Customers or Prospective Customers regarding the product during the 12 month period immediately preceding the termination of Employee’s employment with the Company.</w:t>
      </w:r>
    </w:p>
    <w:p>
      <w:pPr>
        <w:spacing w:after="0" w:line="60" w:lineRule="exact"/>
        <w:rPr>
          <w:rFonts w:ascii="Arial" w:cs="Arial" w:eastAsia="Arial" w:hAnsi="Arial"/>
          <w:sz w:val="17"/>
          <w:szCs w:val="17"/>
          <w:color w:val="auto"/>
        </w:rPr>
      </w:pPr>
    </w:p>
    <w:p>
      <w:pPr>
        <w:ind w:left="1260" w:hanging="264"/>
        <w:spacing w:after="0"/>
        <w:tabs>
          <w:tab w:leader="none" w:pos="126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Competitive Activity</w:t>
      </w:r>
      <w:r>
        <w:rPr>
          <w:rFonts w:ascii="Arial" w:cs="Arial" w:eastAsia="Arial" w:hAnsi="Arial"/>
          <w:sz w:val="17"/>
          <w:szCs w:val="17"/>
          <w:color w:val="auto"/>
        </w:rPr>
        <w:t>” means the marketing, distribution, promotion, sales, development, delivery, or servicing of any Company</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Product.</w:t>
      </w:r>
    </w:p>
    <w:p>
      <w:pPr>
        <w:spacing w:after="0" w:line="98" w:lineRule="exact"/>
        <w:rPr>
          <w:rFonts w:ascii="Arial" w:cs="Arial" w:eastAsia="Arial" w:hAnsi="Arial"/>
          <w:sz w:val="17"/>
          <w:szCs w:val="17"/>
          <w:color w:val="auto"/>
        </w:rPr>
      </w:pPr>
    </w:p>
    <w:p>
      <w:pPr>
        <w:ind w:firstLine="996"/>
        <w:spacing w:after="0" w:line="258" w:lineRule="auto"/>
        <w:tabs>
          <w:tab w:leader="none" w:pos="123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means any business, including without limitation customers or distributors, with whom the Company transacted business during the 24 month period immediately preceding the termination of Employee’s employment with the Company. Such a person or entity shall only constitute a Customer for purposes of this Agreement if, as a result of Employee’s employment with the Company, Employee had Material Contact with, or knew Proprietary Information of or about, the Customer during the 24 month period immediately preceding the termination of Employee’s employment with the Company.</w:t>
      </w:r>
    </w:p>
    <w:p>
      <w:pPr>
        <w:spacing w:after="0" w:line="75" w:lineRule="exact"/>
        <w:rPr>
          <w:rFonts w:ascii="Arial" w:cs="Arial" w:eastAsia="Arial" w:hAnsi="Arial"/>
          <w:sz w:val="18"/>
          <w:szCs w:val="18"/>
          <w:color w:val="auto"/>
        </w:rPr>
      </w:pPr>
    </w:p>
    <w:p>
      <w:pPr>
        <w:ind w:left="1260" w:hanging="264"/>
        <w:spacing w:after="0"/>
        <w:tabs>
          <w:tab w:leader="none" w:pos="12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121" w:lineRule="exact"/>
        <w:rPr>
          <w:sz w:val="20"/>
          <w:szCs w:val="20"/>
          <w:color w:val="auto"/>
        </w:rPr>
      </w:pPr>
    </w:p>
    <w:p>
      <w:pPr>
        <w:ind w:left="5380" w:right="4760" w:hanging="4384"/>
        <w:spacing w:after="0" w:line="536" w:lineRule="auto"/>
        <w:tabs>
          <w:tab w:leader="none" w:pos="125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with whom or with which Employee dealt on behalf of the Company; B-1</w:t>
      </w:r>
    </w:p>
    <w:p>
      <w:pPr>
        <w:sectPr>
          <w:pgSz w:w="11900" w:h="16838" w:orient="portrait"/>
          <w:cols w:equalWidth="0" w:num="1">
            <w:col w:w="11020"/>
          </w:cols>
          <w:pgMar w:left="440" w:top="269" w:right="439" w:bottom="1440" w:gutter="0" w:footer="0" w:header="0"/>
        </w:sectPr>
      </w:pPr>
    </w:p>
    <w:bookmarkStart w:id="366" w:name="page367"/>
    <w:bookmarkEnd w:id="366"/>
    <w:p>
      <w:pPr>
        <w:ind w:left="1100" w:hanging="252"/>
        <w:spacing w:after="0"/>
        <w:tabs>
          <w:tab w:leader="none" w:pos="11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whose dealings with the Company were coordinated or supervised by Employee;</w:t>
      </w:r>
    </w:p>
    <w:p>
      <w:pPr>
        <w:spacing w:after="0" w:line="117" w:lineRule="exact"/>
        <w:rPr>
          <w:rFonts w:ascii="Arial" w:cs="Arial" w:eastAsia="Arial" w:hAnsi="Arial"/>
          <w:sz w:val="18"/>
          <w:szCs w:val="18"/>
          <w:color w:val="auto"/>
        </w:rPr>
      </w:pPr>
    </w:p>
    <w:p>
      <w:pPr>
        <w:ind w:left="420" w:right="180" w:firstLine="428"/>
        <w:spacing w:after="0" w:line="342" w:lineRule="auto"/>
        <w:tabs>
          <w:tab w:leader="none" w:pos="109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who receives products or services sold or provided by the Company, the sale or provision of which results or resulted in compensation, commissions, or earnings for Employee, within the 12 month period preceding the last day of Employee’s employment with the Company; or</w:t>
      </w:r>
    </w:p>
    <w:p>
      <w:pPr>
        <w:spacing w:after="0" w:line="15" w:lineRule="exact"/>
        <w:rPr>
          <w:rFonts w:ascii="Arial" w:cs="Arial" w:eastAsia="Arial" w:hAnsi="Arial"/>
          <w:sz w:val="16"/>
          <w:szCs w:val="16"/>
          <w:color w:val="auto"/>
        </w:rPr>
      </w:pPr>
    </w:p>
    <w:p>
      <w:pPr>
        <w:ind w:left="1100" w:hanging="252"/>
        <w:spacing w:after="0"/>
        <w:tabs>
          <w:tab w:leader="none" w:pos="11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pacing w:after="0" w:line="113" w:lineRule="exact"/>
        <w:rPr>
          <w:rFonts w:ascii="Arial" w:cs="Arial" w:eastAsia="Arial" w:hAnsi="Arial"/>
          <w:sz w:val="18"/>
          <w:szCs w:val="18"/>
          <w:color w:val="auto"/>
        </w:rPr>
      </w:pPr>
    </w:p>
    <w:p>
      <w:pPr>
        <w:ind w:left="-20" w:firstLine="885"/>
        <w:spacing w:after="0" w:line="286" w:lineRule="auto"/>
        <w:tabs>
          <w:tab w:leader="none" w:pos="1106" w:val="left"/>
        </w:tabs>
        <w:numPr>
          <w:ilvl w:val="1"/>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Proprietary Information</w:t>
      </w:r>
      <w:r>
        <w:rPr>
          <w:rFonts w:ascii="Arial" w:cs="Arial" w:eastAsia="Arial" w:hAnsi="Arial"/>
          <w:sz w:val="16"/>
          <w:szCs w:val="16"/>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and c) information that is disclosed to the public pursuant to the binding order of a government agency or court.</w:t>
      </w:r>
    </w:p>
    <w:p>
      <w:pPr>
        <w:spacing w:after="0" w:line="57" w:lineRule="exact"/>
        <w:rPr>
          <w:rFonts w:ascii="Arial" w:cs="Arial" w:eastAsia="Arial" w:hAnsi="Arial"/>
          <w:sz w:val="16"/>
          <w:szCs w:val="16"/>
          <w:color w:val="auto"/>
        </w:rPr>
      </w:pPr>
    </w:p>
    <w:p>
      <w:pPr>
        <w:ind w:left="-20" w:firstLine="885"/>
        <w:spacing w:after="0" w:line="277" w:lineRule="auto"/>
        <w:tabs>
          <w:tab w:leader="none" w:pos="1086" w:val="left"/>
        </w:tabs>
        <w:numPr>
          <w:ilvl w:val="1"/>
          <w:numId w:val="2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Prospective Customer</w:t>
      </w:r>
      <w:r>
        <w:rPr>
          <w:rFonts w:ascii="Arial" w:cs="Arial" w:eastAsia="Arial" w:hAnsi="Arial"/>
          <w:sz w:val="17"/>
          <w:szCs w:val="17"/>
          <w:color w:val="auto"/>
        </w:rPr>
        <w:t>” means any prospective business, including without limitation prospective customers and prospective distributors, with whom the Company was attempting to transact business within the six month period immediately preceding the termination of Employee’s employment with the Company. Such a person or entity shall only constitute a Prospective Customer for purposes of this Agreement if, as a result of Employee’s employment with the Company, Employee had Material Contact with, or knew Proprietary Information of or about, the Prospective Customer during the six month period immediately preceding the termination of Employee’s employment.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60" w:top="273" w:right="439" w:bottom="1440" w:gutter="0" w:footer="0" w:header="0"/>
        </w:sectPr>
      </w:pPr>
    </w:p>
    <w:bookmarkStart w:id="367" w:name="page368"/>
    <w:bookmarkEnd w:id="367"/>
    <w:p>
      <w:pPr>
        <w:ind w:left="-40" w:firstLine="444"/>
        <w:spacing w:after="0" w:line="272" w:lineRule="auto"/>
        <w:tabs>
          <w:tab w:leader="none" w:pos="581" w:val="left"/>
        </w:tabs>
        <w:numPr>
          <w:ilvl w:val="0"/>
          <w:numId w:val="27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Legitimate Interest</w:t>
      </w:r>
      <w:r>
        <w:rPr>
          <w:rFonts w:ascii="Arial" w:cs="Arial" w:eastAsia="Arial" w:hAnsi="Arial"/>
          <w:sz w:val="17"/>
          <w:szCs w:val="17"/>
          <w:color w:val="auto"/>
        </w:rPr>
        <w:t>. Due to the nature of the Company’s business, certain the Company employees, including Employee, have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64" w:lineRule="exact"/>
        <w:rPr>
          <w:rFonts w:ascii="Arial" w:cs="Arial" w:eastAsia="Arial" w:hAnsi="Arial"/>
          <w:sz w:val="17"/>
          <w:szCs w:val="17"/>
          <w:color w:val="auto"/>
        </w:rPr>
      </w:pPr>
    </w:p>
    <w:p>
      <w:pPr>
        <w:ind w:left="580" w:hanging="176"/>
        <w:spacing w:after="0"/>
        <w:tabs>
          <w:tab w:leader="none" w:pos="580" w:val="left"/>
        </w:tabs>
        <w:numPr>
          <w:ilvl w:val="0"/>
          <w:numId w:val="278"/>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color w:val="auto"/>
        </w:rPr>
        <w:t>. 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A</w:t>
      </w:r>
      <w:r>
        <w:rPr>
          <w:rFonts w:ascii="Arial" w:cs="Arial" w:eastAsia="Arial" w:hAnsi="Arial"/>
          <w:sz w:val="18"/>
          <w:szCs w:val="18"/>
          <w:color w:val="auto"/>
        </w:rPr>
        <w:t>, Employee certifies the following:</w:t>
      </w:r>
    </w:p>
    <w:p>
      <w:pPr>
        <w:spacing w:after="0" w:line="121" w:lineRule="exact"/>
        <w:rPr>
          <w:rFonts w:ascii="Arial" w:cs="Arial" w:eastAsia="Arial" w:hAnsi="Arial"/>
          <w:sz w:val="18"/>
          <w:szCs w:val="18"/>
          <w:color w:val="auto"/>
        </w:rPr>
      </w:pPr>
    </w:p>
    <w:p>
      <w:pPr>
        <w:ind w:left="-40" w:right="360" w:firstLine="996"/>
        <w:spacing w:after="0" w:line="259" w:lineRule="auto"/>
        <w:tabs>
          <w:tab w:leader="none" w:pos="119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pacing w:after="0" w:line="78" w:lineRule="exact"/>
        <w:rPr>
          <w:rFonts w:ascii="Arial" w:cs="Arial" w:eastAsia="Arial" w:hAnsi="Arial"/>
          <w:sz w:val="18"/>
          <w:szCs w:val="18"/>
          <w:color w:val="auto"/>
        </w:rPr>
      </w:pPr>
    </w:p>
    <w:p>
      <w:pPr>
        <w:ind w:left="-40" w:firstLine="996"/>
        <w:spacing w:after="0" w:line="257" w:lineRule="auto"/>
        <w:tabs>
          <w:tab w:leader="none" w:pos="120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A</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80" w:lineRule="exact"/>
        <w:rPr>
          <w:rFonts w:ascii="Arial" w:cs="Arial" w:eastAsia="Arial" w:hAnsi="Arial"/>
          <w:sz w:val="18"/>
          <w:szCs w:val="18"/>
          <w:color w:val="auto"/>
        </w:rPr>
      </w:pPr>
    </w:p>
    <w:p>
      <w:pPr>
        <w:jc w:val="both"/>
        <w:ind w:left="-40" w:right="120" w:firstLine="996"/>
        <w:spacing w:after="0" w:line="264" w:lineRule="auto"/>
        <w:tabs>
          <w:tab w:leader="none" w:pos="119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580" w:hanging="176"/>
        <w:spacing w:after="0"/>
        <w:tabs>
          <w:tab w:leader="none" w:pos="580" w:val="left"/>
        </w:tabs>
        <w:numPr>
          <w:ilvl w:val="0"/>
          <w:numId w:val="278"/>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0" w:right="60" w:firstLine="996"/>
        <w:spacing w:after="0" w:line="297" w:lineRule="auto"/>
        <w:tabs>
          <w:tab w:leader="none" w:pos="1197" w:val="left"/>
        </w:tabs>
        <w:numPr>
          <w:ilvl w:val="1"/>
          <w:numId w:val="278"/>
        </w:numPr>
        <w:rPr>
          <w:rFonts w:ascii="Arial" w:cs="Arial" w:eastAsia="Arial" w:hAnsi="Arial"/>
          <w:sz w:val="16"/>
          <w:szCs w:val="16"/>
          <w:color w:val="auto"/>
        </w:rPr>
      </w:pPr>
      <w:r>
        <w:rPr>
          <w:rFonts w:ascii="Arial" w:cs="Arial" w:eastAsia="Arial" w:hAnsi="Arial"/>
          <w:sz w:val="16"/>
          <w:szCs w:val="16"/>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0"/>
          </w:cols>
          <w:pgMar w:left="480" w:top="270" w:right="459" w:bottom="1440" w:gutter="0" w:footer="0" w:header="0"/>
        </w:sectPr>
      </w:pPr>
    </w:p>
    <w:bookmarkStart w:id="368" w:name="page369"/>
    <w:bookmarkEnd w:id="368"/>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46" w:lineRule="exact"/>
        <w:rPr>
          <w:sz w:val="20"/>
          <w:szCs w:val="20"/>
          <w:color w:val="auto"/>
        </w:rPr>
      </w:pPr>
    </w:p>
    <w:p>
      <w:pPr>
        <w:ind w:firstLine="996"/>
        <w:spacing w:after="0" w:line="269" w:lineRule="auto"/>
        <w:tabs>
          <w:tab w:leader="none" w:pos="1247" w:val="left"/>
        </w:tabs>
        <w:numPr>
          <w:ilvl w:val="1"/>
          <w:numId w:val="279"/>
        </w:numPr>
        <w:rPr>
          <w:rFonts w:ascii="Arial" w:cs="Arial" w:eastAsia="Arial" w:hAnsi="Arial"/>
          <w:sz w:val="17"/>
          <w:szCs w:val="17"/>
          <w:color w:val="auto"/>
        </w:rPr>
      </w:pPr>
      <w:r>
        <w:rPr>
          <w:rFonts w:ascii="Arial" w:cs="Arial" w:eastAsia="Arial" w:hAnsi="Arial"/>
          <w:sz w:val="17"/>
          <w:szCs w:val="17"/>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74" w:lineRule="exact"/>
        <w:rPr>
          <w:rFonts w:ascii="Arial" w:cs="Arial" w:eastAsia="Arial" w:hAnsi="Arial"/>
          <w:sz w:val="17"/>
          <w:szCs w:val="17"/>
          <w:color w:val="auto"/>
        </w:rPr>
      </w:pPr>
    </w:p>
    <w:p>
      <w:pPr>
        <w:ind w:right="140" w:firstLine="996"/>
        <w:spacing w:after="0" w:line="312" w:lineRule="auto"/>
        <w:tabs>
          <w:tab w:leader="none" w:pos="123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Employee has identified on </w:t>
      </w:r>
      <w:r>
        <w:rPr>
          <w:rFonts w:ascii="Arial" w:cs="Arial" w:eastAsia="Arial" w:hAnsi="Arial"/>
          <w:sz w:val="16"/>
          <w:szCs w:val="16"/>
          <w:u w:val="single" w:color="auto"/>
          <w:color w:val="auto"/>
        </w:rPr>
        <w:t>Attachment B</w:t>
      </w:r>
      <w:r>
        <w:rPr>
          <w:rFonts w:ascii="Arial" w:cs="Arial" w:eastAsia="Arial" w:hAnsi="Arial"/>
          <w:sz w:val="16"/>
          <w:szCs w:val="16"/>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6"/>
          <w:szCs w:val="16"/>
          <w:u w:val="single" w:color="auto"/>
          <w:color w:val="auto"/>
        </w:rPr>
        <w:t>Attachment B</w:t>
      </w:r>
      <w:r>
        <w:rPr>
          <w:rFonts w:ascii="Arial" w:cs="Arial" w:eastAsia="Arial" w:hAnsi="Arial"/>
          <w:sz w:val="16"/>
          <w:szCs w:val="16"/>
          <w:color w:val="auto"/>
        </w:rPr>
        <w:t>, Employee represents that Employee has made no such inventions and improvements at the time of signing this Agreement.</w:t>
      </w:r>
    </w:p>
    <w:p>
      <w:pPr>
        <w:spacing w:after="0" w:line="38" w:lineRule="exact"/>
        <w:rPr>
          <w:rFonts w:ascii="Arial" w:cs="Arial" w:eastAsia="Arial" w:hAnsi="Arial"/>
          <w:sz w:val="16"/>
          <w:szCs w:val="16"/>
          <w:color w:val="auto"/>
        </w:rPr>
      </w:pPr>
    </w:p>
    <w:p>
      <w:pPr>
        <w:jc w:val="both"/>
        <w:ind w:right="120" w:firstLine="996"/>
        <w:spacing w:after="0" w:line="279" w:lineRule="auto"/>
        <w:tabs>
          <w:tab w:leader="none" w:pos="1247"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(ii) to the Company’s actual or demonstrably anticipated research or development, or (iii) the invention results from any work performed by the Employee for the Company.</w:t>
      </w:r>
    </w:p>
    <w:p>
      <w:pPr>
        <w:spacing w:after="0" w:line="59" w:lineRule="exact"/>
        <w:rPr>
          <w:rFonts w:ascii="Arial" w:cs="Arial" w:eastAsia="Arial" w:hAnsi="Arial"/>
          <w:sz w:val="17"/>
          <w:szCs w:val="17"/>
          <w:color w:val="auto"/>
        </w:rPr>
      </w:pPr>
    </w:p>
    <w:p>
      <w:pPr>
        <w:ind w:left="620" w:hanging="176"/>
        <w:spacing w:after="0"/>
        <w:tabs>
          <w:tab w:leader="none" w:pos="620"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96"/>
        <w:spacing w:after="0" w:line="261" w:lineRule="auto"/>
        <w:tabs>
          <w:tab w:leader="none" w:pos="1236"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an the Company Product.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0"/>
          </w:cols>
          <w:pgMar w:left="440" w:top="274" w:right="459" w:bottom="1440" w:gutter="0" w:footer="0" w:header="0"/>
        </w:sectPr>
      </w:pPr>
    </w:p>
    <w:bookmarkStart w:id="369" w:name="page370"/>
    <w:bookmarkEnd w:id="369"/>
    <w:p>
      <w:pPr>
        <w:ind w:firstLine="996"/>
        <w:spacing w:after="0" w:line="261" w:lineRule="auto"/>
        <w:tabs>
          <w:tab w:leader="none" w:pos="1247"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Prospective Customers</w:t>
      </w:r>
      <w:r>
        <w:rPr>
          <w:rFonts w:ascii="Arial" w:cs="Arial" w:eastAsia="Arial" w:hAnsi="Arial"/>
          <w:sz w:val="18"/>
          <w:szCs w:val="18"/>
          <w:color w:val="auto"/>
        </w:rPr>
        <w:t>. 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an the Company Product.</w:t>
      </w:r>
    </w:p>
    <w:p>
      <w:pPr>
        <w:spacing w:after="0" w:line="71" w:lineRule="exact"/>
        <w:rPr>
          <w:rFonts w:ascii="Arial" w:cs="Arial" w:eastAsia="Arial" w:hAnsi="Arial"/>
          <w:sz w:val="18"/>
          <w:szCs w:val="18"/>
          <w:color w:val="auto"/>
        </w:rPr>
      </w:pPr>
    </w:p>
    <w:p>
      <w:pPr>
        <w:ind w:firstLine="996"/>
        <w:spacing w:after="0" w:line="256" w:lineRule="auto"/>
        <w:tabs>
          <w:tab w:leader="none" w:pos="1236"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79" w:lineRule="exact"/>
        <w:rPr>
          <w:rFonts w:ascii="Arial" w:cs="Arial" w:eastAsia="Arial" w:hAnsi="Arial"/>
          <w:sz w:val="18"/>
          <w:szCs w:val="18"/>
          <w:color w:val="auto"/>
        </w:rPr>
      </w:pPr>
    </w:p>
    <w:p>
      <w:pPr>
        <w:ind w:firstLine="996"/>
        <w:spacing w:after="0" w:line="270" w:lineRule="auto"/>
        <w:tabs>
          <w:tab w:leader="none" w:pos="1247" w:val="left"/>
        </w:tabs>
        <w:numPr>
          <w:ilvl w:val="0"/>
          <w:numId w:val="281"/>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Non-Competition</w:t>
      </w:r>
      <w:r>
        <w:rPr>
          <w:rFonts w:ascii="Arial" w:cs="Arial" w:eastAsia="Arial" w:hAnsi="Arial"/>
          <w:sz w:val="17"/>
          <w:szCs w:val="17"/>
          <w:color w:val="auto"/>
        </w:rPr>
        <w:t>. Employee agrees that during Employee’s employment with the Company and for a period of 12 months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following the termination of Employee’s employment, Employee shall not, anywhere in North America (United States, Mexico or Canada): a) act in any capacity, whether or not for consideration, for any person or entity that is engaged in a Competitive Activity, or is actively planning to engage in a Competitive Activity with the Company, to the extent Employee would inevitably rely upon the Company’s Proprietary Information in his/her work for that person or entity; b) act in the same or substantially similar capacity that Employee acted in for the Company, whether or not for consideration, for any person or entity that is engaged in a Competitive Activity, or is actively planning to engage in a Competitive Activity with the Company; or c) take, facilitate, or encourage any action the purpose or effect of which is to evade the intent of this subsection.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shall is reasonable and appropriate.</w:t>
      </w:r>
    </w:p>
    <w:p>
      <w:pPr>
        <w:spacing w:after="0" w:line="69" w:lineRule="exact"/>
        <w:rPr>
          <w:rFonts w:ascii="Arial" w:cs="Arial" w:eastAsia="Arial" w:hAnsi="Arial"/>
          <w:sz w:val="17"/>
          <w:szCs w:val="17"/>
          <w:color w:val="auto"/>
        </w:rPr>
      </w:pPr>
    </w:p>
    <w:p>
      <w:pPr>
        <w:ind w:left="1240" w:hanging="244"/>
        <w:spacing w:after="0"/>
        <w:tabs>
          <w:tab w:leader="none" w:pos="1240" w:val="left"/>
        </w:tabs>
        <w:numPr>
          <w:ilvl w:val="0"/>
          <w:numId w:val="281"/>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Covenant</w:t>
      </w:r>
      <w:r>
        <w:rPr>
          <w:rFonts w:ascii="Arial" w:cs="Arial" w:eastAsia="Arial" w:hAnsi="Arial"/>
          <w:sz w:val="17"/>
          <w:szCs w:val="17"/>
          <w:color w:val="auto"/>
        </w:rPr>
        <w:t>. During Employee’s employment with the Company and following the termination of Employee’s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102" w:lineRule="exact"/>
        <w:rPr>
          <w:rFonts w:ascii="Arial" w:cs="Arial" w:eastAsia="Arial" w:hAnsi="Arial"/>
          <w:sz w:val="17"/>
          <w:szCs w:val="17"/>
          <w:color w:val="auto"/>
        </w:rPr>
      </w:pPr>
    </w:p>
    <w:p>
      <w:pPr>
        <w:ind w:left="440" w:firstLine="957"/>
        <w:spacing w:after="0" w:line="259" w:lineRule="auto"/>
        <w:tabs>
          <w:tab w:leader="none" w:pos="160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0"/>
          </w:cols>
          <w:pgMar w:left="440" w:top="270" w:right="459" w:bottom="1440" w:gutter="0" w:footer="0" w:header="0"/>
        </w:sectPr>
      </w:pPr>
    </w:p>
    <w:bookmarkStart w:id="370" w:name="page371"/>
    <w:bookmarkEnd w:id="370"/>
    <w:p>
      <w:pPr>
        <w:ind w:left="420" w:right="140" w:firstLine="957"/>
        <w:spacing w:after="0" w:line="277" w:lineRule="auto"/>
        <w:tabs>
          <w:tab w:leader="none" w:pos="1637" w:val="left"/>
        </w:tabs>
        <w:numPr>
          <w:ilvl w:val="1"/>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will not use, directly or indirectly, any Proprietary Information for the benefit or profit of any person or organization, including Employee, other than the Company;</w:t>
      </w:r>
    </w:p>
    <w:p>
      <w:pPr>
        <w:spacing w:after="0" w:line="62" w:lineRule="exact"/>
        <w:rPr>
          <w:rFonts w:ascii="Arial" w:cs="Arial" w:eastAsia="Arial" w:hAnsi="Arial"/>
          <w:sz w:val="18"/>
          <w:szCs w:val="18"/>
          <w:color w:val="auto"/>
        </w:rPr>
      </w:pPr>
    </w:p>
    <w:p>
      <w:pPr>
        <w:ind w:left="420" w:right="80" w:firstLine="957"/>
        <w:spacing w:after="0" w:line="264" w:lineRule="auto"/>
        <w:tabs>
          <w:tab w:leader="none" w:pos="16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73" w:lineRule="exact"/>
        <w:rPr>
          <w:rFonts w:ascii="Arial" w:cs="Arial" w:eastAsia="Arial" w:hAnsi="Arial"/>
          <w:sz w:val="18"/>
          <w:szCs w:val="18"/>
          <w:color w:val="auto"/>
        </w:rPr>
      </w:pPr>
    </w:p>
    <w:p>
      <w:pPr>
        <w:ind w:left="420" w:right="20" w:firstLine="957"/>
        <w:spacing w:after="0" w:line="264" w:lineRule="auto"/>
        <w:tabs>
          <w:tab w:leader="none" w:pos="167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73" w:lineRule="exact"/>
        <w:rPr>
          <w:rFonts w:ascii="Arial" w:cs="Arial" w:eastAsia="Arial" w:hAnsi="Arial"/>
          <w:sz w:val="18"/>
          <w:szCs w:val="18"/>
          <w:color w:val="auto"/>
        </w:rPr>
      </w:pPr>
    </w:p>
    <w:p>
      <w:pPr>
        <w:ind w:left="420" w:right="60" w:firstLine="957"/>
        <w:spacing w:after="0" w:line="264" w:lineRule="auto"/>
        <w:tabs>
          <w:tab w:leader="none" w:pos="162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73" w:lineRule="exact"/>
        <w:rPr>
          <w:rFonts w:ascii="Arial" w:cs="Arial" w:eastAsia="Arial" w:hAnsi="Arial"/>
          <w:sz w:val="18"/>
          <w:szCs w:val="18"/>
          <w:color w:val="auto"/>
        </w:rPr>
      </w:pPr>
    </w:p>
    <w:p>
      <w:pPr>
        <w:ind w:left="420" w:firstLine="957"/>
        <w:spacing w:after="0" w:line="277" w:lineRule="auto"/>
        <w:tabs>
          <w:tab w:leader="none" w:pos="167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62" w:lineRule="exact"/>
        <w:rPr>
          <w:rFonts w:ascii="Arial" w:cs="Arial" w:eastAsia="Arial" w:hAnsi="Arial"/>
          <w:sz w:val="18"/>
          <w:szCs w:val="18"/>
          <w:color w:val="auto"/>
        </w:rPr>
      </w:pPr>
    </w:p>
    <w:p>
      <w:pPr>
        <w:ind w:left="420" w:right="120" w:firstLine="957"/>
        <w:spacing w:after="0" w:line="264" w:lineRule="auto"/>
        <w:tabs>
          <w:tab w:leader="none" w:pos="172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69" w:lineRule="exact"/>
        <w:rPr>
          <w:rFonts w:ascii="Arial" w:cs="Arial" w:eastAsia="Arial" w:hAnsi="Arial"/>
          <w:sz w:val="18"/>
          <w:szCs w:val="18"/>
          <w:color w:val="auto"/>
        </w:rPr>
      </w:pPr>
    </w:p>
    <w:p>
      <w:pPr>
        <w:ind w:left="-20" w:right="60" w:firstLine="996"/>
        <w:spacing w:after="0" w:line="292" w:lineRule="auto"/>
        <w:tabs>
          <w:tab w:leader="none" w:pos="1197"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Scope of Covenants</w:t>
      </w:r>
      <w:r>
        <w:rPr>
          <w:rFonts w:ascii="Arial" w:cs="Arial" w:eastAsia="Arial" w:hAnsi="Arial"/>
          <w:sz w:val="16"/>
          <w:szCs w:val="16"/>
          <w:color w:val="auto"/>
        </w:rPr>
        <w:t>. The parties desire for the restrictive covenants, including any time period and geographic scope, to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53" w:lineRule="exact"/>
        <w:rPr>
          <w:rFonts w:ascii="Arial" w:cs="Arial" w:eastAsia="Arial" w:hAnsi="Arial"/>
          <w:sz w:val="16"/>
          <w:szCs w:val="16"/>
          <w:color w:val="auto"/>
        </w:rPr>
      </w:pPr>
    </w:p>
    <w:p>
      <w:pPr>
        <w:ind w:left="-20" w:right="280" w:firstLine="996"/>
        <w:spacing w:after="0" w:line="261" w:lineRule="auto"/>
        <w:tabs>
          <w:tab w:leader="none" w:pos="1227"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Employee agrees that a threatened or existing violation of any of the post-employment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Employee also agrees that Employee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80"/>
          </w:cols>
          <w:pgMar w:left="460" w:top="273" w:right="459" w:bottom="1440" w:gutter="0" w:footer="0" w:header="0"/>
        </w:sectPr>
      </w:pPr>
    </w:p>
    <w:bookmarkStart w:id="371" w:name="page372"/>
    <w:bookmarkEnd w:id="37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will be liable to the Company for the attorneys’ fees, expert witness fees, and costs incurred by the Company as a result of: (i) any action by the Company against Employee to enforce any of the post-employment restrictions contained in this Agreement in which the Company prevails in any respect, or (ii) any action by Employee against the Company challenging the legal enforceability of any such post-employment restriction in which Employee does not prevail. Employee’s obligations under each sub-section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are distinct, separable, and independently enforceable.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77" w:lineRule="exact"/>
        <w:rPr>
          <w:sz w:val="20"/>
          <w:szCs w:val="20"/>
          <w:color w:val="auto"/>
        </w:rPr>
      </w:pPr>
    </w:p>
    <w:p>
      <w:pPr>
        <w:jc w:val="both"/>
        <w:ind w:right="300" w:firstLine="996"/>
        <w:spacing w:after="0" w:line="266" w:lineRule="auto"/>
        <w:tabs>
          <w:tab w:leader="none" w:pos="1247" w:val="left"/>
        </w:tabs>
        <w:numPr>
          <w:ilvl w:val="1"/>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color w:val="auto"/>
        </w:rPr>
        <w:t>. 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68" w:lineRule="exact"/>
        <w:rPr>
          <w:rFonts w:ascii="Arial" w:cs="Arial" w:eastAsia="Arial" w:hAnsi="Arial"/>
          <w:sz w:val="18"/>
          <w:szCs w:val="18"/>
          <w:color w:val="auto"/>
        </w:rPr>
      </w:pPr>
    </w:p>
    <w:p>
      <w:pPr>
        <w:ind w:right="20" w:firstLine="996"/>
        <w:spacing w:after="0" w:line="277" w:lineRule="auto"/>
        <w:tabs>
          <w:tab w:leader="none" w:pos="1207" w:val="left"/>
        </w:tabs>
        <w:numPr>
          <w:ilvl w:val="1"/>
          <w:numId w:val="284"/>
        </w:numPr>
        <w:rPr>
          <w:rFonts w:ascii="Arial" w:cs="Arial" w:eastAsia="Arial" w:hAnsi="Arial"/>
          <w:sz w:val="17"/>
          <w:szCs w:val="17"/>
          <w:color w:val="auto"/>
        </w:rPr>
      </w:pPr>
      <w:r>
        <w:rPr>
          <w:rFonts w:ascii="Arial" w:cs="Arial" w:eastAsia="Arial" w:hAnsi="Arial"/>
          <w:sz w:val="17"/>
          <w:szCs w:val="17"/>
          <w:b w:val="1"/>
          <w:bCs w:val="1"/>
          <w:u w:val="single" w:color="auto"/>
          <w:color w:val="auto"/>
        </w:rPr>
        <w:t>Inevitable Use of Proprietary Information</w:t>
      </w:r>
      <w:r>
        <w:rPr>
          <w:rFonts w:ascii="Arial" w:cs="Arial" w:eastAsia="Arial" w:hAnsi="Arial"/>
          <w:sz w:val="17"/>
          <w:szCs w:val="17"/>
          <w:color w:val="auto"/>
        </w:rPr>
        <w:t>. Employee acknowledges and agrees that, after Employee’s separation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will possess the Company’s Proprietary Information which Employee would inevitably use if Employee were to engage in the conduct prohibited by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60" w:lineRule="exact"/>
        <w:rPr>
          <w:rFonts w:ascii="Arial" w:cs="Arial" w:eastAsia="Arial" w:hAnsi="Arial"/>
          <w:sz w:val="17"/>
          <w:szCs w:val="17"/>
          <w:color w:val="auto"/>
        </w:rPr>
      </w:pPr>
    </w:p>
    <w:p>
      <w:pPr>
        <w:ind w:firstLine="444"/>
        <w:spacing w:after="0" w:line="258" w:lineRule="auto"/>
        <w:tabs>
          <w:tab w:leader="none" w:pos="621"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color w:val="auto"/>
        </w:rPr>
        <w:t>. Employee acknowledges that it is necessary and appropriate for the Company to protect its legitimate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75" w:lineRule="exact"/>
        <w:rPr>
          <w:rFonts w:ascii="Arial" w:cs="Arial" w:eastAsia="Arial" w:hAnsi="Arial"/>
          <w:sz w:val="18"/>
          <w:szCs w:val="18"/>
          <w:color w:val="auto"/>
        </w:rPr>
      </w:pPr>
    </w:p>
    <w:p>
      <w:pPr>
        <w:ind w:right="80" w:firstLine="444"/>
        <w:spacing w:after="0" w:line="298" w:lineRule="auto"/>
        <w:tabs>
          <w:tab w:leader="none" w:pos="621"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No representation, promise, understanding, or warranty not set forth herein has been made or relied upon by either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making this Agreement. No modification, amendment or addition will be valid, unless set forth in writing and signed by the party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parties agree that the term of any prior confidentiality or restrictive covenants shall govern.</w:t>
      </w:r>
    </w:p>
    <w:p>
      <w:pPr>
        <w:spacing w:after="0" w:line="46" w:lineRule="exact"/>
        <w:rPr>
          <w:rFonts w:ascii="Arial" w:cs="Arial" w:eastAsia="Arial" w:hAnsi="Arial"/>
          <w:sz w:val="16"/>
          <w:szCs w:val="16"/>
          <w:color w:val="auto"/>
        </w:rPr>
      </w:pPr>
    </w:p>
    <w:p>
      <w:pPr>
        <w:ind w:right="280" w:firstLine="444"/>
        <w:spacing w:after="0" w:line="266" w:lineRule="auto"/>
        <w:tabs>
          <w:tab w:leader="none" w:pos="621"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color w:val="auto"/>
        </w:rPr>
        <w:t>. Nothing in this Agreement shall be deemed to constitute a contract of employment for any given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Company and Employee shall be employment-at-will and either the Company or Employee may terminate it at any time for any reason without liability.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00"/>
          </w:cols>
          <w:pgMar w:left="440" w:top="273" w:right="459" w:bottom="1440" w:gutter="0" w:footer="0" w:header="0"/>
        </w:sectPr>
      </w:pPr>
    </w:p>
    <w:bookmarkStart w:id="372" w:name="page373"/>
    <w:bookmarkEnd w:id="372"/>
    <w:p>
      <w:pPr>
        <w:ind w:left="620" w:hanging="176"/>
        <w:spacing w:after="0"/>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Employment</w:t>
      </w:r>
      <w:r>
        <w:rPr>
          <w:rFonts w:ascii="Arial" w:cs="Arial" w:eastAsia="Arial" w:hAnsi="Arial"/>
          <w:sz w:val="18"/>
          <w:szCs w:val="18"/>
          <w:color w:val="auto"/>
        </w:rPr>
        <w:t>. In order to protect the Company’s rights under this Agreement, Employee agrees that:</w:t>
      </w:r>
    </w:p>
    <w:p>
      <w:pPr>
        <w:spacing w:after="0" w:line="121" w:lineRule="exact"/>
        <w:rPr>
          <w:rFonts w:ascii="Arial" w:cs="Arial" w:eastAsia="Arial" w:hAnsi="Arial"/>
          <w:sz w:val="18"/>
          <w:szCs w:val="18"/>
          <w:color w:val="auto"/>
        </w:rPr>
      </w:pPr>
    </w:p>
    <w:p>
      <w:pPr>
        <w:ind w:right="40" w:firstLine="996"/>
        <w:spacing w:after="0" w:line="255" w:lineRule="auto"/>
        <w:tabs>
          <w:tab w:leader="none" w:pos="123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the Company reason, Employee shall provide the Company with complete and accurate information concerning Employee’s plans for employment. Employee hereby authorizes the Company, at its discretion, to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 and</w:t>
      </w:r>
    </w:p>
    <w:p>
      <w:pPr>
        <w:spacing w:after="0" w:line="85" w:lineRule="exact"/>
        <w:rPr>
          <w:rFonts w:ascii="Arial" w:cs="Arial" w:eastAsia="Arial" w:hAnsi="Arial"/>
          <w:sz w:val="18"/>
          <w:szCs w:val="18"/>
          <w:color w:val="auto"/>
        </w:rPr>
      </w:pPr>
    </w:p>
    <w:p>
      <w:pPr>
        <w:jc w:val="both"/>
        <w:ind w:right="100" w:firstLine="996"/>
        <w:spacing w:after="0" w:line="264" w:lineRule="auto"/>
        <w:tabs>
          <w:tab w:leader="none" w:pos="124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 month period after the termination of Employee’s employment.</w:t>
      </w:r>
    </w:p>
    <w:p>
      <w:pPr>
        <w:spacing w:after="0" w:line="69" w:lineRule="exact"/>
        <w:rPr>
          <w:rFonts w:ascii="Arial" w:cs="Arial" w:eastAsia="Arial" w:hAnsi="Arial"/>
          <w:sz w:val="18"/>
          <w:szCs w:val="18"/>
          <w:color w:val="auto"/>
        </w:rPr>
      </w:pPr>
    </w:p>
    <w:p>
      <w:pPr>
        <w:ind w:right="60" w:firstLine="444"/>
        <w:spacing w:after="0" w:line="258" w:lineRule="auto"/>
        <w:tabs>
          <w:tab w:leader="none" w:pos="711"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Agreement</w:t>
      </w:r>
      <w:r>
        <w:rPr>
          <w:rFonts w:ascii="Arial" w:cs="Arial" w:eastAsia="Arial" w:hAnsi="Arial"/>
          <w:sz w:val="18"/>
          <w:szCs w:val="18"/>
          <w:color w:val="auto"/>
        </w:rPr>
        <w:t>. The Company may assign this Agreement, its rights, interests and remedies under this Agreement,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at any time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75" w:lineRule="exact"/>
        <w:rPr>
          <w:rFonts w:ascii="Arial" w:cs="Arial" w:eastAsia="Arial" w:hAnsi="Arial"/>
          <w:sz w:val="18"/>
          <w:szCs w:val="18"/>
          <w:color w:val="auto"/>
        </w:rPr>
      </w:pPr>
    </w:p>
    <w:p>
      <w:pPr>
        <w:jc w:val="both"/>
        <w:ind w:firstLine="444"/>
        <w:spacing w:after="0" w:line="289" w:lineRule="auto"/>
        <w:tabs>
          <w:tab w:leader="none" w:pos="704" w:val="left"/>
        </w:tabs>
        <w:numPr>
          <w:ilvl w:val="0"/>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color w:val="auto"/>
        </w:rPr>
        <w:t>. No failure or delay by any party to this Agreement in exercising any right, power or privilege hereunder,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50" w:lineRule="exact"/>
        <w:rPr>
          <w:rFonts w:ascii="Arial" w:cs="Arial" w:eastAsia="Arial" w:hAnsi="Arial"/>
          <w:sz w:val="17"/>
          <w:szCs w:val="17"/>
          <w:color w:val="auto"/>
        </w:rPr>
      </w:pPr>
    </w:p>
    <w:p>
      <w:pPr>
        <w:ind w:right="100" w:firstLine="444"/>
        <w:spacing w:after="0" w:line="282" w:lineRule="auto"/>
        <w:tabs>
          <w:tab w:leader="none" w:pos="711"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governed by and construed in accordance with the laws of the State of Illinois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w:t>
      </w:r>
    </w:p>
    <w:p>
      <w:pPr>
        <w:spacing w:after="0" w:line="53" w:lineRule="exact"/>
        <w:rPr>
          <w:rFonts w:ascii="Arial" w:cs="Arial" w:eastAsia="Arial" w:hAnsi="Arial"/>
          <w:sz w:val="18"/>
          <w:szCs w:val="18"/>
          <w:color w:val="auto"/>
        </w:rPr>
      </w:pPr>
    </w:p>
    <w:p>
      <w:pPr>
        <w:ind w:firstLine="444"/>
        <w:spacing w:after="0" w:line="258" w:lineRule="auto"/>
        <w:tabs>
          <w:tab w:leader="none" w:pos="711"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color w:val="auto"/>
        </w:rPr>
        <w:t>. The parties expressly consent to the exclusive jurisdiction of the state or federal courts of Illinois to resolve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forum non conveniens.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020"/>
          </w:cols>
          <w:pgMar w:left="440" w:top="270" w:right="439" w:bottom="1440" w:gutter="0" w:footer="0" w:header="0"/>
        </w:sectPr>
      </w:pPr>
    </w:p>
    <w:bookmarkStart w:id="373" w:name="page374"/>
    <w:bookmarkEnd w:id="373"/>
    <w:p>
      <w:pPr>
        <w:jc w:val="both"/>
        <w:ind w:left="-20" w:firstLine="444"/>
        <w:spacing w:after="0" w:line="261" w:lineRule="auto"/>
        <w:tabs>
          <w:tab w:leader="none" w:pos="691"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 &amp; Signatures</w:t>
      </w:r>
      <w:r>
        <w:rPr>
          <w:rFonts w:ascii="Arial" w:cs="Arial" w:eastAsia="Arial" w:hAnsi="Arial"/>
          <w:sz w:val="18"/>
          <w:szCs w:val="18"/>
          <w:color w:val="auto"/>
        </w:rPr>
        <w:t>. This Agreement may be executed in duplicate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71" w:lineRule="exact"/>
        <w:rPr>
          <w:rFonts w:ascii="Arial" w:cs="Arial" w:eastAsia="Arial" w:hAnsi="Arial"/>
          <w:sz w:val="18"/>
          <w:szCs w:val="18"/>
          <w:color w:val="auto"/>
        </w:rPr>
      </w:pPr>
    </w:p>
    <w:p>
      <w:pPr>
        <w:ind w:left="-20" w:right="100" w:firstLine="444"/>
        <w:spacing w:after="0" w:line="290" w:lineRule="auto"/>
        <w:tabs>
          <w:tab w:leader="none" w:pos="691"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Immunity</w:t>
      </w:r>
      <w:r>
        <w:rPr>
          <w:rFonts w:ascii="Arial" w:cs="Arial" w:eastAsia="Arial" w:hAnsi="Arial"/>
          <w:sz w:val="16"/>
          <w:szCs w:val="16"/>
          <w:color w:val="auto"/>
        </w:rPr>
        <w:t>. Employee understands that nothing in this Agreement is intended to prohibit Employee from disclosing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 reporting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51" w:lineRule="exact"/>
        <w:rPr>
          <w:rFonts w:ascii="Arial" w:cs="Arial" w:eastAsia="Arial" w:hAnsi="Arial"/>
          <w:sz w:val="16"/>
          <w:szCs w:val="16"/>
          <w:color w:val="auto"/>
        </w:rPr>
      </w:pPr>
    </w:p>
    <w:p>
      <w:pPr>
        <w:ind w:left="-20" w:right="100" w:firstLine="444"/>
        <w:spacing w:after="0" w:line="272" w:lineRule="auto"/>
        <w:tabs>
          <w:tab w:leader="none" w:pos="691" w:val="left"/>
        </w:tabs>
        <w:numPr>
          <w:ilvl w:val="0"/>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the Company Property</w:t>
      </w:r>
      <w:r>
        <w:rPr>
          <w:rFonts w:ascii="Arial" w:cs="Arial" w:eastAsia="Arial" w:hAnsi="Arial"/>
          <w:sz w:val="17"/>
          <w:szCs w:val="17"/>
          <w:color w:val="auto"/>
        </w:rPr>
        <w:t>. At the request of the Company (or, without any request, upon termination of my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20" w:right="40" w:firstLine="444"/>
        <w:spacing w:after="0" w:line="255" w:lineRule="auto"/>
        <w:tabs>
          <w:tab w:leader="none" w:pos="691"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Promotional Materials</w:t>
      </w:r>
      <w:r>
        <w:rPr>
          <w:rFonts w:ascii="Arial" w:cs="Arial" w:eastAsia="Arial" w:hAnsi="Arial"/>
          <w:sz w:val="18"/>
          <w:szCs w:val="18"/>
          <w:color w:val="auto"/>
        </w:rPr>
        <w:t>. Employee authorizes and consents to the creation and/or use of Employee’s likeness as well as Employee’s name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00"/>
          </w:cols>
          <w:pgMar w:left="460" w:top="270" w:right="439" w:bottom="1440" w:gutter="0" w:footer="0" w:header="0"/>
        </w:sectPr>
      </w:pPr>
    </w:p>
    <w:bookmarkStart w:id="374" w:name="page375"/>
    <w:bookmarkEnd w:id="37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 </w:t>
      </w:r>
      <w:r>
        <w:rPr>
          <w:rFonts w:ascii="Arial" w:cs="Arial" w:eastAsia="Arial" w:hAnsi="Arial"/>
          <w:sz w:val="16"/>
          <w:szCs w:val="16"/>
          <w:b w:val="1"/>
          <w:bCs w:val="1"/>
          <w:u w:val="single" w:color="auto"/>
          <w:color w:val="auto"/>
        </w:rPr>
        <w:t>Fair Meaning</w:t>
      </w:r>
      <w:r>
        <w:rPr>
          <w:rFonts w:ascii="Arial" w:cs="Arial" w:eastAsia="Arial" w:hAnsi="Arial"/>
          <w:sz w:val="16"/>
          <w:szCs w:val="16"/>
          <w:color w:val="auto"/>
        </w:rPr>
        <w:t>. The language of this Agreement shall be construed as a whole, according to its fair meaning, and not strictly for or against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99" w:lineRule="exact"/>
        <w:rPr>
          <w:sz w:val="20"/>
          <w:szCs w:val="20"/>
          <w:color w:val="auto"/>
        </w:rPr>
      </w:pPr>
    </w:p>
    <w:p>
      <w:pPr>
        <w:ind w:right="40" w:firstLine="444"/>
        <w:spacing w:after="0" w:line="273" w:lineRule="auto"/>
        <w:tabs>
          <w:tab w:leader="none" w:pos="711"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Consideration</w:t>
      </w:r>
      <w:r>
        <w:rPr>
          <w:rFonts w:ascii="Arial" w:cs="Arial" w:eastAsia="Arial" w:hAnsi="Arial"/>
          <w:sz w:val="17"/>
          <w:szCs w:val="17"/>
          <w:b w:val="1"/>
          <w:bCs w:val="1"/>
          <w:color w:val="auto"/>
        </w:rPr>
        <w:t>.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initialing below, Employee specifically acknowledges that Employee has read, understands and agrees to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632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initials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executing this Agreement below, the parties confirm they have read, understood, and voluntarily agreed to be bound by the entire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6"/>
          <w:szCs w:val="16"/>
          <w:color w:val="auto"/>
        </w:rPr>
        <w:t>Michael E. Graham</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Michael E. Graham</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tab/>
        <w:t>7/22/19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7"/>
          <w:szCs w:val="17"/>
          <w:color w:val="auto"/>
        </w:rPr>
        <w:t>V. Lance Mitchell</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V. Lance Mitchell</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tab/>
        <w:t>7/22/19</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60"/>
          </w:cols>
          <w:pgMar w:left="440" w:top="270" w:right="499" w:bottom="1440" w:gutter="0" w:footer="0" w:header="0"/>
        </w:sectPr>
      </w:pPr>
    </w:p>
    <w:bookmarkStart w:id="375" w:name="page376"/>
    <w:bookmarkEnd w:id="37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List of Confidential or Proprietary Information Belonging to Others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9019"/>
          </w:cols>
          <w:pgMar w:left="1440" w:top="269" w:right="1440"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Prior Inventions or Improvements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9019"/>
          </w:cols>
          <w:pgMar w:left="1440" w:top="270" w:right="1440"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July 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Craig Cappel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Employee is currently employed by the Company without a written employment agreement.</w:t>
      </w:r>
    </w:p>
    <w:p>
      <w:pPr>
        <w:spacing w:after="0" w:line="117"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B. The Company and Employee desire to enter into this Agreement to set forth their agreements regarding certain terms and conditions of Employee’s employment.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20" w:firstLine="444"/>
        <w:spacing w:after="0" w:line="266" w:lineRule="auto"/>
        <w:tabs>
          <w:tab w:leader="none" w:pos="621"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Employee’s employment pursuant to this Agreement shall commence on the date hereof and shall continue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68" w:lineRule="exact"/>
        <w:rPr>
          <w:rFonts w:ascii="Arial" w:cs="Arial" w:eastAsia="Arial" w:hAnsi="Arial"/>
          <w:sz w:val="18"/>
          <w:szCs w:val="18"/>
          <w:color w:val="auto"/>
        </w:rPr>
      </w:pPr>
    </w:p>
    <w:p>
      <w:pPr>
        <w:ind w:right="180" w:firstLine="444"/>
        <w:spacing w:after="0" w:line="303" w:lineRule="auto"/>
        <w:tabs>
          <w:tab w:leader="none" w:pos="621"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Duties and Location</w:t>
      </w:r>
      <w:r>
        <w:rPr>
          <w:rFonts w:ascii="Arial" w:cs="Arial" w:eastAsia="Arial" w:hAnsi="Arial"/>
          <w:sz w:val="16"/>
          <w:szCs w:val="16"/>
          <w:color w:val="auto"/>
        </w:rPr>
        <w:t>. Employee shall serve in the position(s)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Employee shall devote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except for customary business travel to other locations as may be necessary to fulfill Employee’s duties and responsibilities hereunder.</w:t>
      </w:r>
    </w:p>
    <w:p>
      <w:pPr>
        <w:spacing w:after="0" w:line="43" w:lineRule="exact"/>
        <w:rPr>
          <w:rFonts w:ascii="Arial" w:cs="Arial" w:eastAsia="Arial" w:hAnsi="Arial"/>
          <w:sz w:val="16"/>
          <w:szCs w:val="16"/>
          <w:color w:val="auto"/>
        </w:rPr>
      </w:pPr>
    </w:p>
    <w:p>
      <w:pPr>
        <w:ind w:left="620" w:hanging="176"/>
        <w:spacing w:after="0"/>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 During the Term:</w:t>
      </w:r>
    </w:p>
    <w:p>
      <w:pPr>
        <w:spacing w:after="0" w:line="117" w:lineRule="exact"/>
        <w:rPr>
          <w:rFonts w:ascii="Arial" w:cs="Arial" w:eastAsia="Arial" w:hAnsi="Arial"/>
          <w:sz w:val="18"/>
          <w:szCs w:val="18"/>
          <w:color w:val="auto"/>
        </w:rPr>
      </w:pPr>
    </w:p>
    <w:p>
      <w:pPr>
        <w:jc w:val="both"/>
        <w:ind w:firstLine="996"/>
        <w:spacing w:after="0" w:line="266" w:lineRule="auto"/>
        <w:tabs>
          <w:tab w:leader="none" w:pos="1236" w:val="left"/>
        </w:tabs>
        <w:numPr>
          <w:ilvl w:val="1"/>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 Salary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68" w:lineRule="exact"/>
        <w:rPr>
          <w:rFonts w:ascii="Arial" w:cs="Arial" w:eastAsia="Arial" w:hAnsi="Arial"/>
          <w:sz w:val="18"/>
          <w:szCs w:val="18"/>
          <w:color w:val="auto"/>
        </w:rPr>
      </w:pPr>
    </w:p>
    <w:p>
      <w:pPr>
        <w:jc w:val="both"/>
        <w:ind w:right="80" w:firstLine="996"/>
        <w:spacing w:after="0" w:line="261" w:lineRule="auto"/>
        <w:tabs>
          <w:tab w:leader="none" w:pos="1247" w:val="left"/>
        </w:tabs>
        <w:numPr>
          <w:ilvl w:val="1"/>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1"/>
          <w:numId w:val="289"/>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Compensation Programs</w:t>
      </w:r>
      <w:r>
        <w:rPr>
          <w:rFonts w:ascii="Arial" w:cs="Arial" w:eastAsia="Arial" w:hAnsi="Arial"/>
          <w:sz w:val="17"/>
          <w:szCs w:val="17"/>
          <w:color w:val="auto"/>
        </w:rPr>
        <w:t>. Employee shall be eligible to participate in such other compensation programs as set forth 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78" w:name="page379"/>
    <w:bookmarkEnd w:id="378"/>
    <w:p>
      <w:pPr>
        <w:ind w:right="460" w:firstLine="996"/>
        <w:spacing w:after="0" w:line="347" w:lineRule="auto"/>
        <w:tabs>
          <w:tab w:leader="none" w:pos="1247" w:val="left"/>
        </w:tabs>
        <w:numPr>
          <w:ilvl w:val="1"/>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6"/>
          <w:szCs w:val="16"/>
          <w:color w:val="auto"/>
        </w:rPr>
        <w:t>. Employee shall be entitled to receive reimbursement for all reasonable expenses incurred by Employee in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hereunder, in accordance with the policies and procedures then in effect and established by the Company for its senior officers.</w:t>
      </w:r>
    </w:p>
    <w:p>
      <w:pPr>
        <w:spacing w:after="0" w:line="8" w:lineRule="exact"/>
        <w:rPr>
          <w:rFonts w:ascii="Arial" w:cs="Arial" w:eastAsia="Arial" w:hAnsi="Arial"/>
          <w:sz w:val="16"/>
          <w:szCs w:val="16"/>
          <w:color w:val="auto"/>
        </w:rPr>
      </w:pPr>
    </w:p>
    <w:p>
      <w:pPr>
        <w:ind w:right="40" w:firstLine="996"/>
        <w:spacing w:after="0" w:line="266" w:lineRule="auto"/>
        <w:tabs>
          <w:tab w:leader="none" w:pos="1236" w:val="left"/>
        </w:tabs>
        <w:numPr>
          <w:ilvl w:val="1"/>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color w:val="auto"/>
        </w:rPr>
        <w:t>. Employee shall be entitled to participate in the Company’s employee health and welfare plans,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arrangements as they may be amended from time to time, to the extent Employee meets the eligibility requirements for any such plan, policy, program or arrangement.</w:t>
      </w:r>
    </w:p>
    <w:p>
      <w:pPr>
        <w:spacing w:after="0" w:line="68" w:lineRule="exact"/>
        <w:rPr>
          <w:rFonts w:ascii="Arial" w:cs="Arial" w:eastAsia="Arial" w:hAnsi="Arial"/>
          <w:sz w:val="18"/>
          <w:szCs w:val="18"/>
          <w:color w:val="auto"/>
        </w:rPr>
      </w:pPr>
    </w:p>
    <w:p>
      <w:pPr>
        <w:jc w:val="both"/>
        <w:ind w:right="80" w:firstLine="996"/>
        <w:spacing w:after="0" w:line="266" w:lineRule="auto"/>
        <w:tabs>
          <w:tab w:leader="none" w:pos="1217" w:val="left"/>
        </w:tabs>
        <w:numPr>
          <w:ilvl w:val="1"/>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color w:val="auto"/>
        </w:rPr>
        <w:t>. Employee shall be entitled to paid vacation, as well as holidays and other paid absences,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for similarly situated employees of the Company, to the extent Employee meets the eligibility requirements for any such policy and procedures.</w:t>
      </w:r>
    </w:p>
    <w:p>
      <w:pPr>
        <w:spacing w:after="0" w:line="68" w:lineRule="exact"/>
        <w:rPr>
          <w:rFonts w:ascii="Arial" w:cs="Arial" w:eastAsia="Arial" w:hAnsi="Arial"/>
          <w:sz w:val="18"/>
          <w:szCs w:val="18"/>
          <w:color w:val="auto"/>
        </w:rPr>
      </w:pPr>
    </w:p>
    <w:p>
      <w:pPr>
        <w:ind w:right="560" w:firstLine="444"/>
        <w:spacing w:after="0" w:line="282" w:lineRule="auto"/>
        <w:tabs>
          <w:tab w:leader="none" w:pos="621" w:val="left"/>
        </w:tabs>
        <w:numPr>
          <w:ilvl w:val="0"/>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Term shall automatically end.</w:t>
      </w:r>
    </w:p>
    <w:p>
      <w:pPr>
        <w:spacing w:after="0" w:line="53" w:lineRule="exact"/>
        <w:rPr>
          <w:rFonts w:ascii="Arial" w:cs="Arial" w:eastAsia="Arial" w:hAnsi="Arial"/>
          <w:sz w:val="18"/>
          <w:szCs w:val="18"/>
          <w:color w:val="auto"/>
        </w:rPr>
      </w:pPr>
    </w:p>
    <w:p>
      <w:pPr>
        <w:ind w:left="1240" w:hanging="244"/>
        <w:spacing w:after="0"/>
        <w:tabs>
          <w:tab w:leader="none" w:pos="1240"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 Employee’s employment hereunder shall automatically terminate upon Employee’s death.</w:t>
      </w:r>
    </w:p>
    <w:p>
      <w:pPr>
        <w:spacing w:after="0" w:line="117" w:lineRule="exact"/>
        <w:rPr>
          <w:rFonts w:ascii="Arial" w:cs="Arial" w:eastAsia="Arial" w:hAnsi="Arial"/>
          <w:sz w:val="18"/>
          <w:szCs w:val="18"/>
          <w:color w:val="auto"/>
        </w:rPr>
      </w:pPr>
    </w:p>
    <w:p>
      <w:pPr>
        <w:ind w:right="80" w:firstLine="996"/>
        <w:spacing w:after="0" w:line="256" w:lineRule="auto"/>
        <w:tabs>
          <w:tab w:leader="none" w:pos="1247"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color w:val="auto"/>
        </w:rPr>
        <w:t>. The Company may terminate Employee’s employment hereunder for Cause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in the good faith determination of [the Company’s CEO][RGHL’s CEO or Owner]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79" w:lineRule="exact"/>
        <w:rPr>
          <w:rFonts w:ascii="Arial" w:cs="Arial" w:eastAsia="Arial" w:hAnsi="Arial"/>
          <w:sz w:val="18"/>
          <w:szCs w:val="18"/>
          <w:color w:val="auto"/>
        </w:rPr>
      </w:pPr>
    </w:p>
    <w:p>
      <w:pPr>
        <w:ind w:right="240" w:firstLine="996"/>
        <w:spacing w:after="0" w:line="266" w:lineRule="auto"/>
        <w:tabs>
          <w:tab w:leader="none" w:pos="1236"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Employee’s employment hereunder at any time without Cause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68" w:lineRule="exact"/>
        <w:rPr>
          <w:rFonts w:ascii="Arial" w:cs="Arial" w:eastAsia="Arial" w:hAnsi="Arial"/>
          <w:sz w:val="18"/>
          <w:szCs w:val="18"/>
          <w:color w:val="auto"/>
        </w:rPr>
      </w:pPr>
    </w:p>
    <w:p>
      <w:pPr>
        <w:ind w:left="1260" w:hanging="264"/>
        <w:spacing w:after="0"/>
        <w:tabs>
          <w:tab w:leader="none" w:pos="1260" w:val="left"/>
        </w:tabs>
        <w:numPr>
          <w:ilvl w:val="1"/>
          <w:numId w:val="291"/>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by Employee</w:t>
      </w:r>
      <w:r>
        <w:rPr>
          <w:rFonts w:ascii="Arial" w:cs="Arial" w:eastAsia="Arial" w:hAnsi="Arial"/>
          <w:sz w:val="17"/>
          <w:szCs w:val="17"/>
          <w:color w:val="auto"/>
        </w:rPr>
        <w:t>. Employee may terminate Employee’s employment hereunder upon 30 days’ written notice to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98" w:lineRule="exact"/>
        <w:rPr>
          <w:rFonts w:ascii="Arial" w:cs="Arial" w:eastAsia="Arial" w:hAnsi="Arial"/>
          <w:sz w:val="17"/>
          <w:szCs w:val="17"/>
          <w:color w:val="auto"/>
        </w:rPr>
      </w:pPr>
    </w:p>
    <w:p>
      <w:pPr>
        <w:ind w:firstLine="996"/>
        <w:spacing w:after="0" w:line="256" w:lineRule="auto"/>
        <w:tabs>
          <w:tab w:leader="none" w:pos="1236"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79" w:name="page380"/>
    <w:bookmarkEnd w:id="379"/>
    <w:p>
      <w:pPr>
        <w:ind w:left="600" w:hanging="176"/>
        <w:spacing w:after="0"/>
        <w:tabs>
          <w:tab w:leader="none" w:pos="600"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996"/>
        <w:spacing w:after="0" w:line="258" w:lineRule="auto"/>
        <w:tabs>
          <w:tab w:leader="none" w:pos="1216" w:val="left"/>
        </w:tabs>
        <w:numPr>
          <w:ilvl w:val="1"/>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color w:val="auto"/>
        </w:rPr>
        <w:t>. If Employee’s employment with the Company is terminated for any reason, Employee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The Accrued Obligations shall be paid at the time(s) specified under any applicable employee benefit plan, or, if there is no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within 30 days after Employee’s Date of Termination.</w:t>
      </w:r>
    </w:p>
    <w:p>
      <w:pPr>
        <w:spacing w:after="0" w:line="75" w:lineRule="exact"/>
        <w:rPr>
          <w:rFonts w:ascii="Arial" w:cs="Arial" w:eastAsia="Arial" w:hAnsi="Arial"/>
          <w:sz w:val="18"/>
          <w:szCs w:val="18"/>
          <w:color w:val="auto"/>
        </w:rPr>
      </w:pPr>
    </w:p>
    <w:p>
      <w:pPr>
        <w:ind w:left="-20" w:right="80" w:firstLine="996"/>
        <w:spacing w:after="0" w:line="266" w:lineRule="auto"/>
        <w:tabs>
          <w:tab w:leader="none" w:pos="1227" w:val="left"/>
        </w:tabs>
        <w:numPr>
          <w:ilvl w:val="1"/>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color w:val="auto"/>
        </w:rPr>
        <w:t>. If Employee’s employment is terminated by the Company without Cause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pacing w:after="0" w:line="68" w:lineRule="exact"/>
        <w:rPr>
          <w:rFonts w:ascii="Arial" w:cs="Arial" w:eastAsia="Arial" w:hAnsi="Arial"/>
          <w:sz w:val="18"/>
          <w:szCs w:val="18"/>
          <w:color w:val="auto"/>
        </w:rPr>
      </w:pPr>
    </w:p>
    <w:p>
      <w:pPr>
        <w:ind w:left="420" w:right="20" w:firstLine="957"/>
        <w:spacing w:after="0" w:line="289" w:lineRule="auto"/>
        <w:tabs>
          <w:tab w:leader="none" w:pos="1587" w:val="left"/>
        </w:tabs>
        <w:numPr>
          <w:ilvl w:val="2"/>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Severance</w:t>
      </w:r>
      <w:r>
        <w:rPr>
          <w:rFonts w:ascii="Arial" w:cs="Arial" w:eastAsia="Arial" w:hAnsi="Arial"/>
          <w:sz w:val="16"/>
          <w:szCs w:val="16"/>
          <w:color w:val="auto"/>
        </w:rPr>
        <w:t>. A severance payment (the “</w:t>
      </w:r>
      <w:r>
        <w:rPr>
          <w:rFonts w:ascii="Arial" w:cs="Arial" w:eastAsia="Arial" w:hAnsi="Arial"/>
          <w:sz w:val="16"/>
          <w:szCs w:val="16"/>
          <w:b w:val="1"/>
          <w:bCs w:val="1"/>
          <w:u w:val="single" w:color="auto"/>
          <w:color w:val="auto"/>
        </w:rPr>
        <w:t>Severance Amount</w:t>
      </w:r>
      <w:r>
        <w:rPr>
          <w:rFonts w:ascii="Arial" w:cs="Arial" w:eastAsia="Arial" w:hAnsi="Arial"/>
          <w:sz w:val="16"/>
          <w:szCs w:val="16"/>
          <w:color w:val="auto"/>
        </w:rPr>
        <w:t>”) in the Amount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Severance Amount shall be paid to Employee in equal installments in accordance with the Company’s normal payroll practices over a period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of the severance shall be payable until the revocation period for the Release described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53" w:lineRule="exact"/>
        <w:rPr>
          <w:rFonts w:ascii="Arial" w:cs="Arial" w:eastAsia="Arial" w:hAnsi="Arial"/>
          <w:sz w:val="16"/>
          <w:szCs w:val="16"/>
          <w:color w:val="auto"/>
        </w:rPr>
      </w:pPr>
    </w:p>
    <w:p>
      <w:pPr>
        <w:ind w:left="420" w:firstLine="957"/>
        <w:spacing w:after="0" w:line="291" w:lineRule="auto"/>
        <w:tabs>
          <w:tab w:leader="none" w:pos="1637" w:val="left"/>
        </w:tabs>
        <w:numPr>
          <w:ilvl w:val="2"/>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Health Care Continuation</w:t>
      </w:r>
      <w:r>
        <w:rPr>
          <w:rFonts w:ascii="Arial" w:cs="Arial" w:eastAsia="Arial" w:hAnsi="Arial"/>
          <w:sz w:val="16"/>
          <w:szCs w:val="16"/>
          <w:color w:val="auto"/>
        </w:rPr>
        <w:t>. In addition, Employee and Employee’s eligible dependents, if any, shall continue to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health plan (the “</w:t>
      </w:r>
      <w:r>
        <w:rPr>
          <w:rFonts w:ascii="Arial" w:cs="Arial" w:eastAsia="Arial" w:hAnsi="Arial"/>
          <w:sz w:val="16"/>
          <w:szCs w:val="16"/>
          <w:b w:val="1"/>
          <w:bCs w:val="1"/>
          <w:u w:val="single" w:color="auto"/>
          <w:color w:val="auto"/>
        </w:rPr>
        <w:t>Health Plan</w:t>
      </w:r>
      <w:r>
        <w:rPr>
          <w:rFonts w:ascii="Arial" w:cs="Arial" w:eastAsia="Arial" w:hAnsi="Arial"/>
          <w:sz w:val="16"/>
          <w:szCs w:val="16"/>
          <w:color w:val="auto"/>
        </w:rPr>
        <w:t>”),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a lump-sum cash payment equal to the total monthly premiums (or in the case of a self-funded plan, the cost of COBRA continuation coverage) that would have been paid by the Company for Employee under the Health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0" w:right="439" w:bottom="1440" w:gutter="0" w:footer="0" w:header="0"/>
        </w:sectPr>
      </w:pPr>
    </w:p>
    <w:bookmarkStart w:id="380" w:name="page381"/>
    <w:bookmarkEnd w:id="380"/>
    <w:p>
      <w:pPr>
        <w:ind w:right="260" w:firstLine="996"/>
        <w:spacing w:after="0" w:line="291" w:lineRule="auto"/>
        <w:tabs>
          <w:tab w:leader="none" w:pos="1236" w:val="left"/>
        </w:tabs>
        <w:numPr>
          <w:ilvl w:val="1"/>
          <w:numId w:val="29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that may become due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Employee signing a general release of claims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the Company and related persons and entities in a form and manner satisfactory to the Company (the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contingent upon Employee abiding by and not breaching any of the covenants set forth in the Release and in the Restrictive Covenant Agreement.</w:t>
      </w:r>
    </w:p>
    <w:p>
      <w:pPr>
        <w:spacing w:after="0" w:line="52" w:lineRule="exact"/>
        <w:rPr>
          <w:rFonts w:ascii="Arial" w:cs="Arial" w:eastAsia="Arial" w:hAnsi="Arial"/>
          <w:sz w:val="16"/>
          <w:szCs w:val="16"/>
          <w:color w:val="auto"/>
        </w:rPr>
      </w:pPr>
    </w:p>
    <w:p>
      <w:pPr>
        <w:ind w:left="620" w:hanging="176"/>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96"/>
        <w:spacing w:after="0" w:line="290" w:lineRule="auto"/>
        <w:tabs>
          <w:tab w:leader="none" w:pos="123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1.409A-1(h).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Termination.</w:t>
      </w:r>
    </w:p>
    <w:p>
      <w:pPr>
        <w:spacing w:after="0" w:line="58" w:lineRule="exact"/>
        <w:rPr>
          <w:rFonts w:ascii="Arial" w:cs="Arial" w:eastAsia="Arial" w:hAnsi="Arial"/>
          <w:sz w:val="16"/>
          <w:szCs w:val="16"/>
          <w:color w:val="auto"/>
        </w:rPr>
      </w:pPr>
    </w:p>
    <w:p>
      <w:pPr>
        <w:ind w:right="220" w:firstLine="996"/>
        <w:spacing w:after="0" w:line="288" w:lineRule="auto"/>
        <w:tabs>
          <w:tab w:leader="none" w:pos="124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75" w:lineRule="exact"/>
        <w:rPr>
          <w:rFonts w:ascii="Arial" w:cs="Arial" w:eastAsia="Arial" w:hAnsi="Arial"/>
          <w:sz w:val="16"/>
          <w:szCs w:val="16"/>
          <w:color w:val="auto"/>
        </w:rPr>
      </w:pPr>
    </w:p>
    <w:p>
      <w:pPr>
        <w:ind w:right="80" w:firstLine="996"/>
        <w:spacing w:after="0" w:line="255" w:lineRule="auto"/>
        <w:tabs>
          <w:tab w:leader="none" w:pos="123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381" w:name="page382"/>
    <w:bookmarkEnd w:id="381"/>
    <w:p>
      <w:pPr>
        <w:ind w:left="-60" w:right="20" w:firstLine="996"/>
        <w:spacing w:after="0" w:line="264" w:lineRule="auto"/>
        <w:tabs>
          <w:tab w:leader="none" w:pos="1187" w:val="left"/>
        </w:tabs>
        <w:numPr>
          <w:ilvl w:val="1"/>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69" w:lineRule="exact"/>
        <w:rPr>
          <w:rFonts w:ascii="Arial" w:cs="Arial" w:eastAsia="Arial" w:hAnsi="Arial"/>
          <w:sz w:val="18"/>
          <w:szCs w:val="18"/>
          <w:color w:val="auto"/>
        </w:rPr>
      </w:pPr>
    </w:p>
    <w:p>
      <w:pPr>
        <w:ind w:left="-60" w:right="120" w:firstLine="444"/>
        <w:spacing w:after="0" w:line="266" w:lineRule="auto"/>
        <w:tabs>
          <w:tab w:leader="none" w:pos="561"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 The Company’s obligations under this Agreement, including the Company’s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0" w:firstLine="444"/>
        <w:spacing w:after="0" w:line="287" w:lineRule="auto"/>
        <w:tabs>
          <w:tab w:leader="none" w:pos="561"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xml:space="preserve">”) in Chicago, IL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specifically enforceable.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other relief shall be pursued through an arbitration proceeding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Further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limit the Company’s ability to terminate Employee’s employment at any time.</w:t>
      </w:r>
    </w:p>
    <w:p>
      <w:pPr>
        <w:spacing w:after="0" w:line="60" w:lineRule="exact"/>
        <w:rPr>
          <w:rFonts w:ascii="Arial" w:cs="Arial" w:eastAsia="Arial" w:hAnsi="Arial"/>
          <w:sz w:val="16"/>
          <w:szCs w:val="16"/>
          <w:color w:val="auto"/>
        </w:rPr>
      </w:pPr>
    </w:p>
    <w:p>
      <w:pPr>
        <w:ind w:left="-60" w:right="160" w:firstLine="444"/>
        <w:spacing w:after="0" w:line="266" w:lineRule="auto"/>
        <w:tabs>
          <w:tab w:leader="none" w:pos="561"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68" w:lineRule="exact"/>
        <w:rPr>
          <w:rFonts w:ascii="Arial" w:cs="Arial" w:eastAsia="Arial" w:hAnsi="Arial"/>
          <w:sz w:val="18"/>
          <w:szCs w:val="18"/>
          <w:color w:val="auto"/>
        </w:rPr>
      </w:pPr>
    </w:p>
    <w:p>
      <w:pPr>
        <w:ind w:left="-60" w:right="60" w:firstLine="444"/>
        <w:spacing w:after="0" w:line="282" w:lineRule="auto"/>
        <w:tabs>
          <w:tab w:leader="none" w:pos="651"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payments made by the Company to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4" w:right="499" w:bottom="1440" w:gutter="0" w:footer="0" w:header="0"/>
        </w:sectPr>
      </w:pPr>
    </w:p>
    <w:bookmarkStart w:id="382" w:name="page383"/>
    <w:bookmarkEnd w:id="382"/>
    <w:p>
      <w:pPr>
        <w:jc w:val="both"/>
        <w:ind w:left="-40" w:right="240" w:firstLine="444"/>
        <w:spacing w:after="0" w:line="303" w:lineRule="auto"/>
        <w:tabs>
          <w:tab w:leader="none" w:pos="664"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Enforceability</w:t>
      </w:r>
      <w:r>
        <w:rPr>
          <w:rFonts w:ascii="Arial" w:cs="Arial" w:eastAsia="Arial" w:hAnsi="Arial"/>
          <w:sz w:val="16"/>
          <w:szCs w:val="16"/>
          <w:color w:val="auto"/>
        </w:rPr>
        <w:t>. If any portion or provision of this Agreement (including, without limitation, any portion or provision of any section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43" w:lineRule="exact"/>
        <w:rPr>
          <w:rFonts w:ascii="Arial" w:cs="Arial" w:eastAsia="Arial" w:hAnsi="Arial"/>
          <w:sz w:val="16"/>
          <w:szCs w:val="16"/>
          <w:color w:val="auto"/>
        </w:rPr>
      </w:pPr>
    </w:p>
    <w:p>
      <w:pPr>
        <w:ind w:left="-40" w:firstLine="444"/>
        <w:spacing w:after="0" w:line="282" w:lineRule="auto"/>
        <w:tabs>
          <w:tab w:leader="none" w:pos="671"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Employee’s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to effectuate the terms contained herein.</w:t>
      </w:r>
    </w:p>
    <w:p>
      <w:pPr>
        <w:spacing w:after="0" w:line="53" w:lineRule="exact"/>
        <w:rPr>
          <w:rFonts w:ascii="Arial" w:cs="Arial" w:eastAsia="Arial" w:hAnsi="Arial"/>
          <w:sz w:val="18"/>
          <w:szCs w:val="18"/>
          <w:color w:val="auto"/>
        </w:rPr>
      </w:pPr>
    </w:p>
    <w:p>
      <w:pPr>
        <w:ind w:left="-40" w:right="60" w:firstLine="444"/>
        <w:spacing w:after="0" w:line="266" w:lineRule="auto"/>
        <w:tabs>
          <w:tab w:leader="none" w:pos="671"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68" w:lineRule="exact"/>
        <w:rPr>
          <w:rFonts w:ascii="Arial" w:cs="Arial" w:eastAsia="Arial" w:hAnsi="Arial"/>
          <w:sz w:val="18"/>
          <w:szCs w:val="18"/>
          <w:color w:val="auto"/>
        </w:rPr>
      </w:pPr>
    </w:p>
    <w:p>
      <w:pPr>
        <w:ind w:left="-40" w:right="100" w:firstLine="444"/>
        <w:spacing w:after="0" w:line="261" w:lineRule="auto"/>
        <w:tabs>
          <w:tab w:leader="none" w:pos="671"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Lance Mitchell.</w:t>
      </w:r>
    </w:p>
    <w:p>
      <w:pPr>
        <w:spacing w:after="0" w:line="71" w:lineRule="exact"/>
        <w:rPr>
          <w:rFonts w:ascii="Arial" w:cs="Arial" w:eastAsia="Arial" w:hAnsi="Arial"/>
          <w:sz w:val="18"/>
          <w:szCs w:val="18"/>
          <w:color w:val="auto"/>
        </w:rPr>
      </w:pPr>
    </w:p>
    <w:p>
      <w:pPr>
        <w:ind w:left="-40" w:right="500" w:firstLine="444"/>
        <w:spacing w:after="0" w:line="282" w:lineRule="auto"/>
        <w:tabs>
          <w:tab w:leader="none" w:pos="671"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instrument signed by Employee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 (other than Employee).</w:t>
      </w:r>
    </w:p>
    <w:p>
      <w:pPr>
        <w:spacing w:after="0" w:line="53" w:lineRule="exact"/>
        <w:rPr>
          <w:rFonts w:ascii="Arial" w:cs="Arial" w:eastAsia="Arial" w:hAnsi="Arial"/>
          <w:sz w:val="18"/>
          <w:szCs w:val="18"/>
          <w:color w:val="auto"/>
        </w:rPr>
      </w:pPr>
    </w:p>
    <w:p>
      <w:pPr>
        <w:ind w:left="-40" w:right="180" w:firstLine="444"/>
        <w:spacing w:after="0" w:line="282" w:lineRule="auto"/>
        <w:tabs>
          <w:tab w:leader="none" w:pos="671"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under and be governed in all respects by the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 of laws principles of such State.</w:t>
      </w:r>
    </w:p>
    <w:p>
      <w:pPr>
        <w:spacing w:after="0" w:line="53" w:lineRule="exact"/>
        <w:rPr>
          <w:rFonts w:ascii="Arial" w:cs="Arial" w:eastAsia="Arial" w:hAnsi="Arial"/>
          <w:sz w:val="18"/>
          <w:szCs w:val="18"/>
          <w:color w:val="auto"/>
        </w:rPr>
      </w:pPr>
    </w:p>
    <w:p>
      <w:pPr>
        <w:ind w:left="-40" w:right="40" w:firstLine="444"/>
        <w:spacing w:after="0" w:line="282" w:lineRule="auto"/>
        <w:tabs>
          <w:tab w:leader="none" w:pos="671"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such counterparts shall together constitute one and the same document.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parties have executed this Agreement effective as of the date set forth above.</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658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5715</wp:posOffset>
            </wp:positionV>
            <wp:extent cx="242697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Lance Mitchell</w:t>
      </w:r>
    </w:p>
    <w:p>
      <w:pPr>
        <w:spacing w:after="0" w:line="23" w:lineRule="exact"/>
        <w:rPr>
          <w:sz w:val="20"/>
          <w:szCs w:val="20"/>
          <w:color w:val="auto"/>
        </w:rPr>
      </w:pPr>
    </w:p>
    <w:p>
      <w:pPr>
        <w:ind w:left="6580"/>
        <w:spacing w:after="0"/>
        <w:tabs>
          <w:tab w:leader="none" w:pos="71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//s// Craig Cappel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80" w:top="269" w:right="459" w:bottom="1440" w:gutter="0" w:footer="0" w:header="0"/>
        </w:sectPr>
      </w:pPr>
    </w:p>
    <w:bookmarkStart w:id="383" w:name="page384"/>
    <w:bookmarkEnd w:id="383"/>
    <w:p>
      <w:pPr>
        <w:jc w:val="center"/>
        <w:ind w:right="396"/>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17" w:lineRule="exact"/>
        <w:rPr>
          <w:sz w:val="20"/>
          <w:szCs w:val="20"/>
          <w:color w:val="auto"/>
        </w:rPr>
      </w:pPr>
    </w:p>
    <w:p>
      <w:pPr>
        <w:jc w:val="center"/>
        <w:ind w:right="396"/>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135" w:lineRule="exact"/>
        <w:rPr>
          <w:sz w:val="20"/>
          <w:szCs w:val="20"/>
          <w:color w:val="auto"/>
        </w:rPr>
      </w:pPr>
    </w:p>
    <w:p>
      <w:pPr>
        <w:ind w:left="544" w:hanging="544"/>
        <w:spacing w:after="0"/>
        <w:tabs>
          <w:tab w:leader="none" w:pos="5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Business Unit President, Reynolds Foil &amp; Cooking</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Primary Location(s)</w:t>
      </w:r>
      <w:r>
        <w:rPr>
          <w:rFonts w:ascii="Arial" w:cs="Arial" w:eastAsia="Arial" w:hAnsi="Arial"/>
          <w:sz w:val="18"/>
          <w:szCs w:val="18"/>
          <w:color w:val="auto"/>
        </w:rPr>
        <w:t>: Lake Forest, IL</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$463,500</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Annual Bonus Target</w:t>
      </w:r>
      <w:r>
        <w:rPr>
          <w:rFonts w:ascii="Arial" w:cs="Arial" w:eastAsia="Arial" w:hAnsi="Arial"/>
          <w:sz w:val="18"/>
          <w:szCs w:val="18"/>
          <w:color w:val="auto"/>
        </w:rPr>
        <w:t>: 50% of Base Salary</w:t>
      </w:r>
    </w:p>
    <w:p>
      <w:pPr>
        <w:spacing w:after="0" w:line="130" w:lineRule="exact"/>
        <w:rPr>
          <w:rFonts w:ascii="Arial" w:cs="Arial" w:eastAsia="Arial" w:hAnsi="Arial"/>
          <w:sz w:val="18"/>
          <w:szCs w:val="18"/>
          <w:color w:val="auto"/>
        </w:rPr>
      </w:pPr>
    </w:p>
    <w:p>
      <w:pPr>
        <w:ind w:left="544" w:hanging="544"/>
        <w:spacing w:after="0" w:line="268" w:lineRule="auto"/>
        <w:tabs>
          <w:tab w:leader="none" w:pos="544"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Severance Amount/Period</w:t>
      </w:r>
      <w:r>
        <w:rPr>
          <w:rFonts w:ascii="Arial" w:cs="Arial" w:eastAsia="Arial" w:hAnsi="Arial"/>
          <w:sz w:val="17"/>
          <w:szCs w:val="17"/>
          <w:color w:val="auto"/>
        </w:rPr>
        <w:t xml:space="preserve">: (i) Base Salary,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Base Salary plus (ii) Annual Bonus at Target prorated through Date of Termination, paid in equal installments over 24 months following the Date of Termination. All other terms of </w:t>
      </w:r>
      <w:r>
        <w:rPr>
          <w:rFonts w:ascii="Arial" w:cs="Arial" w:eastAsia="Arial" w:hAnsi="Arial"/>
          <w:sz w:val="17"/>
          <w:szCs w:val="17"/>
          <w:u w:val="single" w:color="auto"/>
          <w:color w:val="auto"/>
        </w:rPr>
        <w:t>Section 5(b)(i)</w:t>
      </w:r>
      <w:r>
        <w:rPr>
          <w:rFonts w:ascii="Arial" w:cs="Arial" w:eastAsia="Arial" w:hAnsi="Arial"/>
          <w:sz w:val="17"/>
          <w:szCs w:val="17"/>
          <w:color w:val="auto"/>
        </w:rPr>
        <w:t xml:space="preserve"> of the Agreement will apply. For purposes of this provision a “</w:t>
      </w:r>
      <w:r>
        <w:rPr>
          <w:rFonts w:ascii="Arial" w:cs="Arial" w:eastAsia="Arial" w:hAnsi="Arial"/>
          <w:sz w:val="17"/>
          <w:szCs w:val="17"/>
          <w:b w:val="1"/>
          <w:bCs w:val="1"/>
          <w:color w:val="auto"/>
        </w:rPr>
        <w:t>Sale of Business</w:t>
      </w:r>
      <w:r>
        <w:rPr>
          <w:rFonts w:ascii="Arial" w:cs="Arial" w:eastAsia="Arial" w:hAnsi="Arial"/>
          <w:sz w:val="17"/>
          <w:szCs w:val="17"/>
          <w:color w:val="auto"/>
        </w:rPr>
        <w:t>” shall mean the sale or other disposition of (x) more than 50% of the shares or other equity interests of the Company or the Company’s direct or indirect parent to a non-affiliated party, or (y) more than 50% of the businesses or assets that, as of the most recent year end, generated more than 50% of the Company’s EBITDA (as determined in good faith by RGHL’s CEO,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93" w:lineRule="exact"/>
        <w:rPr>
          <w:rFonts w:ascii="Arial" w:cs="Arial" w:eastAsia="Arial" w:hAnsi="Arial"/>
          <w:sz w:val="17"/>
          <w:szCs w:val="17"/>
          <w:color w:val="auto"/>
        </w:rPr>
      </w:pPr>
    </w:p>
    <w:p>
      <w:pPr>
        <w:ind w:left="544" w:hanging="544"/>
        <w:spacing w:after="0"/>
        <w:tabs>
          <w:tab w:leader="none" w:pos="5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r>
        <w:rPr>
          <w:rFonts w:ascii="Arial" w:cs="Arial" w:eastAsia="Arial" w:hAnsi="Arial"/>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Long-Term Incentive Program Target: 75% of Base Salary</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564"/>
          </w:cols>
          <w:pgMar w:left="876" w:top="270" w:right="459" w:bottom="1440" w:gutter="0" w:footer="0" w:header="0"/>
        </w:sectPr>
      </w:pPr>
    </w:p>
    <w:bookmarkStart w:id="384" w:name="page385"/>
    <w:bookmarkEnd w:id="38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Restrictive Covenant Agreement</w:t>
      </w:r>
    </w:p>
    <w:p>
      <w:pPr>
        <w:spacing w:after="0" w:line="225" w:lineRule="exact"/>
        <w:rPr>
          <w:sz w:val="20"/>
          <w:szCs w:val="20"/>
          <w:color w:val="auto"/>
        </w:rPr>
      </w:pPr>
    </w:p>
    <w:p>
      <w:pPr>
        <w:ind w:right="940" w:firstLine="441"/>
        <w:spacing w:after="0" w:line="282" w:lineRule="auto"/>
        <w:rPr>
          <w:sz w:val="20"/>
          <w:szCs w:val="20"/>
          <w:color w:val="auto"/>
        </w:rPr>
      </w:pPr>
      <w:r>
        <w:rPr>
          <w:rFonts w:ascii="Arial" w:cs="Arial" w:eastAsia="Arial" w:hAnsi="Arial"/>
          <w:sz w:val="18"/>
          <w:szCs w:val="18"/>
          <w:color w:val="auto"/>
        </w:rPr>
        <w:t>Restrictive Covenant Agreement dated July 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Craig Cappel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6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 In addition, the Company is providing Employee other consideration for Employee’s execution of this Agreement, as provided in a separate letter of even date herewith.</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20" w:hanging="176"/>
        <w:spacing w:after="0"/>
        <w:tabs>
          <w:tab w:leader="none" w:pos="620" w:val="left"/>
        </w:tabs>
        <w:numPr>
          <w:ilvl w:val="1"/>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w:t>
      </w:r>
    </w:p>
    <w:p>
      <w:pPr>
        <w:spacing w:after="0" w:line="117" w:lineRule="exact"/>
        <w:rPr>
          <w:rFonts w:ascii="Arial" w:cs="Arial" w:eastAsia="Arial" w:hAnsi="Arial"/>
          <w:sz w:val="18"/>
          <w:szCs w:val="18"/>
          <w:color w:val="auto"/>
        </w:rPr>
      </w:pPr>
    </w:p>
    <w:p>
      <w:pPr>
        <w:jc w:val="both"/>
        <w:ind w:right="220" w:firstLine="996"/>
        <w:spacing w:after="0" w:line="281" w:lineRule="auto"/>
        <w:tabs>
          <w:tab w:leader="none" w:pos="1237" w:val="left"/>
        </w:tabs>
        <w:numPr>
          <w:ilvl w:val="2"/>
          <w:numId w:val="2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Product</w:t>
      </w:r>
      <w:r>
        <w:rPr>
          <w:rFonts w:ascii="Arial" w:cs="Arial" w:eastAsia="Arial" w:hAnsi="Arial"/>
          <w:sz w:val="17"/>
          <w:szCs w:val="17"/>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56" w:lineRule="exact"/>
        <w:rPr>
          <w:rFonts w:ascii="Arial" w:cs="Arial" w:eastAsia="Arial" w:hAnsi="Arial"/>
          <w:sz w:val="17"/>
          <w:szCs w:val="17"/>
          <w:color w:val="auto"/>
        </w:rPr>
      </w:pPr>
    </w:p>
    <w:p>
      <w:pPr>
        <w:ind w:right="220" w:firstLine="996"/>
        <w:spacing w:after="0" w:line="282" w:lineRule="auto"/>
        <w:tabs>
          <w:tab w:leader="none" w:pos="1247"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Competitive Activity</w:t>
      </w:r>
      <w:r>
        <w:rPr>
          <w:rFonts w:ascii="Arial" w:cs="Arial" w:eastAsia="Arial" w:hAnsi="Arial"/>
          <w:sz w:val="18"/>
          <w:szCs w:val="18"/>
          <w:color w:val="auto"/>
        </w:rPr>
        <w:t>” means the marketing, distribution, promotion, sales, development, delivery, or servicing of any product that competes with any Company Product.</w:t>
      </w:r>
    </w:p>
    <w:p>
      <w:pPr>
        <w:spacing w:after="0" w:line="53" w:lineRule="exact"/>
        <w:rPr>
          <w:rFonts w:ascii="Arial" w:cs="Arial" w:eastAsia="Arial" w:hAnsi="Arial"/>
          <w:sz w:val="18"/>
          <w:szCs w:val="18"/>
          <w:color w:val="auto"/>
        </w:rPr>
      </w:pPr>
    </w:p>
    <w:p>
      <w:pPr>
        <w:jc w:val="both"/>
        <w:ind w:firstLine="996"/>
        <w:spacing w:after="0" w:line="261" w:lineRule="auto"/>
        <w:tabs>
          <w:tab w:leader="none" w:pos="1237"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Competitor</w:t>
      </w:r>
      <w:r>
        <w:rPr>
          <w:rFonts w:ascii="Arial" w:cs="Arial" w:eastAsia="Arial" w:hAnsi="Arial"/>
          <w:sz w:val="18"/>
          <w:szCs w:val="18"/>
          <w:color w:val="auto"/>
        </w:rPr>
        <w:t xml:space="preserve">” means (i) those entities listed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other entities that the Company reasonably determines are engaged in a Competitive Activity, in each case plus any direct or indirect parent or subsidiary of such entity,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right="340" w:firstLine="996"/>
        <w:spacing w:after="0" w:line="293" w:lineRule="auto"/>
        <w:tabs>
          <w:tab w:leader="none" w:pos="1247" w:val="left"/>
        </w:tabs>
        <w:numPr>
          <w:ilvl w:val="2"/>
          <w:numId w:val="2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Customer</w:t>
      </w:r>
      <w:r>
        <w:rPr>
          <w:rFonts w:ascii="Arial" w:cs="Arial" w:eastAsia="Arial" w:hAnsi="Arial"/>
          <w:sz w:val="16"/>
          <w:szCs w:val="16"/>
          <w:color w:val="auto"/>
        </w:rPr>
        <w:t>” means any customer, including distributors, with whom the Company transacted business during the 24-month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right="760" w:firstLine="4"/>
        <w:spacing w:after="0" w:line="261" w:lineRule="auto"/>
        <w:tabs>
          <w:tab w:leader="none" w:pos="26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knew Proprietary Information of or about, the Customer during the 24-month period immediately preceding the termination of Employee’s employment with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85" w:name="page386"/>
    <w:bookmarkEnd w:id="385"/>
    <w:p>
      <w:pPr>
        <w:ind w:left="1236" w:hanging="244"/>
        <w:spacing w:after="0"/>
        <w:tabs>
          <w:tab w:leader="none" w:pos="1236"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121" w:lineRule="exact"/>
        <w:rPr>
          <w:rFonts w:ascii="Arial" w:cs="Arial" w:eastAsia="Arial" w:hAnsi="Arial"/>
          <w:sz w:val="18"/>
          <w:szCs w:val="18"/>
          <w:color w:val="auto"/>
        </w:rPr>
      </w:pPr>
    </w:p>
    <w:p>
      <w:pPr>
        <w:ind w:left="1656" w:hanging="263"/>
        <w:spacing w:after="0"/>
        <w:tabs>
          <w:tab w:leader="none" w:pos="1656" w:val="left"/>
        </w:tabs>
        <w:numPr>
          <w:ilvl w:val="2"/>
          <w:numId w:val="301"/>
        </w:numPr>
        <w:rPr>
          <w:rFonts w:ascii="Arial" w:cs="Arial" w:eastAsia="Arial" w:hAnsi="Arial"/>
          <w:sz w:val="18"/>
          <w:szCs w:val="18"/>
          <w:color w:val="auto"/>
        </w:rPr>
      </w:pPr>
      <w:r>
        <w:rPr>
          <w:rFonts w:ascii="Arial" w:cs="Arial" w:eastAsia="Arial" w:hAnsi="Arial"/>
          <w:sz w:val="18"/>
          <w:szCs w:val="18"/>
          <w:color w:val="auto"/>
        </w:rPr>
        <w:t>with whom or with which Employee dealt on behalf of the Company;</w:t>
      </w:r>
    </w:p>
    <w:p>
      <w:pPr>
        <w:spacing w:after="0" w:line="117" w:lineRule="exact"/>
        <w:rPr>
          <w:rFonts w:ascii="Arial" w:cs="Arial" w:eastAsia="Arial" w:hAnsi="Arial"/>
          <w:sz w:val="18"/>
          <w:szCs w:val="18"/>
          <w:color w:val="auto"/>
        </w:rPr>
      </w:pPr>
    </w:p>
    <w:p>
      <w:pPr>
        <w:ind w:left="1656" w:hanging="263"/>
        <w:spacing w:after="0"/>
        <w:tabs>
          <w:tab w:leader="none" w:pos="1656" w:val="left"/>
        </w:tabs>
        <w:numPr>
          <w:ilvl w:val="2"/>
          <w:numId w:val="301"/>
        </w:numPr>
        <w:rPr>
          <w:rFonts w:ascii="Arial" w:cs="Arial" w:eastAsia="Arial" w:hAnsi="Arial"/>
          <w:sz w:val="18"/>
          <w:szCs w:val="18"/>
          <w:color w:val="auto"/>
        </w:rPr>
      </w:pPr>
      <w:r>
        <w:rPr>
          <w:rFonts w:ascii="Arial" w:cs="Arial" w:eastAsia="Arial" w:hAnsi="Arial"/>
          <w:sz w:val="18"/>
          <w:szCs w:val="18"/>
          <w:color w:val="auto"/>
        </w:rPr>
        <w:t>whose dealings with the Company were coordinated or supervised by Employee; or</w:t>
      </w:r>
    </w:p>
    <w:p>
      <w:pPr>
        <w:spacing w:after="0" w:line="117" w:lineRule="exact"/>
        <w:rPr>
          <w:rFonts w:ascii="Arial" w:cs="Arial" w:eastAsia="Arial" w:hAnsi="Arial"/>
          <w:sz w:val="18"/>
          <w:szCs w:val="18"/>
          <w:color w:val="auto"/>
        </w:rPr>
      </w:pPr>
    </w:p>
    <w:p>
      <w:pPr>
        <w:ind w:left="1656" w:hanging="263"/>
        <w:spacing w:after="0"/>
        <w:tabs>
          <w:tab w:leader="none" w:pos="1656"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pacing w:after="0" w:line="113" w:lineRule="exact"/>
        <w:rPr>
          <w:rFonts w:ascii="Arial" w:cs="Arial" w:eastAsia="Arial" w:hAnsi="Arial"/>
          <w:sz w:val="18"/>
          <w:szCs w:val="18"/>
          <w:color w:val="auto"/>
        </w:rPr>
      </w:pPr>
    </w:p>
    <w:p>
      <w:pPr>
        <w:ind w:left="-4" w:firstLine="996"/>
        <w:spacing w:after="0" w:line="267" w:lineRule="auto"/>
        <w:tabs>
          <w:tab w:leader="none" w:pos="1213" w:val="left"/>
        </w:tabs>
        <w:numPr>
          <w:ilvl w:val="1"/>
          <w:numId w:val="3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Proprietary Information</w:t>
      </w:r>
      <w:r>
        <w:rPr>
          <w:rFonts w:ascii="Arial" w:cs="Arial" w:eastAsia="Arial" w:hAnsi="Arial"/>
          <w:sz w:val="17"/>
          <w:szCs w:val="17"/>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81" w:lineRule="exact"/>
        <w:rPr>
          <w:rFonts w:ascii="Arial" w:cs="Arial" w:eastAsia="Arial" w:hAnsi="Arial"/>
          <w:sz w:val="17"/>
          <w:szCs w:val="17"/>
          <w:color w:val="auto"/>
        </w:rPr>
      </w:pPr>
    </w:p>
    <w:p>
      <w:pPr>
        <w:ind w:left="-4" w:right="100" w:firstLine="996"/>
        <w:spacing w:after="0" w:line="293" w:lineRule="auto"/>
        <w:tabs>
          <w:tab w:leader="none" w:pos="1243" w:val="left"/>
        </w:tabs>
        <w:numPr>
          <w:ilvl w:val="1"/>
          <w:numId w:val="3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Prospective Customer</w:t>
      </w:r>
      <w:r>
        <w:rPr>
          <w:rFonts w:ascii="Arial" w:cs="Arial" w:eastAsia="Arial" w:hAnsi="Arial"/>
          <w:sz w:val="16"/>
          <w:szCs w:val="16"/>
          <w:color w:val="auto"/>
        </w:rPr>
        <w:t>” means any person with whom the Company was attempting to transact business within the six 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left="-4" w:right="740" w:firstLine="4"/>
        <w:spacing w:after="0" w:line="261" w:lineRule="auto"/>
        <w:tabs>
          <w:tab w:leader="none" w:pos="26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knew Proprietary Information of or about, the Prospective Customer during the six-month period immediately preceding the termination of Employee’s employment.</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16"/>
          </w:cols>
          <w:pgMar w:left="444" w:top="269" w:right="439" w:bottom="1440" w:gutter="0" w:footer="0" w:header="0"/>
        </w:sectPr>
      </w:pPr>
    </w:p>
    <w:bookmarkStart w:id="386" w:name="page387"/>
    <w:bookmarkEnd w:id="386"/>
    <w:p>
      <w:pPr>
        <w:ind w:left="-40" w:firstLine="444"/>
        <w:spacing w:after="0" w:line="272" w:lineRule="auto"/>
        <w:tabs>
          <w:tab w:leader="none" w:pos="581" w:val="left"/>
        </w:tabs>
        <w:numPr>
          <w:ilvl w:val="0"/>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Legitimate Interest</w:t>
      </w:r>
      <w:r>
        <w:rPr>
          <w:rFonts w:ascii="Arial" w:cs="Arial" w:eastAsia="Arial" w:hAnsi="Arial"/>
          <w:sz w:val="17"/>
          <w:szCs w:val="17"/>
          <w:color w:val="auto"/>
        </w:rPr>
        <w:t>. Due to the nature of the Company’s business, certain the Company employees, including Employee, have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64" w:lineRule="exact"/>
        <w:rPr>
          <w:rFonts w:ascii="Arial" w:cs="Arial" w:eastAsia="Arial" w:hAnsi="Arial"/>
          <w:sz w:val="17"/>
          <w:szCs w:val="17"/>
          <w:color w:val="auto"/>
        </w:rPr>
      </w:pPr>
    </w:p>
    <w:p>
      <w:pPr>
        <w:ind w:left="580" w:hanging="176"/>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color w:val="auto"/>
        </w:rPr>
        <w:t>. 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color w:val="auto"/>
        </w:rPr>
        <w:t>, Employee certifies the following:</w:t>
      </w:r>
    </w:p>
    <w:p>
      <w:pPr>
        <w:spacing w:after="0" w:line="121" w:lineRule="exact"/>
        <w:rPr>
          <w:rFonts w:ascii="Arial" w:cs="Arial" w:eastAsia="Arial" w:hAnsi="Arial"/>
          <w:sz w:val="18"/>
          <w:szCs w:val="18"/>
          <w:color w:val="auto"/>
        </w:rPr>
      </w:pPr>
    </w:p>
    <w:p>
      <w:pPr>
        <w:ind w:left="-40" w:right="360" w:firstLine="996"/>
        <w:spacing w:after="0" w:line="259" w:lineRule="auto"/>
        <w:tabs>
          <w:tab w:leader="none" w:pos="119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pacing w:after="0" w:line="78" w:lineRule="exact"/>
        <w:rPr>
          <w:rFonts w:ascii="Arial" w:cs="Arial" w:eastAsia="Arial" w:hAnsi="Arial"/>
          <w:sz w:val="18"/>
          <w:szCs w:val="18"/>
          <w:color w:val="auto"/>
        </w:rPr>
      </w:pPr>
    </w:p>
    <w:p>
      <w:pPr>
        <w:ind w:left="-40" w:firstLine="996"/>
        <w:spacing w:after="0" w:line="257" w:lineRule="auto"/>
        <w:tabs>
          <w:tab w:leader="none" w:pos="120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B</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80" w:lineRule="exact"/>
        <w:rPr>
          <w:rFonts w:ascii="Arial" w:cs="Arial" w:eastAsia="Arial" w:hAnsi="Arial"/>
          <w:sz w:val="18"/>
          <w:szCs w:val="18"/>
          <w:color w:val="auto"/>
        </w:rPr>
      </w:pPr>
    </w:p>
    <w:p>
      <w:pPr>
        <w:jc w:val="both"/>
        <w:ind w:left="-40" w:right="120" w:firstLine="996"/>
        <w:spacing w:after="0" w:line="264" w:lineRule="auto"/>
        <w:tabs>
          <w:tab w:leader="none" w:pos="119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580" w:hanging="176"/>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0" w:right="60" w:firstLine="996"/>
        <w:spacing w:after="0" w:line="297" w:lineRule="auto"/>
        <w:tabs>
          <w:tab w:leader="none" w:pos="1197"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0"/>
          </w:cols>
          <w:pgMar w:left="480" w:top="270" w:right="459" w:bottom="1440" w:gutter="0" w:footer="0" w:header="0"/>
        </w:sectPr>
      </w:pPr>
    </w:p>
    <w:bookmarkStart w:id="387" w:name="page388"/>
    <w:bookmarkEnd w:id="387"/>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46" w:lineRule="exact"/>
        <w:rPr>
          <w:sz w:val="20"/>
          <w:szCs w:val="20"/>
          <w:color w:val="auto"/>
        </w:rPr>
      </w:pPr>
    </w:p>
    <w:p>
      <w:pPr>
        <w:ind w:firstLine="996"/>
        <w:spacing w:after="0" w:line="269" w:lineRule="auto"/>
        <w:tabs>
          <w:tab w:leader="none" w:pos="1247" w:val="left"/>
        </w:tabs>
        <w:numPr>
          <w:ilvl w:val="1"/>
          <w:numId w:val="304"/>
        </w:numPr>
        <w:rPr>
          <w:rFonts w:ascii="Arial" w:cs="Arial" w:eastAsia="Arial" w:hAnsi="Arial"/>
          <w:sz w:val="17"/>
          <w:szCs w:val="17"/>
          <w:color w:val="auto"/>
        </w:rPr>
      </w:pPr>
      <w:r>
        <w:rPr>
          <w:rFonts w:ascii="Arial" w:cs="Arial" w:eastAsia="Arial" w:hAnsi="Arial"/>
          <w:sz w:val="17"/>
          <w:szCs w:val="17"/>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74" w:lineRule="exact"/>
        <w:rPr>
          <w:rFonts w:ascii="Arial" w:cs="Arial" w:eastAsia="Arial" w:hAnsi="Arial"/>
          <w:sz w:val="17"/>
          <w:szCs w:val="17"/>
          <w:color w:val="auto"/>
        </w:rPr>
      </w:pPr>
    </w:p>
    <w:p>
      <w:pPr>
        <w:ind w:right="140" w:firstLine="996"/>
        <w:spacing w:after="0" w:line="312" w:lineRule="auto"/>
        <w:tabs>
          <w:tab w:leader="none" w:pos="1237"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Employee has identified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6"/>
          <w:szCs w:val="16"/>
          <w:u w:val="single" w:color="auto"/>
          <w:color w:val="auto"/>
        </w:rPr>
        <w:t>Attachment C</w:t>
      </w:r>
      <w:r>
        <w:rPr>
          <w:rFonts w:ascii="Arial" w:cs="Arial" w:eastAsia="Arial" w:hAnsi="Arial"/>
          <w:sz w:val="16"/>
          <w:szCs w:val="16"/>
          <w:color w:val="auto"/>
        </w:rPr>
        <w:t>, Employee represents that Employee has made no such inventions and improvements at the time of signing this Agreement.</w:t>
      </w:r>
    </w:p>
    <w:p>
      <w:pPr>
        <w:spacing w:after="0" w:line="38" w:lineRule="exact"/>
        <w:rPr>
          <w:rFonts w:ascii="Arial" w:cs="Arial" w:eastAsia="Arial" w:hAnsi="Arial"/>
          <w:sz w:val="16"/>
          <w:szCs w:val="16"/>
          <w:color w:val="auto"/>
        </w:rPr>
      </w:pPr>
    </w:p>
    <w:p>
      <w:pPr>
        <w:jc w:val="both"/>
        <w:ind w:right="120" w:firstLine="996"/>
        <w:spacing w:after="0" w:line="279" w:lineRule="auto"/>
        <w:tabs>
          <w:tab w:leader="none" w:pos="1247"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59" w:lineRule="exact"/>
        <w:rPr>
          <w:rFonts w:ascii="Arial" w:cs="Arial" w:eastAsia="Arial" w:hAnsi="Arial"/>
          <w:sz w:val="17"/>
          <w:szCs w:val="17"/>
          <w:color w:val="auto"/>
        </w:rPr>
      </w:pPr>
    </w:p>
    <w:p>
      <w:pPr>
        <w:ind w:left="620" w:hanging="176"/>
        <w:spacing w:after="0"/>
        <w:tabs>
          <w:tab w:leader="none" w:pos="620"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96"/>
        <w:spacing w:after="0" w:line="261" w:lineRule="auto"/>
        <w:tabs>
          <w:tab w:leader="none" w:pos="1236" w:val="left"/>
        </w:tabs>
        <w:numPr>
          <w:ilvl w:val="1"/>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0"/>
          </w:cols>
          <w:pgMar w:left="440" w:top="273" w:right="459" w:bottom="1440" w:gutter="0" w:footer="0" w:header="0"/>
        </w:sectPr>
      </w:pPr>
    </w:p>
    <w:bookmarkStart w:id="388" w:name="page389"/>
    <w:bookmarkEnd w:id="388"/>
    <w:p>
      <w:pPr>
        <w:ind w:right="40" w:firstLine="996"/>
        <w:spacing w:after="0" w:line="261" w:lineRule="auto"/>
        <w:tabs>
          <w:tab w:leader="none" w:pos="1247"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Prospective Customers</w:t>
      </w:r>
      <w:r>
        <w:rPr>
          <w:rFonts w:ascii="Arial" w:cs="Arial" w:eastAsia="Arial" w:hAnsi="Arial"/>
          <w:sz w:val="18"/>
          <w:szCs w:val="18"/>
          <w:color w:val="auto"/>
        </w:rPr>
        <w:t>. 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71" w:lineRule="exact"/>
        <w:rPr>
          <w:rFonts w:ascii="Arial" w:cs="Arial" w:eastAsia="Arial" w:hAnsi="Arial"/>
          <w:sz w:val="18"/>
          <w:szCs w:val="18"/>
          <w:color w:val="auto"/>
        </w:rPr>
      </w:pPr>
    </w:p>
    <w:p>
      <w:pPr>
        <w:ind w:firstLine="996"/>
        <w:spacing w:after="0" w:line="256" w:lineRule="auto"/>
        <w:tabs>
          <w:tab w:leader="none" w:pos="1236"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79" w:lineRule="exact"/>
        <w:rPr>
          <w:rFonts w:ascii="Arial" w:cs="Arial" w:eastAsia="Arial" w:hAnsi="Arial"/>
          <w:sz w:val="18"/>
          <w:szCs w:val="18"/>
          <w:color w:val="auto"/>
        </w:rPr>
      </w:pPr>
    </w:p>
    <w:p>
      <w:pPr>
        <w:ind w:right="60" w:firstLine="996"/>
        <w:spacing w:after="0" w:line="256" w:lineRule="auto"/>
        <w:tabs>
          <w:tab w:leader="none" w:pos="1247"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color w:val="auto"/>
        </w:rPr>
        <w:t>. Employee agrees that during Employee’s employment with the Company and for a period of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is reasonable and appropriate.</w:t>
      </w:r>
    </w:p>
    <w:p>
      <w:pPr>
        <w:spacing w:after="0" w:line="79" w:lineRule="exact"/>
        <w:rPr>
          <w:rFonts w:ascii="Arial" w:cs="Arial" w:eastAsia="Arial" w:hAnsi="Arial"/>
          <w:sz w:val="18"/>
          <w:szCs w:val="18"/>
          <w:color w:val="auto"/>
        </w:rPr>
      </w:pPr>
    </w:p>
    <w:p>
      <w:pPr>
        <w:ind w:left="1240" w:hanging="244"/>
        <w:spacing w:after="0"/>
        <w:tabs>
          <w:tab w:leader="none" w:pos="1240" w:val="left"/>
        </w:tabs>
        <w:numPr>
          <w:ilvl w:val="0"/>
          <w:numId w:val="306"/>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Covenant</w:t>
      </w:r>
      <w:r>
        <w:rPr>
          <w:rFonts w:ascii="Arial" w:cs="Arial" w:eastAsia="Arial" w:hAnsi="Arial"/>
          <w:sz w:val="17"/>
          <w:szCs w:val="17"/>
          <w:color w:val="auto"/>
        </w:rPr>
        <w:t>. During Employee’s employment with the Company and following the termination of Employee’s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102" w:lineRule="exact"/>
        <w:rPr>
          <w:rFonts w:ascii="Arial" w:cs="Arial" w:eastAsia="Arial" w:hAnsi="Arial"/>
          <w:sz w:val="17"/>
          <w:szCs w:val="17"/>
          <w:color w:val="auto"/>
        </w:rPr>
      </w:pPr>
    </w:p>
    <w:p>
      <w:pPr>
        <w:ind w:left="440" w:firstLine="957"/>
        <w:spacing w:after="0" w:line="259" w:lineRule="auto"/>
        <w:tabs>
          <w:tab w:leader="none" w:pos="160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8" w:lineRule="exact"/>
        <w:rPr>
          <w:rFonts w:ascii="Arial" w:cs="Arial" w:eastAsia="Arial" w:hAnsi="Arial"/>
          <w:sz w:val="18"/>
          <w:szCs w:val="18"/>
          <w:color w:val="auto"/>
        </w:rPr>
      </w:pPr>
    </w:p>
    <w:p>
      <w:pPr>
        <w:ind w:left="440" w:right="140" w:firstLine="957"/>
        <w:spacing w:after="0" w:line="277" w:lineRule="auto"/>
        <w:tabs>
          <w:tab w:leader="none" w:pos="165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62" w:lineRule="exact"/>
        <w:rPr>
          <w:rFonts w:ascii="Arial" w:cs="Arial" w:eastAsia="Arial" w:hAnsi="Arial"/>
          <w:sz w:val="18"/>
          <w:szCs w:val="18"/>
          <w:color w:val="auto"/>
        </w:rPr>
      </w:pPr>
    </w:p>
    <w:p>
      <w:pPr>
        <w:ind w:left="440" w:right="80" w:firstLine="957"/>
        <w:spacing w:after="0" w:line="264" w:lineRule="auto"/>
        <w:tabs>
          <w:tab w:leader="none" w:pos="170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0"/>
          </w:cols>
          <w:pgMar w:left="440" w:top="270" w:right="459" w:bottom="1440" w:gutter="0" w:footer="0" w:header="0"/>
        </w:sectPr>
      </w:pPr>
    </w:p>
    <w:bookmarkStart w:id="389" w:name="page390"/>
    <w:bookmarkEnd w:id="389"/>
    <w:p>
      <w:pPr>
        <w:ind w:left="420" w:right="20" w:firstLine="957"/>
        <w:spacing w:after="0" w:line="264" w:lineRule="auto"/>
        <w:tabs>
          <w:tab w:leader="none" w:pos="1677"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73" w:lineRule="exact"/>
        <w:rPr>
          <w:rFonts w:ascii="Arial" w:cs="Arial" w:eastAsia="Arial" w:hAnsi="Arial"/>
          <w:sz w:val="18"/>
          <w:szCs w:val="18"/>
          <w:color w:val="auto"/>
        </w:rPr>
      </w:pPr>
    </w:p>
    <w:p>
      <w:pPr>
        <w:ind w:left="420" w:right="60" w:firstLine="957"/>
        <w:spacing w:after="0" w:line="264" w:lineRule="auto"/>
        <w:tabs>
          <w:tab w:leader="none" w:pos="162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73" w:lineRule="exact"/>
        <w:rPr>
          <w:rFonts w:ascii="Arial" w:cs="Arial" w:eastAsia="Arial" w:hAnsi="Arial"/>
          <w:sz w:val="18"/>
          <w:szCs w:val="18"/>
          <w:color w:val="auto"/>
        </w:rPr>
      </w:pPr>
    </w:p>
    <w:p>
      <w:pPr>
        <w:ind w:left="420" w:firstLine="957"/>
        <w:spacing w:after="0" w:line="277" w:lineRule="auto"/>
        <w:tabs>
          <w:tab w:leader="none" w:pos="167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62" w:lineRule="exact"/>
        <w:rPr>
          <w:rFonts w:ascii="Arial" w:cs="Arial" w:eastAsia="Arial" w:hAnsi="Arial"/>
          <w:sz w:val="18"/>
          <w:szCs w:val="18"/>
          <w:color w:val="auto"/>
        </w:rPr>
      </w:pPr>
    </w:p>
    <w:p>
      <w:pPr>
        <w:ind w:left="420" w:right="120" w:firstLine="957"/>
        <w:spacing w:after="0" w:line="264" w:lineRule="auto"/>
        <w:tabs>
          <w:tab w:leader="none" w:pos="172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69" w:lineRule="exact"/>
        <w:rPr>
          <w:rFonts w:ascii="Arial" w:cs="Arial" w:eastAsia="Arial" w:hAnsi="Arial"/>
          <w:sz w:val="18"/>
          <w:szCs w:val="18"/>
          <w:color w:val="auto"/>
        </w:rPr>
      </w:pPr>
    </w:p>
    <w:p>
      <w:pPr>
        <w:ind w:left="-20" w:right="60" w:firstLine="996"/>
        <w:spacing w:after="0" w:line="292" w:lineRule="auto"/>
        <w:tabs>
          <w:tab w:leader="none" w:pos="1197"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Scope of Covenants</w:t>
      </w:r>
      <w:r>
        <w:rPr>
          <w:rFonts w:ascii="Arial" w:cs="Arial" w:eastAsia="Arial" w:hAnsi="Arial"/>
          <w:sz w:val="16"/>
          <w:szCs w:val="16"/>
          <w:color w:val="auto"/>
        </w:rPr>
        <w:t>. The parties desire for the restrictive covenants, including any time period and geographic scope, to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53" w:lineRule="exact"/>
        <w:rPr>
          <w:rFonts w:ascii="Arial" w:cs="Arial" w:eastAsia="Arial" w:hAnsi="Arial"/>
          <w:sz w:val="16"/>
          <w:szCs w:val="16"/>
          <w:color w:val="auto"/>
        </w:rPr>
      </w:pPr>
    </w:p>
    <w:p>
      <w:pPr>
        <w:ind w:left="-20" w:right="180" w:firstLine="996"/>
        <w:spacing w:after="0" w:line="256" w:lineRule="auto"/>
        <w:tabs>
          <w:tab w:leader="none" w:pos="1227"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Employee agrees that a threatened or existing violation of any of the post-employment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80"/>
          </w:cols>
          <w:pgMar w:left="460" w:top="274" w:right="459" w:bottom="1440" w:gutter="0" w:footer="0" w:header="0"/>
        </w:sectPr>
      </w:pPr>
    </w:p>
    <w:bookmarkStart w:id="390" w:name="page391"/>
    <w:bookmarkEnd w:id="390"/>
    <w:p>
      <w:pPr>
        <w:jc w:val="both"/>
        <w:ind w:left="-20" w:right="300" w:firstLine="996"/>
        <w:spacing w:after="0" w:line="266" w:lineRule="auto"/>
        <w:tabs>
          <w:tab w:leader="none" w:pos="1227" w:val="left"/>
        </w:tabs>
        <w:numPr>
          <w:ilvl w:val="1"/>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Tolling of Time Periods</w:t>
      </w:r>
      <w:r>
        <w:rPr>
          <w:rFonts w:ascii="Arial" w:cs="Arial" w:eastAsia="Arial" w:hAnsi="Arial"/>
          <w:sz w:val="18"/>
          <w:szCs w:val="18"/>
          <w:color w:val="auto"/>
        </w:rPr>
        <w:t>. 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68" w:lineRule="exact"/>
        <w:rPr>
          <w:rFonts w:ascii="Arial" w:cs="Arial" w:eastAsia="Arial" w:hAnsi="Arial"/>
          <w:sz w:val="18"/>
          <w:szCs w:val="18"/>
          <w:color w:val="auto"/>
        </w:rPr>
      </w:pPr>
    </w:p>
    <w:p>
      <w:pPr>
        <w:ind w:left="-20" w:right="20" w:firstLine="996"/>
        <w:spacing w:after="0" w:line="277" w:lineRule="auto"/>
        <w:tabs>
          <w:tab w:leader="none" w:pos="1187" w:val="left"/>
        </w:tabs>
        <w:numPr>
          <w:ilvl w:val="1"/>
          <w:numId w:val="309"/>
        </w:numPr>
        <w:rPr>
          <w:rFonts w:ascii="Arial" w:cs="Arial" w:eastAsia="Arial" w:hAnsi="Arial"/>
          <w:sz w:val="17"/>
          <w:szCs w:val="17"/>
          <w:color w:val="auto"/>
        </w:rPr>
      </w:pPr>
      <w:r>
        <w:rPr>
          <w:rFonts w:ascii="Arial" w:cs="Arial" w:eastAsia="Arial" w:hAnsi="Arial"/>
          <w:sz w:val="17"/>
          <w:szCs w:val="17"/>
          <w:b w:val="1"/>
          <w:bCs w:val="1"/>
          <w:u w:val="single" w:color="auto"/>
          <w:color w:val="auto"/>
        </w:rPr>
        <w:t>Inevitable Use of Proprietary Information</w:t>
      </w:r>
      <w:r>
        <w:rPr>
          <w:rFonts w:ascii="Arial" w:cs="Arial" w:eastAsia="Arial" w:hAnsi="Arial"/>
          <w:sz w:val="17"/>
          <w:szCs w:val="17"/>
          <w:color w:val="auto"/>
        </w:rPr>
        <w:t>. Employee acknowledges and agrees that, after Employee’s separation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will possess the Company’s Proprietary Information which Employee would inevitably use if Employee were to engage in the conduct prohibited by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60" w:lineRule="exact"/>
        <w:rPr>
          <w:rFonts w:ascii="Arial" w:cs="Arial" w:eastAsia="Arial" w:hAnsi="Arial"/>
          <w:sz w:val="17"/>
          <w:szCs w:val="17"/>
          <w:color w:val="auto"/>
        </w:rPr>
      </w:pPr>
    </w:p>
    <w:p>
      <w:pPr>
        <w:ind w:left="-20" w:firstLine="444"/>
        <w:spacing w:after="0" w:line="258" w:lineRule="auto"/>
        <w:tabs>
          <w:tab w:leader="none" w:pos="601"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color w:val="auto"/>
        </w:rPr>
        <w:t>. Employee acknowledges that it is necessary and appropriate for the Company to protect its legitimate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75" w:lineRule="exact"/>
        <w:rPr>
          <w:rFonts w:ascii="Arial" w:cs="Arial" w:eastAsia="Arial" w:hAnsi="Arial"/>
          <w:sz w:val="18"/>
          <w:szCs w:val="18"/>
          <w:color w:val="auto"/>
        </w:rPr>
      </w:pPr>
    </w:p>
    <w:p>
      <w:pPr>
        <w:ind w:left="-20" w:right="80" w:firstLine="444"/>
        <w:spacing w:after="0" w:line="298" w:lineRule="auto"/>
        <w:tabs>
          <w:tab w:leader="none" w:pos="601" w:val="left"/>
        </w:tabs>
        <w:numPr>
          <w:ilvl w:val="0"/>
          <w:numId w:val="310"/>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No representation, promise, understanding, or warranty not set forth herein has been made or relied upon by either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making this Agreement. No modification, amendment or addition will be valid, unless set forth in writing and signed by the party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parties agree that the term of any prior confidentiality or restrictive covenants shall govern.</w:t>
      </w:r>
    </w:p>
    <w:p>
      <w:pPr>
        <w:spacing w:after="0" w:line="46" w:lineRule="exact"/>
        <w:rPr>
          <w:rFonts w:ascii="Arial" w:cs="Arial" w:eastAsia="Arial" w:hAnsi="Arial"/>
          <w:sz w:val="16"/>
          <w:szCs w:val="16"/>
          <w:color w:val="auto"/>
        </w:rPr>
      </w:pPr>
    </w:p>
    <w:p>
      <w:pPr>
        <w:ind w:left="-20" w:right="280" w:firstLine="444"/>
        <w:spacing w:after="0" w:line="266" w:lineRule="auto"/>
        <w:tabs>
          <w:tab w:leader="none" w:pos="601"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color w:val="auto"/>
        </w:rPr>
        <w:t>. Nothing in this Agreement shall be deemed to constitute a contract of employment for any given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Company and Employee shall be employment-at-will and either the Company or Employee may terminate it at any time for any reason without liability.</w:t>
      </w:r>
    </w:p>
    <w:p>
      <w:pPr>
        <w:spacing w:after="0" w:line="68" w:lineRule="exact"/>
        <w:rPr>
          <w:rFonts w:ascii="Arial" w:cs="Arial" w:eastAsia="Arial" w:hAnsi="Arial"/>
          <w:sz w:val="18"/>
          <w:szCs w:val="18"/>
          <w:color w:val="auto"/>
        </w:rPr>
      </w:pPr>
    </w:p>
    <w:p>
      <w:pPr>
        <w:ind w:left="600" w:hanging="176"/>
        <w:spacing w:after="0"/>
        <w:tabs>
          <w:tab w:leader="none" w:pos="600"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Employment</w:t>
      </w:r>
      <w:r>
        <w:rPr>
          <w:rFonts w:ascii="Arial" w:cs="Arial" w:eastAsia="Arial" w:hAnsi="Arial"/>
          <w:sz w:val="18"/>
          <w:szCs w:val="18"/>
          <w:color w:val="auto"/>
        </w:rPr>
        <w:t>. In order to protect the Company’s rights under this Agreement, Employee agrees that:</w:t>
      </w:r>
    </w:p>
    <w:p>
      <w:pPr>
        <w:spacing w:after="0" w:line="121" w:lineRule="exact"/>
        <w:rPr>
          <w:rFonts w:ascii="Arial" w:cs="Arial" w:eastAsia="Arial" w:hAnsi="Arial"/>
          <w:sz w:val="18"/>
          <w:szCs w:val="18"/>
          <w:color w:val="auto"/>
        </w:rPr>
      </w:pPr>
    </w:p>
    <w:p>
      <w:pPr>
        <w:ind w:left="-20" w:right="60" w:firstLine="996"/>
        <w:spacing w:after="0" w:line="276" w:lineRule="auto"/>
        <w:tabs>
          <w:tab w:leader="none" w:pos="1217" w:val="left"/>
        </w:tabs>
        <w:numPr>
          <w:ilvl w:val="1"/>
          <w:numId w:val="310"/>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980"/>
          </w:cols>
          <w:pgMar w:left="460" w:top="270" w:right="459" w:bottom="1440" w:gutter="0" w:footer="0" w:header="0"/>
        </w:sectPr>
      </w:pPr>
    </w:p>
    <w:bookmarkStart w:id="391" w:name="page392"/>
    <w:bookmarkEnd w:id="391"/>
    <w:p>
      <w:pPr>
        <w:jc w:val="both"/>
        <w:ind w:right="100" w:firstLine="996"/>
        <w:spacing w:after="0" w:line="264" w:lineRule="auto"/>
        <w:tabs>
          <w:tab w:leader="none" w:pos="1247" w:val="left"/>
        </w:tabs>
        <w:numPr>
          <w:ilvl w:val="1"/>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 month period after the termination of Employee’s employment.</w:t>
      </w:r>
    </w:p>
    <w:p>
      <w:pPr>
        <w:spacing w:after="0" w:line="69" w:lineRule="exact"/>
        <w:rPr>
          <w:rFonts w:ascii="Arial" w:cs="Arial" w:eastAsia="Arial" w:hAnsi="Arial"/>
          <w:sz w:val="18"/>
          <w:szCs w:val="18"/>
          <w:color w:val="auto"/>
        </w:rPr>
      </w:pPr>
    </w:p>
    <w:p>
      <w:pPr>
        <w:ind w:right="100" w:firstLine="444"/>
        <w:spacing w:after="0" w:line="277" w:lineRule="auto"/>
        <w:tabs>
          <w:tab w:leader="none" w:pos="711" w:val="left"/>
        </w:tabs>
        <w:numPr>
          <w:ilvl w:val="0"/>
          <w:numId w:val="312"/>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of Agreement</w:t>
      </w:r>
      <w:r>
        <w:rPr>
          <w:rFonts w:ascii="Arial" w:cs="Arial" w:eastAsia="Arial" w:hAnsi="Arial"/>
          <w:sz w:val="17"/>
          <w:szCs w:val="17"/>
          <w:color w:val="auto"/>
        </w:rPr>
        <w:t>. The Company may assign this Agreement, its rights, interests and remedies under this Agreement,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60" w:lineRule="exact"/>
        <w:rPr>
          <w:rFonts w:ascii="Arial" w:cs="Arial" w:eastAsia="Arial" w:hAnsi="Arial"/>
          <w:sz w:val="17"/>
          <w:szCs w:val="17"/>
          <w:color w:val="auto"/>
        </w:rPr>
      </w:pPr>
    </w:p>
    <w:p>
      <w:pPr>
        <w:jc w:val="both"/>
        <w:ind w:firstLine="444"/>
        <w:spacing w:after="0" w:line="289" w:lineRule="auto"/>
        <w:tabs>
          <w:tab w:leader="none" w:pos="704" w:val="left"/>
        </w:tabs>
        <w:numPr>
          <w:ilvl w:val="0"/>
          <w:numId w:val="312"/>
        </w:numPr>
        <w:rPr>
          <w:rFonts w:ascii="Arial" w:cs="Arial" w:eastAsia="Arial" w:hAnsi="Arial"/>
          <w:sz w:val="17"/>
          <w:szCs w:val="17"/>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color w:val="auto"/>
        </w:rPr>
        <w:t>. No failure or delay by any party to this Agreement in exercising any right, power or privilege hereunder,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50" w:lineRule="exact"/>
        <w:rPr>
          <w:rFonts w:ascii="Arial" w:cs="Arial" w:eastAsia="Arial" w:hAnsi="Arial"/>
          <w:sz w:val="17"/>
          <w:szCs w:val="17"/>
          <w:color w:val="auto"/>
        </w:rPr>
      </w:pPr>
    </w:p>
    <w:p>
      <w:pPr>
        <w:ind w:right="100" w:firstLine="444"/>
        <w:spacing w:after="0" w:line="282" w:lineRule="auto"/>
        <w:tabs>
          <w:tab w:leader="none" w:pos="711"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governed by and construed in accordance with the laws of the State of Illinois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w:t>
      </w:r>
    </w:p>
    <w:p>
      <w:pPr>
        <w:spacing w:after="0" w:line="53" w:lineRule="exact"/>
        <w:rPr>
          <w:rFonts w:ascii="Arial" w:cs="Arial" w:eastAsia="Arial" w:hAnsi="Arial"/>
          <w:sz w:val="18"/>
          <w:szCs w:val="18"/>
          <w:color w:val="auto"/>
        </w:rPr>
      </w:pPr>
    </w:p>
    <w:p>
      <w:pPr>
        <w:ind w:firstLine="444"/>
        <w:spacing w:after="0" w:line="258" w:lineRule="auto"/>
        <w:tabs>
          <w:tab w:leader="none" w:pos="711"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color w:val="auto"/>
        </w:rPr>
        <w:t>. The parties expressly consent to the exclusive jurisdiction of the state or federal courts of Illinois to resolve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75" w:lineRule="exact"/>
        <w:rPr>
          <w:rFonts w:ascii="Arial" w:cs="Arial" w:eastAsia="Arial" w:hAnsi="Arial"/>
          <w:sz w:val="18"/>
          <w:szCs w:val="18"/>
          <w:color w:val="auto"/>
        </w:rPr>
      </w:pPr>
    </w:p>
    <w:p>
      <w:pPr>
        <w:jc w:val="both"/>
        <w:ind w:firstLine="444"/>
        <w:spacing w:after="0" w:line="261" w:lineRule="auto"/>
        <w:tabs>
          <w:tab w:leader="none" w:pos="711"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&amp; Signatures</w:t>
      </w:r>
      <w:r>
        <w:rPr>
          <w:rFonts w:ascii="Arial" w:cs="Arial" w:eastAsia="Arial" w:hAnsi="Arial"/>
          <w:sz w:val="18"/>
          <w:szCs w:val="18"/>
          <w:color w:val="auto"/>
        </w:rPr>
        <w:t>. This Agreement may be executed in duplicate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71" w:lineRule="exact"/>
        <w:rPr>
          <w:rFonts w:ascii="Arial" w:cs="Arial" w:eastAsia="Arial" w:hAnsi="Arial"/>
          <w:sz w:val="18"/>
          <w:szCs w:val="18"/>
          <w:color w:val="auto"/>
        </w:rPr>
      </w:pPr>
    </w:p>
    <w:p>
      <w:pPr>
        <w:ind w:right="100" w:firstLine="444"/>
        <w:spacing w:after="0" w:line="281" w:lineRule="auto"/>
        <w:tabs>
          <w:tab w:leader="none" w:pos="711" w:val="left"/>
        </w:tabs>
        <w:numPr>
          <w:ilvl w:val="0"/>
          <w:numId w:val="31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Immunity</w:t>
      </w:r>
      <w:r>
        <w:rPr>
          <w:rFonts w:ascii="Arial" w:cs="Arial" w:eastAsia="Arial" w:hAnsi="Arial"/>
          <w:sz w:val="17"/>
          <w:szCs w:val="17"/>
          <w:color w:val="auto"/>
        </w:rPr>
        <w:t>. Employee understands that nothing in this Agreement is intended to prohibit Employee from disclosing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 reporting or investigating 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020"/>
          </w:cols>
          <w:pgMar w:left="440" w:top="274" w:right="439" w:bottom="1440" w:gutter="0" w:footer="0" w:header="0"/>
        </w:sectPr>
      </w:pPr>
    </w:p>
    <w:bookmarkStart w:id="392" w:name="page393"/>
    <w:bookmarkEnd w:id="392"/>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46" w:lineRule="exact"/>
        <w:rPr>
          <w:sz w:val="20"/>
          <w:szCs w:val="20"/>
          <w:color w:val="auto"/>
        </w:rPr>
      </w:pPr>
    </w:p>
    <w:p>
      <w:pPr>
        <w:ind w:right="60" w:firstLine="444"/>
        <w:spacing w:after="0" w:line="272" w:lineRule="auto"/>
        <w:tabs>
          <w:tab w:leader="none" w:pos="711" w:val="left"/>
        </w:tabs>
        <w:numPr>
          <w:ilvl w:val="0"/>
          <w:numId w:val="313"/>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the Company Property</w:t>
      </w:r>
      <w:r>
        <w:rPr>
          <w:rFonts w:ascii="Arial" w:cs="Arial" w:eastAsia="Arial" w:hAnsi="Arial"/>
          <w:sz w:val="17"/>
          <w:szCs w:val="17"/>
          <w:color w:val="auto"/>
        </w:rPr>
        <w:t>. At the request of the Company (or, without any request, upon termination of my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444"/>
        <w:spacing w:after="0" w:line="272" w:lineRule="auto"/>
        <w:tabs>
          <w:tab w:leader="none" w:pos="711" w:val="left"/>
        </w:tabs>
        <w:numPr>
          <w:ilvl w:val="0"/>
          <w:numId w:val="313"/>
        </w:numPr>
        <w:rPr>
          <w:rFonts w:ascii="Arial" w:cs="Arial" w:eastAsia="Arial" w:hAnsi="Arial"/>
          <w:sz w:val="17"/>
          <w:szCs w:val="17"/>
          <w:color w:val="auto"/>
        </w:rPr>
      </w:pPr>
      <w:r>
        <w:rPr>
          <w:rFonts w:ascii="Arial" w:cs="Arial" w:eastAsia="Arial" w:hAnsi="Arial"/>
          <w:sz w:val="17"/>
          <w:szCs w:val="17"/>
          <w:b w:val="1"/>
          <w:bCs w:val="1"/>
          <w:u w:val="single" w:color="auto"/>
          <w:color w:val="auto"/>
        </w:rPr>
        <w:t>Promotional Materials</w:t>
      </w:r>
      <w:r>
        <w:rPr>
          <w:rFonts w:ascii="Arial" w:cs="Arial" w:eastAsia="Arial" w:hAnsi="Arial"/>
          <w:sz w:val="17"/>
          <w:szCs w:val="17"/>
          <w:color w:val="auto"/>
        </w:rPr>
        <w:t>. Employee authorizes and consents to, during the term of Employee’s employment with the Company, the creation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64" w:lineRule="exact"/>
        <w:rPr>
          <w:rFonts w:ascii="Arial" w:cs="Arial" w:eastAsia="Arial" w:hAnsi="Arial"/>
          <w:sz w:val="17"/>
          <w:szCs w:val="17"/>
          <w:color w:val="auto"/>
        </w:rPr>
      </w:pPr>
    </w:p>
    <w:p>
      <w:pPr>
        <w:ind w:left="720" w:hanging="276"/>
        <w:spacing w:after="0"/>
        <w:tabs>
          <w:tab w:leader="none" w:pos="720" w:val="left"/>
        </w:tabs>
        <w:numPr>
          <w:ilvl w:val="0"/>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t>Fair Meaning</w:t>
      </w:r>
      <w:r>
        <w:rPr>
          <w:rFonts w:ascii="Arial" w:cs="Arial" w:eastAsia="Arial" w:hAnsi="Arial"/>
          <w:sz w:val="16"/>
          <w:szCs w:val="16"/>
          <w:color w:val="auto"/>
        </w:rPr>
        <w:t>. The language of this Agreement shall be construed as a whole, according to its fair meaning, and not strictly for or against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98" w:lineRule="exact"/>
        <w:rPr>
          <w:rFonts w:ascii="Arial" w:cs="Arial" w:eastAsia="Arial" w:hAnsi="Arial"/>
          <w:sz w:val="16"/>
          <w:szCs w:val="16"/>
          <w:color w:val="auto"/>
        </w:rPr>
      </w:pPr>
    </w:p>
    <w:p>
      <w:pPr>
        <w:ind w:right="60" w:firstLine="444"/>
        <w:spacing w:after="0" w:line="273" w:lineRule="auto"/>
        <w:tabs>
          <w:tab w:leader="none" w:pos="711"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Consideration</w:t>
      </w:r>
      <w:r>
        <w:rPr>
          <w:rFonts w:ascii="Arial" w:cs="Arial" w:eastAsia="Arial" w:hAnsi="Arial"/>
          <w:sz w:val="17"/>
          <w:szCs w:val="17"/>
          <w:b w:val="1"/>
          <w:bCs w:val="1"/>
          <w:color w:val="auto"/>
        </w:rPr>
        <w:t>.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0980"/>
          </w:cols>
          <w:pgMar w:left="440" w:top="273" w:right="47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initialing below, Employee specifically acknowledges that Employee has read, understands and agrees to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6327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Employee initials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executing this Agreement below, the parties confirm they have read, understood, and voluntarily agreed to be bound by the entire Agreement.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ectPr>
          <w:pgSz w:w="11900" w:h="16838" w:orient="portrait"/>
          <w:cols w:equalWidth="0" w:num="1">
            <w:col w:w="10900"/>
          </w:cols>
          <w:pgMar w:left="440" w:top="270" w:right="5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Printed: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Craig Cappel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Craig Cappel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7.30.2019</w:t>
      </w:r>
    </w:p>
    <w:p>
      <w:pPr>
        <w:spacing w:after="0" w:line="200" w:lineRule="exact"/>
        <w:rPr>
          <w:sz w:val="20"/>
          <w:szCs w:val="20"/>
          <w:color w:val="auto"/>
        </w:rPr>
      </w:pPr>
    </w:p>
    <w:p>
      <w:pPr>
        <w:sectPr>
          <w:pgSz w:w="11900" w:h="16838" w:orient="portrait"/>
          <w:cols w:equalWidth="0" w:num="2">
            <w:col w:w="580" w:space="400"/>
            <w:col w:w="9920"/>
          </w:cols>
          <w:pgMar w:left="440" w:top="270" w:right="5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w:t>
      </w:r>
    </w:p>
    <w:p>
      <w:pPr>
        <w:sectPr>
          <w:pgSz w:w="11900" w:h="16838" w:orient="portrait"/>
          <w:cols w:equalWidth="0" w:num="1">
            <w:col w:w="10900"/>
          </w:cols>
          <w:pgMar w:left="440" w:top="270" w:right="5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Printed: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 Lance Mitchell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V. Lance Mitchell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7/30/19</w:t>
      </w:r>
    </w:p>
    <w:p>
      <w:pPr>
        <w:spacing w:after="0" w:line="158" w:lineRule="exact"/>
        <w:rPr>
          <w:sz w:val="20"/>
          <w:szCs w:val="20"/>
          <w:color w:val="auto"/>
        </w:rPr>
      </w:pPr>
    </w:p>
    <w:p>
      <w:pPr>
        <w:sectPr>
          <w:pgSz w:w="11900" w:h="16838" w:orient="portrait"/>
          <w:cols w:equalWidth="0" w:num="2">
            <w:col w:w="580" w:space="400"/>
            <w:col w:w="9920"/>
          </w:cols>
          <w:pgMar w:left="440" w:top="270" w:right="55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B-10</w:t>
      </w:r>
    </w:p>
    <w:p>
      <w:pPr>
        <w:sectPr>
          <w:pgSz w:w="11900" w:h="16838" w:orient="portrait"/>
          <w:cols w:equalWidth="0" w:num="1">
            <w:col w:w="10900"/>
          </w:cols>
          <w:pgMar w:left="440" w:top="270" w:right="559" w:bottom="1440" w:gutter="0" w:footer="0" w:header="0"/>
          <w:type w:val="continuous"/>
        </w:sectPr>
      </w:pPr>
    </w:p>
    <w:bookmarkStart w:id="394" w:name="page395"/>
    <w:bookmarkEnd w:id="394"/>
    <w:p>
      <w:pPr>
        <w:jc w:val="center"/>
        <w:ind w:right="-88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u w:val="single" w:color="auto"/>
          <w:color w:val="auto"/>
        </w:rPr>
        <w:t>RCP Competitors</w:t>
      </w:r>
    </w:p>
    <w:p>
      <w:pPr>
        <w:spacing w:after="0" w:line="256" w:lineRule="exact"/>
        <w:rPr>
          <w:sz w:val="20"/>
          <w:szCs w:val="20"/>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Clorox Company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S.C. Johnson &amp; Sons, Inc.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Trinidad Benham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Dart Container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Handi-foil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Durable Packaging, International</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Solo Cup Company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Novellis</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Georgia Pacific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Huhtamaki</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Newell/Rubbermaid</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Jarden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Waddington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CuBe</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Poly-America, Inc.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Inteplast Group, Ltd.</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Waste Zero</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Petoskey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Multibax</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King Pac Industrial</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Sunkor</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Threestone Packing</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Bagmart Packaging</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Thantawan</w:t>
      </w:r>
    </w:p>
    <w:p>
      <w:pPr>
        <w:spacing w:after="0" w:line="158" w:lineRule="exact"/>
        <w:rPr>
          <w:sz w:val="20"/>
          <w:szCs w:val="20"/>
          <w:color w:val="auto"/>
        </w:rPr>
      </w:pPr>
    </w:p>
    <w:p>
      <w:pPr>
        <w:ind w:left="5228"/>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9907"/>
          </w:cols>
          <w:pgMar w:left="552" w:top="270" w:right="1440" w:bottom="1440" w:gutter="0" w:footer="0" w:header="0"/>
        </w:sectPr>
      </w:pPr>
    </w:p>
    <w:bookmarkStart w:id="395" w:name="page396"/>
    <w:bookmarkEnd w:id="39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B</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List of Confidential or Proprietary Information Belonging to Others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9019"/>
          </w:cols>
          <w:pgMar w:left="1440" w:top="270" w:right="1440"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Prior Inventions or Improvements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9019"/>
          </w:cols>
          <w:pgMar w:left="1440" w:top="270" w:right="1440"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July 18,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Stephan Pace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Employee is currently employed by the Company without a written employment agreement.</w:t>
      </w:r>
    </w:p>
    <w:p>
      <w:pPr>
        <w:spacing w:after="0" w:line="117"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B. The Company and Employee desire to enter into this Agreement to set forth their agreements regarding certain terms and conditions of Employee’s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20" w:firstLine="444"/>
        <w:spacing w:after="0" w:line="266" w:lineRule="auto"/>
        <w:tabs>
          <w:tab w:leader="none" w:pos="621"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Employee’s employment pursuant to this Agreement shall commence on the date hereof and shall continue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68" w:lineRule="exact"/>
        <w:rPr>
          <w:rFonts w:ascii="Arial" w:cs="Arial" w:eastAsia="Arial" w:hAnsi="Arial"/>
          <w:sz w:val="18"/>
          <w:szCs w:val="18"/>
          <w:color w:val="auto"/>
        </w:rPr>
      </w:pPr>
    </w:p>
    <w:p>
      <w:pPr>
        <w:ind w:right="180" w:firstLine="444"/>
        <w:spacing w:after="0" w:line="303" w:lineRule="auto"/>
        <w:tabs>
          <w:tab w:leader="none" w:pos="621"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Duties and Location</w:t>
      </w:r>
      <w:r>
        <w:rPr>
          <w:rFonts w:ascii="Arial" w:cs="Arial" w:eastAsia="Arial" w:hAnsi="Arial"/>
          <w:sz w:val="16"/>
          <w:szCs w:val="16"/>
          <w:color w:val="auto"/>
        </w:rPr>
        <w:t>. Employee shall serve in the position(s)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Employee shall devote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except for customary business travel to other locations as may be necessary to fulfill Employee’s duties and responsibilities hereunder.</w:t>
      </w:r>
    </w:p>
    <w:p>
      <w:pPr>
        <w:spacing w:after="0" w:line="43" w:lineRule="exact"/>
        <w:rPr>
          <w:rFonts w:ascii="Arial" w:cs="Arial" w:eastAsia="Arial" w:hAnsi="Arial"/>
          <w:sz w:val="16"/>
          <w:szCs w:val="16"/>
          <w:color w:val="auto"/>
        </w:rPr>
      </w:pPr>
    </w:p>
    <w:p>
      <w:pPr>
        <w:ind w:left="620" w:hanging="176"/>
        <w:spacing w:after="0"/>
        <w:tabs>
          <w:tab w:leader="none" w:pos="62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color w:val="auto"/>
        </w:rPr>
        <w:t>. During the Term:</w:t>
      </w:r>
    </w:p>
    <w:p>
      <w:pPr>
        <w:spacing w:after="0" w:line="117" w:lineRule="exact"/>
        <w:rPr>
          <w:rFonts w:ascii="Arial" w:cs="Arial" w:eastAsia="Arial" w:hAnsi="Arial"/>
          <w:sz w:val="18"/>
          <w:szCs w:val="18"/>
          <w:color w:val="auto"/>
        </w:rPr>
      </w:pPr>
    </w:p>
    <w:p>
      <w:pPr>
        <w:jc w:val="both"/>
        <w:ind w:firstLine="996"/>
        <w:spacing w:after="0" w:line="266" w:lineRule="auto"/>
        <w:tabs>
          <w:tab w:leader="none" w:pos="1236" w:val="left"/>
        </w:tabs>
        <w:numPr>
          <w:ilvl w:val="1"/>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 Salary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68" w:lineRule="exact"/>
        <w:rPr>
          <w:rFonts w:ascii="Arial" w:cs="Arial" w:eastAsia="Arial" w:hAnsi="Arial"/>
          <w:sz w:val="18"/>
          <w:szCs w:val="18"/>
          <w:color w:val="auto"/>
        </w:rPr>
      </w:pPr>
    </w:p>
    <w:p>
      <w:pPr>
        <w:jc w:val="both"/>
        <w:ind w:right="80" w:firstLine="996"/>
        <w:spacing w:after="0" w:line="261" w:lineRule="auto"/>
        <w:tabs>
          <w:tab w:leader="none" w:pos="1247" w:val="left"/>
        </w:tabs>
        <w:numPr>
          <w:ilvl w:val="1"/>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1"/>
          <w:numId w:val="315"/>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Compensation Programs</w:t>
      </w:r>
      <w:r>
        <w:rPr>
          <w:rFonts w:ascii="Arial" w:cs="Arial" w:eastAsia="Arial" w:hAnsi="Arial"/>
          <w:sz w:val="17"/>
          <w:szCs w:val="17"/>
          <w:color w:val="auto"/>
        </w:rPr>
        <w:t>. Employee shall be eligible to participate in such other compensation programs as set forth 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98" w:name="page399"/>
    <w:bookmarkEnd w:id="398"/>
    <w:p>
      <w:pPr>
        <w:ind w:right="460" w:firstLine="996"/>
        <w:spacing w:after="0" w:line="347" w:lineRule="auto"/>
        <w:tabs>
          <w:tab w:leader="none" w:pos="1247" w:val="left"/>
        </w:tabs>
        <w:numPr>
          <w:ilvl w:val="1"/>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6"/>
          <w:szCs w:val="16"/>
          <w:color w:val="auto"/>
        </w:rPr>
        <w:t>. Employee shall be entitled to receive reimbursement for all reasonable expenses incurred by Employee in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hereunder, in accordance with the policies and procedures then in effect and established by the Company for its senior officers.</w:t>
      </w:r>
    </w:p>
    <w:p>
      <w:pPr>
        <w:spacing w:after="0" w:line="8" w:lineRule="exact"/>
        <w:rPr>
          <w:rFonts w:ascii="Arial" w:cs="Arial" w:eastAsia="Arial" w:hAnsi="Arial"/>
          <w:sz w:val="16"/>
          <w:szCs w:val="16"/>
          <w:color w:val="auto"/>
        </w:rPr>
      </w:pPr>
    </w:p>
    <w:p>
      <w:pPr>
        <w:ind w:right="40" w:firstLine="996"/>
        <w:spacing w:after="0" w:line="266" w:lineRule="auto"/>
        <w:tabs>
          <w:tab w:leader="none" w:pos="1236" w:val="left"/>
        </w:tabs>
        <w:numPr>
          <w:ilvl w:val="1"/>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color w:val="auto"/>
        </w:rPr>
        <w:t>. Employee shall be entitled to participate in the Company’s employee health and welfare plans,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arrangements as they may be amended from time to time, to the extent Employee meets the eligibility requirements for any such plan, policy, program or arrangement.</w:t>
      </w:r>
    </w:p>
    <w:p>
      <w:pPr>
        <w:spacing w:after="0" w:line="68" w:lineRule="exact"/>
        <w:rPr>
          <w:rFonts w:ascii="Arial" w:cs="Arial" w:eastAsia="Arial" w:hAnsi="Arial"/>
          <w:sz w:val="18"/>
          <w:szCs w:val="18"/>
          <w:color w:val="auto"/>
        </w:rPr>
      </w:pPr>
    </w:p>
    <w:p>
      <w:pPr>
        <w:jc w:val="both"/>
        <w:ind w:right="80" w:firstLine="996"/>
        <w:spacing w:after="0" w:line="266" w:lineRule="auto"/>
        <w:tabs>
          <w:tab w:leader="none" w:pos="1217" w:val="left"/>
        </w:tabs>
        <w:numPr>
          <w:ilvl w:val="1"/>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color w:val="auto"/>
        </w:rPr>
        <w:t>. Employee shall be entitled to paid vacation, as well as holidays and other paid absences,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for similarly situated employees of the Company, to the extent Employee meets the eligibility requirements for any such policy and procedures.</w:t>
      </w:r>
    </w:p>
    <w:p>
      <w:pPr>
        <w:spacing w:after="0" w:line="68" w:lineRule="exact"/>
        <w:rPr>
          <w:rFonts w:ascii="Arial" w:cs="Arial" w:eastAsia="Arial" w:hAnsi="Arial"/>
          <w:sz w:val="18"/>
          <w:szCs w:val="18"/>
          <w:color w:val="auto"/>
        </w:rPr>
      </w:pPr>
    </w:p>
    <w:p>
      <w:pPr>
        <w:ind w:right="560" w:firstLine="444"/>
        <w:spacing w:after="0" w:line="282" w:lineRule="auto"/>
        <w:tabs>
          <w:tab w:leader="none" w:pos="621"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Term shall automatically end.</w:t>
      </w:r>
    </w:p>
    <w:p>
      <w:pPr>
        <w:spacing w:after="0" w:line="53" w:lineRule="exact"/>
        <w:rPr>
          <w:rFonts w:ascii="Arial" w:cs="Arial" w:eastAsia="Arial" w:hAnsi="Arial"/>
          <w:sz w:val="18"/>
          <w:szCs w:val="18"/>
          <w:color w:val="auto"/>
        </w:rPr>
      </w:pPr>
    </w:p>
    <w:p>
      <w:pPr>
        <w:ind w:left="1240" w:hanging="244"/>
        <w:spacing w:after="0"/>
        <w:tabs>
          <w:tab w:leader="none" w:pos="1240"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 Employee’s employment hereunder shall automatically terminate upon Employee’s death.</w:t>
      </w:r>
    </w:p>
    <w:p>
      <w:pPr>
        <w:spacing w:after="0" w:line="117" w:lineRule="exact"/>
        <w:rPr>
          <w:rFonts w:ascii="Arial" w:cs="Arial" w:eastAsia="Arial" w:hAnsi="Arial"/>
          <w:sz w:val="18"/>
          <w:szCs w:val="18"/>
          <w:color w:val="auto"/>
        </w:rPr>
      </w:pPr>
    </w:p>
    <w:p>
      <w:pPr>
        <w:ind w:right="80" w:firstLine="996"/>
        <w:spacing w:after="0" w:line="256" w:lineRule="auto"/>
        <w:tabs>
          <w:tab w:leader="none" w:pos="1247"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color w:val="auto"/>
        </w:rPr>
        <w:t>. The Company may terminate Employee’s employment hereunder for Cause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shall mean in the good faith determination of [the Company’s CEO][RGHL’s CEO or Owner]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79" w:lineRule="exact"/>
        <w:rPr>
          <w:rFonts w:ascii="Arial" w:cs="Arial" w:eastAsia="Arial" w:hAnsi="Arial"/>
          <w:sz w:val="18"/>
          <w:szCs w:val="18"/>
          <w:color w:val="auto"/>
        </w:rPr>
      </w:pPr>
    </w:p>
    <w:p>
      <w:pPr>
        <w:ind w:right="240" w:firstLine="996"/>
        <w:spacing w:after="0" w:line="266" w:lineRule="auto"/>
        <w:tabs>
          <w:tab w:leader="none" w:pos="1236"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Employee’s employment hereunder at any time without Cause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68" w:lineRule="exact"/>
        <w:rPr>
          <w:rFonts w:ascii="Arial" w:cs="Arial" w:eastAsia="Arial" w:hAnsi="Arial"/>
          <w:sz w:val="18"/>
          <w:szCs w:val="18"/>
          <w:color w:val="auto"/>
        </w:rPr>
      </w:pPr>
    </w:p>
    <w:p>
      <w:pPr>
        <w:ind w:left="1260" w:hanging="264"/>
        <w:spacing w:after="0"/>
        <w:tabs>
          <w:tab w:leader="none" w:pos="1260" w:val="left"/>
        </w:tabs>
        <w:numPr>
          <w:ilvl w:val="1"/>
          <w:numId w:val="31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by Employee</w:t>
      </w:r>
      <w:r>
        <w:rPr>
          <w:rFonts w:ascii="Arial" w:cs="Arial" w:eastAsia="Arial" w:hAnsi="Arial"/>
          <w:sz w:val="17"/>
          <w:szCs w:val="17"/>
          <w:color w:val="auto"/>
        </w:rPr>
        <w:t>. Employee may terminate Employee’s employment hereunder upon 30 days’ written notice to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98" w:lineRule="exact"/>
        <w:rPr>
          <w:rFonts w:ascii="Arial" w:cs="Arial" w:eastAsia="Arial" w:hAnsi="Arial"/>
          <w:sz w:val="17"/>
          <w:szCs w:val="17"/>
          <w:color w:val="auto"/>
        </w:rPr>
      </w:pPr>
    </w:p>
    <w:p>
      <w:pPr>
        <w:ind w:firstLine="996"/>
        <w:spacing w:after="0" w:line="256" w:lineRule="auto"/>
        <w:tabs>
          <w:tab w:leader="none" w:pos="1236"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399" w:name="page400"/>
    <w:bookmarkEnd w:id="399"/>
    <w:p>
      <w:pPr>
        <w:ind w:left="600" w:hanging="176"/>
        <w:spacing w:after="0"/>
        <w:tabs>
          <w:tab w:leader="none" w:pos="600"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996"/>
        <w:spacing w:after="0" w:line="258" w:lineRule="auto"/>
        <w:tabs>
          <w:tab w:leader="none" w:pos="1216"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color w:val="auto"/>
        </w:rPr>
        <w:t>. If Employee’s employment with the Company is terminated for any reason, Employee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The Accrued Obligations shall be paid at the time(s) specified under any applicable employee benefit plan, or, if there is no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within 30 days after Employee’s Date of Termination.</w:t>
      </w:r>
    </w:p>
    <w:p>
      <w:pPr>
        <w:spacing w:after="0" w:line="75" w:lineRule="exact"/>
        <w:rPr>
          <w:rFonts w:ascii="Arial" w:cs="Arial" w:eastAsia="Arial" w:hAnsi="Arial"/>
          <w:sz w:val="18"/>
          <w:szCs w:val="18"/>
          <w:color w:val="auto"/>
        </w:rPr>
      </w:pPr>
    </w:p>
    <w:p>
      <w:pPr>
        <w:ind w:left="-20" w:right="80" w:firstLine="996"/>
        <w:spacing w:after="0" w:line="266" w:lineRule="auto"/>
        <w:tabs>
          <w:tab w:leader="none" w:pos="1227"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color w:val="auto"/>
        </w:rPr>
        <w:t>. If Employee’s employment is terminated by the Company without Cause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pacing w:after="0" w:line="68" w:lineRule="exact"/>
        <w:rPr>
          <w:rFonts w:ascii="Arial" w:cs="Arial" w:eastAsia="Arial" w:hAnsi="Arial"/>
          <w:sz w:val="18"/>
          <w:szCs w:val="18"/>
          <w:color w:val="auto"/>
        </w:rPr>
      </w:pPr>
    </w:p>
    <w:p>
      <w:pPr>
        <w:ind w:left="420" w:right="20" w:firstLine="957"/>
        <w:spacing w:after="0" w:line="289" w:lineRule="auto"/>
        <w:tabs>
          <w:tab w:leader="none" w:pos="1587" w:val="left"/>
        </w:tabs>
        <w:numPr>
          <w:ilvl w:val="2"/>
          <w:numId w:val="318"/>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Severance</w:t>
      </w:r>
      <w:r>
        <w:rPr>
          <w:rFonts w:ascii="Arial" w:cs="Arial" w:eastAsia="Arial" w:hAnsi="Arial"/>
          <w:sz w:val="16"/>
          <w:szCs w:val="16"/>
          <w:color w:val="auto"/>
        </w:rPr>
        <w:t>. A severance payment (the “</w:t>
      </w:r>
      <w:r>
        <w:rPr>
          <w:rFonts w:ascii="Arial" w:cs="Arial" w:eastAsia="Arial" w:hAnsi="Arial"/>
          <w:sz w:val="16"/>
          <w:szCs w:val="16"/>
          <w:b w:val="1"/>
          <w:bCs w:val="1"/>
          <w:u w:val="single" w:color="auto"/>
          <w:color w:val="auto"/>
        </w:rPr>
        <w:t>Severance Amount</w:t>
      </w:r>
      <w:r>
        <w:rPr>
          <w:rFonts w:ascii="Arial" w:cs="Arial" w:eastAsia="Arial" w:hAnsi="Arial"/>
          <w:sz w:val="16"/>
          <w:szCs w:val="16"/>
          <w:color w:val="auto"/>
        </w:rPr>
        <w:t>”) in the Amount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Severance Amount shall be paid to Employee in equal installments in accordance with the Company’s normal payroll practices over a period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of the severance shall be payable until the revocation period for the Release described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53" w:lineRule="exact"/>
        <w:rPr>
          <w:rFonts w:ascii="Arial" w:cs="Arial" w:eastAsia="Arial" w:hAnsi="Arial"/>
          <w:sz w:val="16"/>
          <w:szCs w:val="16"/>
          <w:color w:val="auto"/>
        </w:rPr>
      </w:pPr>
    </w:p>
    <w:p>
      <w:pPr>
        <w:ind w:left="420" w:firstLine="957"/>
        <w:spacing w:after="0" w:line="291" w:lineRule="auto"/>
        <w:tabs>
          <w:tab w:leader="none" w:pos="1637" w:val="left"/>
        </w:tabs>
        <w:numPr>
          <w:ilvl w:val="2"/>
          <w:numId w:val="318"/>
        </w:numPr>
        <w:rPr>
          <w:rFonts w:ascii="Arial" w:cs="Arial" w:eastAsia="Arial" w:hAnsi="Arial"/>
          <w:sz w:val="16"/>
          <w:szCs w:val="16"/>
          <w:color w:val="auto"/>
        </w:rPr>
      </w:pPr>
      <w:r>
        <w:rPr>
          <w:rFonts w:ascii="Arial" w:cs="Arial" w:eastAsia="Arial" w:hAnsi="Arial"/>
          <w:sz w:val="16"/>
          <w:szCs w:val="16"/>
          <w:b w:val="1"/>
          <w:bCs w:val="1"/>
          <w:u w:val="single" w:color="auto"/>
          <w:color w:val="auto"/>
        </w:rPr>
        <w:t>Health Care Continuation</w:t>
      </w:r>
      <w:r>
        <w:rPr>
          <w:rFonts w:ascii="Arial" w:cs="Arial" w:eastAsia="Arial" w:hAnsi="Arial"/>
          <w:sz w:val="16"/>
          <w:szCs w:val="16"/>
          <w:color w:val="auto"/>
        </w:rPr>
        <w:t>. In addition, Employee and Employee’s eligible dependents, if any, shall continue to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health plan (the “</w:t>
      </w:r>
      <w:r>
        <w:rPr>
          <w:rFonts w:ascii="Arial" w:cs="Arial" w:eastAsia="Arial" w:hAnsi="Arial"/>
          <w:sz w:val="16"/>
          <w:szCs w:val="16"/>
          <w:b w:val="1"/>
          <w:bCs w:val="1"/>
          <w:u w:val="single" w:color="auto"/>
          <w:color w:val="auto"/>
        </w:rPr>
        <w:t>Health Plan</w:t>
      </w:r>
      <w:r>
        <w:rPr>
          <w:rFonts w:ascii="Arial" w:cs="Arial" w:eastAsia="Arial" w:hAnsi="Arial"/>
          <w:sz w:val="16"/>
          <w:szCs w:val="16"/>
          <w:color w:val="auto"/>
        </w:rPr>
        <w:t>”),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a lump-sum cash payment equal to the total monthly premiums (or in the case of a self-funded plan, the cost of COBRA continuation coverage) that would have been paid by the Company for Employee under the Health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0" w:right="439" w:bottom="1440" w:gutter="0" w:footer="0" w:header="0"/>
        </w:sectPr>
      </w:pPr>
    </w:p>
    <w:bookmarkStart w:id="400" w:name="page401"/>
    <w:bookmarkEnd w:id="400"/>
    <w:p>
      <w:pPr>
        <w:ind w:right="260" w:firstLine="996"/>
        <w:spacing w:after="0" w:line="291" w:lineRule="auto"/>
        <w:tabs>
          <w:tab w:leader="none" w:pos="1236" w:val="left"/>
        </w:tabs>
        <w:numPr>
          <w:ilvl w:val="1"/>
          <w:numId w:val="31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that may become due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Employee signing a general release of claims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the Company and related persons and entities in a form and manner satisfactory to the Company (the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contingent upon Employee abiding by and not breaching any of the covenants set forth in the Release and in the Restrictive Covenant Agreement.</w:t>
      </w:r>
    </w:p>
    <w:p>
      <w:pPr>
        <w:spacing w:after="0" w:line="52" w:lineRule="exact"/>
        <w:rPr>
          <w:rFonts w:ascii="Arial" w:cs="Arial" w:eastAsia="Arial" w:hAnsi="Arial"/>
          <w:sz w:val="16"/>
          <w:szCs w:val="16"/>
          <w:color w:val="auto"/>
        </w:rPr>
      </w:pPr>
    </w:p>
    <w:p>
      <w:pPr>
        <w:ind w:left="620" w:hanging="176"/>
        <w:spacing w:after="0"/>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96"/>
        <w:spacing w:after="0" w:line="290" w:lineRule="auto"/>
        <w:tabs>
          <w:tab w:leader="none" w:pos="1237" w:val="left"/>
        </w:tabs>
        <w:numPr>
          <w:ilvl w:val="1"/>
          <w:numId w:val="32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1.409A-1(h).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Termination.</w:t>
      </w:r>
    </w:p>
    <w:p>
      <w:pPr>
        <w:spacing w:after="0" w:line="58" w:lineRule="exact"/>
        <w:rPr>
          <w:rFonts w:ascii="Arial" w:cs="Arial" w:eastAsia="Arial" w:hAnsi="Arial"/>
          <w:sz w:val="16"/>
          <w:szCs w:val="16"/>
          <w:color w:val="auto"/>
        </w:rPr>
      </w:pPr>
    </w:p>
    <w:p>
      <w:pPr>
        <w:ind w:right="220" w:firstLine="996"/>
        <w:spacing w:after="0" w:line="288" w:lineRule="auto"/>
        <w:tabs>
          <w:tab w:leader="none" w:pos="1247" w:val="left"/>
        </w:tabs>
        <w:numPr>
          <w:ilvl w:val="1"/>
          <w:numId w:val="32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75" w:lineRule="exact"/>
        <w:rPr>
          <w:rFonts w:ascii="Arial" w:cs="Arial" w:eastAsia="Arial" w:hAnsi="Arial"/>
          <w:sz w:val="16"/>
          <w:szCs w:val="16"/>
          <w:color w:val="auto"/>
        </w:rPr>
      </w:pPr>
    </w:p>
    <w:p>
      <w:pPr>
        <w:ind w:right="80" w:firstLine="996"/>
        <w:spacing w:after="0" w:line="255" w:lineRule="auto"/>
        <w:tabs>
          <w:tab w:leader="none" w:pos="1237"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01" w:name="page402"/>
    <w:bookmarkEnd w:id="401"/>
    <w:p>
      <w:pPr>
        <w:ind w:left="-60" w:right="20" w:firstLine="996"/>
        <w:spacing w:after="0" w:line="264" w:lineRule="auto"/>
        <w:tabs>
          <w:tab w:leader="none" w:pos="1187" w:val="left"/>
        </w:tabs>
        <w:numPr>
          <w:ilvl w:val="1"/>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69" w:lineRule="exact"/>
        <w:rPr>
          <w:rFonts w:ascii="Arial" w:cs="Arial" w:eastAsia="Arial" w:hAnsi="Arial"/>
          <w:sz w:val="18"/>
          <w:szCs w:val="18"/>
          <w:color w:val="auto"/>
        </w:rPr>
      </w:pPr>
    </w:p>
    <w:p>
      <w:pPr>
        <w:ind w:left="-60" w:right="120" w:firstLine="444"/>
        <w:spacing w:after="0" w:line="266" w:lineRule="auto"/>
        <w:tabs>
          <w:tab w:leader="none" w:pos="561"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 The Company’s obligations under this Agreement, including the Company’s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0" w:firstLine="444"/>
        <w:spacing w:after="0" w:line="287" w:lineRule="auto"/>
        <w:tabs>
          <w:tab w:leader="none" w:pos="561" w:val="left"/>
        </w:tabs>
        <w:numPr>
          <w:ilvl w:val="0"/>
          <w:numId w:val="322"/>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xml:space="preserve">”) in Chicago, IL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specifically enforceable.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other relief shall be pursued through an arbitration proceeding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Further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limit the Company’s ability to terminate Employee’s employment at any time.</w:t>
      </w:r>
    </w:p>
    <w:p>
      <w:pPr>
        <w:spacing w:after="0" w:line="60" w:lineRule="exact"/>
        <w:rPr>
          <w:rFonts w:ascii="Arial" w:cs="Arial" w:eastAsia="Arial" w:hAnsi="Arial"/>
          <w:sz w:val="16"/>
          <w:szCs w:val="16"/>
          <w:color w:val="auto"/>
        </w:rPr>
      </w:pPr>
    </w:p>
    <w:p>
      <w:pPr>
        <w:ind w:left="-60" w:right="160" w:firstLine="444"/>
        <w:spacing w:after="0" w:line="266" w:lineRule="auto"/>
        <w:tabs>
          <w:tab w:leader="none" w:pos="561"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68" w:lineRule="exact"/>
        <w:rPr>
          <w:rFonts w:ascii="Arial" w:cs="Arial" w:eastAsia="Arial" w:hAnsi="Arial"/>
          <w:sz w:val="18"/>
          <w:szCs w:val="18"/>
          <w:color w:val="auto"/>
        </w:rPr>
      </w:pPr>
    </w:p>
    <w:p>
      <w:pPr>
        <w:ind w:left="-60" w:right="60" w:firstLine="444"/>
        <w:spacing w:after="0" w:line="282" w:lineRule="auto"/>
        <w:tabs>
          <w:tab w:leader="none" w:pos="651"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payments made by the Company to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53" w:lineRule="exact"/>
        <w:rPr>
          <w:rFonts w:ascii="Arial" w:cs="Arial" w:eastAsia="Arial" w:hAnsi="Arial"/>
          <w:sz w:val="18"/>
          <w:szCs w:val="18"/>
          <w:color w:val="auto"/>
        </w:rPr>
      </w:pPr>
    </w:p>
    <w:p>
      <w:pPr>
        <w:jc w:val="both"/>
        <w:ind w:left="-60" w:right="200" w:firstLine="444"/>
        <w:spacing w:after="0" w:line="303" w:lineRule="auto"/>
        <w:tabs>
          <w:tab w:leader="none" w:pos="644" w:val="left"/>
        </w:tabs>
        <w:numPr>
          <w:ilvl w:val="0"/>
          <w:numId w:val="322"/>
        </w:numPr>
        <w:rPr>
          <w:rFonts w:ascii="Arial" w:cs="Arial" w:eastAsia="Arial" w:hAnsi="Arial"/>
          <w:sz w:val="16"/>
          <w:szCs w:val="16"/>
          <w:color w:val="auto"/>
        </w:rPr>
      </w:pPr>
      <w:r>
        <w:rPr>
          <w:rFonts w:ascii="Arial" w:cs="Arial" w:eastAsia="Arial" w:hAnsi="Arial"/>
          <w:sz w:val="16"/>
          <w:szCs w:val="16"/>
          <w:b w:val="1"/>
          <w:bCs w:val="1"/>
          <w:u w:val="single" w:color="auto"/>
          <w:color w:val="auto"/>
        </w:rPr>
        <w:t>Enforceability</w:t>
      </w:r>
      <w:r>
        <w:rPr>
          <w:rFonts w:ascii="Arial" w:cs="Arial" w:eastAsia="Arial" w:hAnsi="Arial"/>
          <w:sz w:val="16"/>
          <w:szCs w:val="16"/>
          <w:color w:val="auto"/>
        </w:rPr>
        <w:t>. If any portion or provision of this Agreement (including, without limitation, any portion or provision of any section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4" w:right="499" w:bottom="1440" w:gutter="0" w:footer="0" w:header="0"/>
        </w:sectPr>
      </w:pPr>
    </w:p>
    <w:bookmarkStart w:id="402" w:name="page403"/>
    <w:bookmarkEnd w:id="402"/>
    <w:p>
      <w:pPr>
        <w:ind w:left="-40" w:firstLine="444"/>
        <w:spacing w:after="0" w:line="282"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The provisions of this Agreement shall survive the termination of this Agreement and/or the termination of Employee’s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to effectuate the terms contained herein.</w:t>
      </w:r>
    </w:p>
    <w:p>
      <w:pPr>
        <w:spacing w:after="0" w:line="53" w:lineRule="exact"/>
        <w:rPr>
          <w:rFonts w:ascii="Arial" w:cs="Arial" w:eastAsia="Arial" w:hAnsi="Arial"/>
          <w:sz w:val="18"/>
          <w:szCs w:val="18"/>
          <w:color w:val="auto"/>
        </w:rPr>
      </w:pPr>
    </w:p>
    <w:p>
      <w:pPr>
        <w:ind w:left="-40" w:right="60" w:firstLine="444"/>
        <w:spacing w:after="0" w:line="266"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68" w:lineRule="exact"/>
        <w:rPr>
          <w:rFonts w:ascii="Arial" w:cs="Arial" w:eastAsia="Arial" w:hAnsi="Arial"/>
          <w:sz w:val="18"/>
          <w:szCs w:val="18"/>
          <w:color w:val="auto"/>
        </w:rPr>
      </w:pPr>
    </w:p>
    <w:p>
      <w:pPr>
        <w:ind w:left="-40" w:right="100" w:firstLine="444"/>
        <w:spacing w:after="0" w:line="261"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Lance Mitchell.</w:t>
      </w:r>
    </w:p>
    <w:p>
      <w:pPr>
        <w:spacing w:after="0" w:line="71" w:lineRule="exact"/>
        <w:rPr>
          <w:rFonts w:ascii="Arial" w:cs="Arial" w:eastAsia="Arial" w:hAnsi="Arial"/>
          <w:sz w:val="18"/>
          <w:szCs w:val="18"/>
          <w:color w:val="auto"/>
        </w:rPr>
      </w:pPr>
    </w:p>
    <w:p>
      <w:pPr>
        <w:ind w:left="-40" w:right="500" w:firstLine="444"/>
        <w:spacing w:after="0" w:line="282"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instrument signed by Employee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 (other than Employee).</w:t>
      </w:r>
    </w:p>
    <w:p>
      <w:pPr>
        <w:spacing w:after="0" w:line="53" w:lineRule="exact"/>
        <w:rPr>
          <w:rFonts w:ascii="Arial" w:cs="Arial" w:eastAsia="Arial" w:hAnsi="Arial"/>
          <w:sz w:val="18"/>
          <w:szCs w:val="18"/>
          <w:color w:val="auto"/>
        </w:rPr>
      </w:pPr>
    </w:p>
    <w:p>
      <w:pPr>
        <w:ind w:left="-40" w:right="180" w:firstLine="444"/>
        <w:spacing w:after="0" w:line="282"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under and be governed in all respects by the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 of laws principles of such State.</w:t>
      </w:r>
    </w:p>
    <w:p>
      <w:pPr>
        <w:spacing w:after="0" w:line="53" w:lineRule="exact"/>
        <w:rPr>
          <w:rFonts w:ascii="Arial" w:cs="Arial" w:eastAsia="Arial" w:hAnsi="Arial"/>
          <w:sz w:val="18"/>
          <w:szCs w:val="18"/>
          <w:color w:val="auto"/>
        </w:rPr>
      </w:pPr>
    </w:p>
    <w:p>
      <w:pPr>
        <w:ind w:left="-40" w:right="40" w:firstLine="444"/>
        <w:spacing w:after="0" w:line="282" w:lineRule="auto"/>
        <w:tabs>
          <w:tab w:leader="none" w:pos="671"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such counterparts shall together constitute one and the same document.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parties have executed this Agreement effective as of the date set forth above.</w:t>
      </w:r>
    </w:p>
    <w:p>
      <w:pPr>
        <w:spacing w:after="0" w:line="248"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14605</wp:posOffset>
            </wp:positionV>
            <wp:extent cx="256413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Lance Mitchell</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Stephan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14605</wp:posOffset>
            </wp:positionV>
            <wp:extent cx="279590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80" w:top="269" w:right="459" w:bottom="1440" w:gutter="0" w:footer="0" w:header="0"/>
        </w:sectPr>
      </w:pPr>
    </w:p>
    <w:bookmarkStart w:id="403" w:name="page404"/>
    <w:bookmarkEnd w:id="403"/>
    <w:p>
      <w:pPr>
        <w:jc w:val="center"/>
        <w:ind w:right="-5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56" w:lineRule="exact"/>
        <w:rPr>
          <w:sz w:val="20"/>
          <w:szCs w:val="20"/>
          <w:color w:val="auto"/>
        </w:rPr>
      </w:pPr>
    </w:p>
    <w:p>
      <w:pPr>
        <w:ind w:left="436" w:hanging="436"/>
        <w:spacing w:after="0"/>
        <w:tabs>
          <w:tab w:leader="none" w:pos="43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Business Unit President, Walmart Global</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Primary Location(s)</w:t>
      </w:r>
      <w:r>
        <w:rPr>
          <w:rFonts w:ascii="Arial" w:cs="Arial" w:eastAsia="Arial" w:hAnsi="Arial"/>
          <w:sz w:val="18"/>
          <w:szCs w:val="18"/>
          <w:color w:val="auto"/>
        </w:rPr>
        <w:t>: Lake Forest, IL</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$450,204</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Annual Bonus Target</w:t>
      </w:r>
      <w:r>
        <w:rPr>
          <w:rFonts w:ascii="Arial" w:cs="Arial" w:eastAsia="Arial" w:hAnsi="Arial"/>
          <w:sz w:val="18"/>
          <w:szCs w:val="18"/>
          <w:color w:val="auto"/>
        </w:rPr>
        <w:t>: 60% of Base Salary</w:t>
      </w:r>
    </w:p>
    <w:p>
      <w:pPr>
        <w:spacing w:after="0" w:line="130" w:lineRule="exact"/>
        <w:rPr>
          <w:rFonts w:ascii="Arial" w:cs="Arial" w:eastAsia="Arial" w:hAnsi="Arial"/>
          <w:sz w:val="18"/>
          <w:szCs w:val="18"/>
          <w:color w:val="auto"/>
        </w:rPr>
      </w:pPr>
    </w:p>
    <w:p>
      <w:pPr>
        <w:ind w:left="436" w:hanging="436"/>
        <w:spacing w:after="0" w:line="287" w:lineRule="auto"/>
        <w:tabs>
          <w:tab w:leader="none" w:pos="436"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Severance Amount/Period</w:t>
      </w:r>
      <w:r>
        <w:rPr>
          <w:rFonts w:ascii="Arial" w:cs="Arial" w:eastAsia="Arial" w:hAnsi="Arial"/>
          <w:sz w:val="16"/>
          <w:szCs w:val="16"/>
          <w:color w:val="auto"/>
        </w:rPr>
        <w:t xml:space="preserve">: (i) Base Salary,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Base Salary plus (ii) Annual Bonus at Target prorated through Date of Termination, paid in equal installments over 24 months following the Date of Termination. All other terms of </w:t>
      </w:r>
      <w:r>
        <w:rPr>
          <w:rFonts w:ascii="Arial" w:cs="Arial" w:eastAsia="Arial" w:hAnsi="Arial"/>
          <w:sz w:val="16"/>
          <w:szCs w:val="16"/>
          <w:u w:val="single" w:color="auto"/>
          <w:color w:val="auto"/>
        </w:rPr>
        <w:t>Section 5(b)(i)</w:t>
      </w:r>
      <w:r>
        <w:rPr>
          <w:rFonts w:ascii="Arial" w:cs="Arial" w:eastAsia="Arial" w:hAnsi="Arial"/>
          <w:sz w:val="16"/>
          <w:szCs w:val="16"/>
          <w:color w:val="auto"/>
        </w:rPr>
        <w:t xml:space="preserve"> of the Agreement will apply. For purposes of this provision a “</w:t>
      </w:r>
      <w:r>
        <w:rPr>
          <w:rFonts w:ascii="Arial" w:cs="Arial" w:eastAsia="Arial" w:hAnsi="Arial"/>
          <w:sz w:val="16"/>
          <w:szCs w:val="16"/>
          <w:b w:val="1"/>
          <w:bCs w:val="1"/>
          <w:color w:val="auto"/>
        </w:rPr>
        <w:t>Sale of Business</w:t>
      </w:r>
      <w:r>
        <w:rPr>
          <w:rFonts w:ascii="Arial" w:cs="Arial" w:eastAsia="Arial" w:hAnsi="Arial"/>
          <w:sz w:val="16"/>
          <w:szCs w:val="16"/>
          <w:color w:val="auto"/>
        </w:rPr>
        <w:t>” shall mean the sale or other disposition of (x) more than 50% of the shares or other equity interests of the Company or the Company’s direct or indirect parent to a non-affiliated party, or (y) more than 50% of the businesses or assets that, as of the most recent year end, generated more than 50% of the Company’s EBITDA (as determined in good faith by RGHL’s CEO,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60" w:lineRule="exact"/>
        <w:rPr>
          <w:rFonts w:ascii="Arial" w:cs="Arial" w:eastAsia="Arial" w:hAnsi="Arial"/>
          <w:sz w:val="16"/>
          <w:szCs w:val="16"/>
          <w:color w:val="auto"/>
        </w:rPr>
      </w:pPr>
    </w:p>
    <w:p>
      <w:pPr>
        <w:ind w:left="176" w:hanging="176"/>
        <w:spacing w:after="0"/>
        <w:tabs>
          <w:tab w:leader="none" w:pos="17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r>
        <w:rPr>
          <w:rFonts w:ascii="Arial" w:cs="Arial" w:eastAsia="Arial" w:hAnsi="Arial"/>
          <w:sz w:val="18"/>
          <w:szCs w:val="18"/>
          <w:color w:val="auto"/>
        </w:rPr>
        <w:t>:</w:t>
      </w:r>
    </w:p>
    <w:p>
      <w:pPr>
        <w:spacing w:after="0" w:line="117" w:lineRule="exact"/>
        <w:rPr>
          <w:sz w:val="20"/>
          <w:szCs w:val="20"/>
          <w:color w:val="auto"/>
        </w:rPr>
      </w:pPr>
    </w:p>
    <w:p>
      <w:pPr>
        <w:ind w:left="216"/>
        <w:spacing w:after="0"/>
        <w:rPr>
          <w:sz w:val="20"/>
          <w:szCs w:val="20"/>
          <w:color w:val="auto"/>
        </w:rPr>
      </w:pPr>
      <w:r>
        <w:rPr>
          <w:rFonts w:ascii="Arial" w:cs="Arial" w:eastAsia="Arial" w:hAnsi="Arial"/>
          <w:sz w:val="18"/>
          <w:szCs w:val="18"/>
          <w:color w:val="auto"/>
        </w:rPr>
        <w:t>Long-Term Incentive Program Target: 75% of Base Salary</w:t>
      </w:r>
    </w:p>
    <w:p>
      <w:pPr>
        <w:spacing w:after="0" w:line="158"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76"/>
          </w:cols>
          <w:pgMar w:left="444" w:top="269" w:right="479"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Covenant Agreement</w:t>
      </w:r>
    </w:p>
    <w:p>
      <w:pPr>
        <w:spacing w:after="0" w:line="225" w:lineRule="exact"/>
        <w:rPr>
          <w:sz w:val="20"/>
          <w:szCs w:val="20"/>
          <w:color w:val="auto"/>
        </w:rPr>
      </w:pPr>
    </w:p>
    <w:p>
      <w:pPr>
        <w:ind w:right="840" w:firstLine="441"/>
        <w:spacing w:after="0" w:line="282" w:lineRule="auto"/>
        <w:rPr>
          <w:sz w:val="20"/>
          <w:szCs w:val="20"/>
          <w:color w:val="auto"/>
        </w:rPr>
      </w:pPr>
      <w:r>
        <w:rPr>
          <w:rFonts w:ascii="Arial" w:cs="Arial" w:eastAsia="Arial" w:hAnsi="Arial"/>
          <w:sz w:val="18"/>
          <w:szCs w:val="18"/>
          <w:color w:val="auto"/>
        </w:rPr>
        <w:t>Restrictive Covenant Agreement dated July 18, 2019,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Stephan Pace (“</w:t>
      </w:r>
      <w:r>
        <w:rPr>
          <w:rFonts w:ascii="Arial" w:cs="Arial" w:eastAsia="Arial" w:hAnsi="Arial"/>
          <w:sz w:val="18"/>
          <w:szCs w:val="18"/>
          <w:b w:val="1"/>
          <w:bCs w:val="1"/>
          <w:u w:val="single" w:color="auto"/>
          <w:color w:val="auto"/>
        </w:rPr>
        <w:t>Employe</w:t>
      </w:r>
      <w:r>
        <w:rPr>
          <w:rFonts w:ascii="Arial" w:cs="Arial" w:eastAsia="Arial" w:hAnsi="Arial"/>
          <w:sz w:val="18"/>
          <w:szCs w:val="18"/>
          <w:b w:val="1"/>
          <w:bCs w:val="1"/>
          <w:color w:val="auto"/>
        </w:rPr>
        <w:t>e</w:t>
      </w:r>
      <w:r>
        <w:rPr>
          <w:rFonts w:ascii="Arial" w:cs="Arial" w:eastAsia="Arial" w:hAnsi="Arial"/>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6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 In addition, the Company is providing Employee other consideration for Employee’s execution of this Agreement, as provided in a separate letter of even date herewith.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20" w:hanging="176"/>
        <w:spacing w:after="0"/>
        <w:tabs>
          <w:tab w:leader="none" w:pos="620" w:val="left"/>
        </w:tabs>
        <w:numPr>
          <w:ilvl w:val="1"/>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w:t>
      </w:r>
    </w:p>
    <w:p>
      <w:pPr>
        <w:spacing w:after="0" w:line="117" w:lineRule="exact"/>
        <w:rPr>
          <w:rFonts w:ascii="Arial" w:cs="Arial" w:eastAsia="Arial" w:hAnsi="Arial"/>
          <w:sz w:val="18"/>
          <w:szCs w:val="18"/>
          <w:color w:val="auto"/>
        </w:rPr>
      </w:pPr>
    </w:p>
    <w:p>
      <w:pPr>
        <w:jc w:val="both"/>
        <w:ind w:right="220" w:firstLine="996"/>
        <w:spacing w:after="0" w:line="281" w:lineRule="auto"/>
        <w:tabs>
          <w:tab w:leader="none" w:pos="1237" w:val="left"/>
        </w:tabs>
        <w:numPr>
          <w:ilvl w:val="2"/>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Product</w:t>
      </w:r>
      <w:r>
        <w:rPr>
          <w:rFonts w:ascii="Arial" w:cs="Arial" w:eastAsia="Arial" w:hAnsi="Arial"/>
          <w:sz w:val="17"/>
          <w:szCs w:val="17"/>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56" w:lineRule="exact"/>
        <w:rPr>
          <w:rFonts w:ascii="Arial" w:cs="Arial" w:eastAsia="Arial" w:hAnsi="Arial"/>
          <w:sz w:val="17"/>
          <w:szCs w:val="17"/>
          <w:color w:val="auto"/>
        </w:rPr>
      </w:pPr>
    </w:p>
    <w:p>
      <w:pPr>
        <w:ind w:right="220" w:firstLine="996"/>
        <w:spacing w:after="0" w:line="282" w:lineRule="auto"/>
        <w:tabs>
          <w:tab w:leader="none" w:pos="1247" w:val="left"/>
        </w:tabs>
        <w:numPr>
          <w:ilvl w:val="2"/>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Competitive Activity</w:t>
      </w:r>
      <w:r>
        <w:rPr>
          <w:rFonts w:ascii="Arial" w:cs="Arial" w:eastAsia="Arial" w:hAnsi="Arial"/>
          <w:sz w:val="18"/>
          <w:szCs w:val="18"/>
          <w:color w:val="auto"/>
        </w:rPr>
        <w:t>” means the marketing, distribution, promotion, sales, development, delivery, or servicing of any product that competes with any Company Product.</w:t>
      </w:r>
    </w:p>
    <w:p>
      <w:pPr>
        <w:spacing w:after="0" w:line="53" w:lineRule="exact"/>
        <w:rPr>
          <w:rFonts w:ascii="Arial" w:cs="Arial" w:eastAsia="Arial" w:hAnsi="Arial"/>
          <w:sz w:val="18"/>
          <w:szCs w:val="18"/>
          <w:color w:val="auto"/>
        </w:rPr>
      </w:pPr>
    </w:p>
    <w:p>
      <w:pPr>
        <w:jc w:val="both"/>
        <w:ind w:firstLine="996"/>
        <w:spacing w:after="0" w:line="261" w:lineRule="auto"/>
        <w:tabs>
          <w:tab w:leader="none" w:pos="1237" w:val="left"/>
        </w:tabs>
        <w:numPr>
          <w:ilvl w:val="2"/>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Competitor</w:t>
      </w:r>
      <w:r>
        <w:rPr>
          <w:rFonts w:ascii="Arial" w:cs="Arial" w:eastAsia="Arial" w:hAnsi="Arial"/>
          <w:sz w:val="18"/>
          <w:szCs w:val="18"/>
          <w:color w:val="auto"/>
        </w:rPr>
        <w:t xml:space="preserve">” means (i) those entities listed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other entities that the Company reasonably determines are engaged in a Competitive Activity, in each case plus any direct or indirect parent or subsidiary of such entity,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right="340" w:firstLine="996"/>
        <w:spacing w:after="0" w:line="293" w:lineRule="auto"/>
        <w:tabs>
          <w:tab w:leader="none" w:pos="1247" w:val="left"/>
        </w:tabs>
        <w:numPr>
          <w:ilvl w:val="2"/>
          <w:numId w:val="3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Customer</w:t>
      </w:r>
      <w:r>
        <w:rPr>
          <w:rFonts w:ascii="Arial" w:cs="Arial" w:eastAsia="Arial" w:hAnsi="Arial"/>
          <w:sz w:val="16"/>
          <w:szCs w:val="16"/>
          <w:color w:val="auto"/>
        </w:rPr>
        <w:t>” means any customer, including distributors, with whom the Company transacted business during the 24-month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right="760" w:firstLine="4"/>
        <w:spacing w:after="0" w:line="261" w:lineRule="auto"/>
        <w:tabs>
          <w:tab w:leader="none" w:pos="26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knew Proprietary Information of or about, the Customer during the 24-month period immediately preceding the termination of Employee’s employment with the Company.</w:t>
      </w:r>
    </w:p>
    <w:p>
      <w:pPr>
        <w:spacing w:after="0" w:line="71" w:lineRule="exact"/>
        <w:rPr>
          <w:rFonts w:ascii="Arial" w:cs="Arial" w:eastAsia="Arial" w:hAnsi="Arial"/>
          <w:sz w:val="18"/>
          <w:szCs w:val="18"/>
          <w:color w:val="auto"/>
        </w:rPr>
      </w:pPr>
    </w:p>
    <w:p>
      <w:pPr>
        <w:ind w:left="1240" w:hanging="244"/>
        <w:spacing w:after="0"/>
        <w:tabs>
          <w:tab w:leader="none" w:pos="124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121" w:lineRule="exact"/>
        <w:rPr>
          <w:sz w:val="20"/>
          <w:szCs w:val="20"/>
          <w:color w:val="auto"/>
        </w:rPr>
      </w:pPr>
    </w:p>
    <w:p>
      <w:pPr>
        <w:ind w:left="5460" w:right="4760" w:hanging="4464"/>
        <w:spacing w:after="0" w:line="388" w:lineRule="auto"/>
        <w:tabs>
          <w:tab w:leader="none" w:pos="124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with whom or with which Employee dealt on behalf of the Company; 2</w:t>
      </w:r>
    </w:p>
    <w:p>
      <w:pPr>
        <w:sectPr>
          <w:pgSz w:w="11900" w:h="16838" w:orient="portrait"/>
          <w:cols w:equalWidth="0" w:num="1">
            <w:col w:w="11020"/>
          </w:cols>
          <w:pgMar w:left="440" w:top="270" w:right="439" w:bottom="1440" w:gutter="0" w:footer="0" w:header="0"/>
        </w:sectPr>
      </w:pPr>
    </w:p>
    <w:bookmarkStart w:id="405" w:name="page406"/>
    <w:bookmarkEnd w:id="405"/>
    <w:p>
      <w:pPr>
        <w:ind w:left="1120" w:hanging="252"/>
        <w:spacing w:after="0"/>
        <w:tabs>
          <w:tab w:leader="none" w:pos="11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whose dealings with the Company were coordinated or supervised by Employee; or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pacing w:after="0" w:line="113" w:lineRule="exact"/>
        <w:rPr>
          <w:sz w:val="20"/>
          <w:szCs w:val="20"/>
          <w:color w:val="auto"/>
        </w:rPr>
      </w:pPr>
    </w:p>
    <w:p>
      <w:pPr>
        <w:ind w:firstLine="885"/>
        <w:spacing w:after="0" w:line="267" w:lineRule="auto"/>
        <w:tabs>
          <w:tab w:leader="none" w:pos="1106" w:val="left"/>
        </w:tabs>
        <w:numPr>
          <w:ilvl w:val="1"/>
          <w:numId w:val="3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Proprietary Information</w:t>
      </w:r>
      <w:r>
        <w:rPr>
          <w:rFonts w:ascii="Arial" w:cs="Arial" w:eastAsia="Arial" w:hAnsi="Arial"/>
          <w:sz w:val="17"/>
          <w:szCs w:val="17"/>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81" w:lineRule="exact"/>
        <w:rPr>
          <w:rFonts w:ascii="Arial" w:cs="Arial" w:eastAsia="Arial" w:hAnsi="Arial"/>
          <w:sz w:val="17"/>
          <w:szCs w:val="17"/>
          <w:color w:val="auto"/>
        </w:rPr>
      </w:pPr>
    </w:p>
    <w:p>
      <w:pPr>
        <w:ind w:right="200" w:firstLine="885"/>
        <w:spacing w:after="0" w:line="293" w:lineRule="auto"/>
        <w:tabs>
          <w:tab w:leader="none" w:pos="113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Prospective Customer</w:t>
      </w:r>
      <w:r>
        <w:rPr>
          <w:rFonts w:ascii="Arial" w:cs="Arial" w:eastAsia="Arial" w:hAnsi="Arial"/>
          <w:sz w:val="16"/>
          <w:szCs w:val="16"/>
          <w:color w:val="auto"/>
        </w:rPr>
        <w:t>” means any person with whom the Company was attempting to transact business within the six 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right="740" w:firstLine="4"/>
        <w:spacing w:after="0" w:line="261" w:lineRule="auto"/>
        <w:tabs>
          <w:tab w:leader="none" w:pos="26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knew Proprietary Information of or about, the Prospective Customer during the six-month period immediately preceding the termination of Employee’s employment.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06" w:name="page407"/>
    <w:bookmarkEnd w:id="406"/>
    <w:p>
      <w:pPr>
        <w:ind w:left="-40" w:firstLine="444"/>
        <w:spacing w:after="0" w:line="272" w:lineRule="auto"/>
        <w:tabs>
          <w:tab w:leader="none" w:pos="581" w:val="left"/>
        </w:tabs>
        <w:numPr>
          <w:ilvl w:val="0"/>
          <w:numId w:val="33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Legitimate Interest</w:t>
      </w:r>
      <w:r>
        <w:rPr>
          <w:rFonts w:ascii="Arial" w:cs="Arial" w:eastAsia="Arial" w:hAnsi="Arial"/>
          <w:sz w:val="17"/>
          <w:szCs w:val="17"/>
          <w:color w:val="auto"/>
        </w:rPr>
        <w:t>. Due to the nature of the Company’s business, certain the Company employees, including Employee, have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64" w:lineRule="exact"/>
        <w:rPr>
          <w:rFonts w:ascii="Arial" w:cs="Arial" w:eastAsia="Arial" w:hAnsi="Arial"/>
          <w:sz w:val="17"/>
          <w:szCs w:val="17"/>
          <w:color w:val="auto"/>
        </w:rPr>
      </w:pPr>
    </w:p>
    <w:p>
      <w:pPr>
        <w:ind w:left="580" w:hanging="176"/>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color w:val="auto"/>
        </w:rPr>
        <w:t>. 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color w:val="auto"/>
        </w:rPr>
        <w:t>, Employee certifies the following:</w:t>
      </w:r>
    </w:p>
    <w:p>
      <w:pPr>
        <w:spacing w:after="0" w:line="121" w:lineRule="exact"/>
        <w:rPr>
          <w:rFonts w:ascii="Arial" w:cs="Arial" w:eastAsia="Arial" w:hAnsi="Arial"/>
          <w:sz w:val="18"/>
          <w:szCs w:val="18"/>
          <w:color w:val="auto"/>
        </w:rPr>
      </w:pPr>
    </w:p>
    <w:p>
      <w:pPr>
        <w:ind w:left="-40" w:right="360" w:firstLine="996"/>
        <w:spacing w:after="0" w:line="259" w:lineRule="auto"/>
        <w:tabs>
          <w:tab w:leader="none" w:pos="119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pacing w:after="0" w:line="78" w:lineRule="exact"/>
        <w:rPr>
          <w:rFonts w:ascii="Arial" w:cs="Arial" w:eastAsia="Arial" w:hAnsi="Arial"/>
          <w:sz w:val="18"/>
          <w:szCs w:val="18"/>
          <w:color w:val="auto"/>
        </w:rPr>
      </w:pPr>
    </w:p>
    <w:p>
      <w:pPr>
        <w:ind w:left="-40" w:firstLine="996"/>
        <w:spacing w:after="0" w:line="257" w:lineRule="auto"/>
        <w:tabs>
          <w:tab w:leader="none" w:pos="120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B</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80" w:lineRule="exact"/>
        <w:rPr>
          <w:rFonts w:ascii="Arial" w:cs="Arial" w:eastAsia="Arial" w:hAnsi="Arial"/>
          <w:sz w:val="18"/>
          <w:szCs w:val="18"/>
          <w:color w:val="auto"/>
        </w:rPr>
      </w:pPr>
    </w:p>
    <w:p>
      <w:pPr>
        <w:jc w:val="both"/>
        <w:ind w:left="-40" w:right="120" w:firstLine="996"/>
        <w:spacing w:after="0" w:line="264" w:lineRule="auto"/>
        <w:tabs>
          <w:tab w:leader="none" w:pos="119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580" w:hanging="176"/>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0" w:right="60" w:firstLine="996"/>
        <w:spacing w:after="0" w:line="289" w:lineRule="auto"/>
        <w:tabs>
          <w:tab w:leader="none" w:pos="1197" w:val="left"/>
        </w:tabs>
        <w:numPr>
          <w:ilvl w:val="1"/>
          <w:numId w:val="331"/>
        </w:numPr>
        <w:rPr>
          <w:rFonts w:ascii="Arial" w:cs="Arial" w:eastAsia="Arial" w:hAnsi="Arial"/>
          <w:sz w:val="16"/>
          <w:szCs w:val="16"/>
          <w:color w:val="auto"/>
        </w:rPr>
      </w:pPr>
      <w:r>
        <w:rPr>
          <w:rFonts w:ascii="Arial" w:cs="Arial" w:eastAsia="Arial" w:hAnsi="Arial"/>
          <w:sz w:val="16"/>
          <w:szCs w:val="16"/>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80" w:top="270" w:right="459" w:bottom="1440" w:gutter="0" w:footer="0" w:header="0"/>
        </w:sectPr>
      </w:pPr>
    </w:p>
    <w:bookmarkStart w:id="407" w:name="page408"/>
    <w:bookmarkEnd w:id="407"/>
    <w:p>
      <w:pPr>
        <w:ind w:left="-20" w:firstLine="996"/>
        <w:spacing w:after="0" w:line="269" w:lineRule="auto"/>
        <w:tabs>
          <w:tab w:leader="none" w:pos="1227" w:val="left"/>
        </w:tabs>
        <w:numPr>
          <w:ilvl w:val="1"/>
          <w:numId w:val="3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74" w:lineRule="exact"/>
        <w:rPr>
          <w:rFonts w:ascii="Arial" w:cs="Arial" w:eastAsia="Arial" w:hAnsi="Arial"/>
          <w:sz w:val="17"/>
          <w:szCs w:val="17"/>
          <w:color w:val="auto"/>
        </w:rPr>
      </w:pPr>
    </w:p>
    <w:p>
      <w:pPr>
        <w:ind w:left="-20" w:right="140" w:firstLine="996"/>
        <w:spacing w:after="0" w:line="312" w:lineRule="auto"/>
        <w:tabs>
          <w:tab w:leader="none" w:pos="1217"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Employee has identified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6"/>
          <w:szCs w:val="16"/>
          <w:u w:val="single" w:color="auto"/>
          <w:color w:val="auto"/>
        </w:rPr>
        <w:t>Attachment C</w:t>
      </w:r>
      <w:r>
        <w:rPr>
          <w:rFonts w:ascii="Arial" w:cs="Arial" w:eastAsia="Arial" w:hAnsi="Arial"/>
          <w:sz w:val="16"/>
          <w:szCs w:val="16"/>
          <w:color w:val="auto"/>
        </w:rPr>
        <w:t>, Employee represents that Employee has made no such inventions and improvements at the time of signing this Agreement.</w:t>
      </w:r>
    </w:p>
    <w:p>
      <w:pPr>
        <w:spacing w:after="0" w:line="38" w:lineRule="exact"/>
        <w:rPr>
          <w:rFonts w:ascii="Arial" w:cs="Arial" w:eastAsia="Arial" w:hAnsi="Arial"/>
          <w:sz w:val="16"/>
          <w:szCs w:val="16"/>
          <w:color w:val="auto"/>
        </w:rPr>
      </w:pPr>
    </w:p>
    <w:p>
      <w:pPr>
        <w:jc w:val="both"/>
        <w:ind w:left="-20" w:right="120" w:firstLine="996"/>
        <w:spacing w:after="0" w:line="279" w:lineRule="auto"/>
        <w:tabs>
          <w:tab w:leader="none" w:pos="1227"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59" w:lineRule="exact"/>
        <w:rPr>
          <w:rFonts w:ascii="Arial" w:cs="Arial" w:eastAsia="Arial" w:hAnsi="Arial"/>
          <w:sz w:val="17"/>
          <w:szCs w:val="17"/>
          <w:color w:val="auto"/>
        </w:rPr>
      </w:pPr>
    </w:p>
    <w:p>
      <w:pPr>
        <w:ind w:left="600" w:hanging="176"/>
        <w:spacing w:after="0"/>
        <w:tabs>
          <w:tab w:leader="none" w:pos="600"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96"/>
        <w:spacing w:after="0" w:line="261" w:lineRule="auto"/>
        <w:tabs>
          <w:tab w:leader="none" w:pos="1216" w:val="left"/>
        </w:tabs>
        <w:numPr>
          <w:ilvl w:val="1"/>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an the Company Product.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3" w:right="459" w:bottom="1440" w:gutter="0" w:footer="0" w:header="0"/>
        </w:sectPr>
      </w:pPr>
    </w:p>
    <w:bookmarkStart w:id="408" w:name="page409"/>
    <w:bookmarkEnd w:id="408"/>
    <w:p>
      <w:pPr>
        <w:ind w:right="40" w:firstLine="996"/>
        <w:spacing w:after="0" w:line="261" w:lineRule="auto"/>
        <w:tabs>
          <w:tab w:leader="none" w:pos="1247"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Prospective Customers</w:t>
      </w:r>
      <w:r>
        <w:rPr>
          <w:rFonts w:ascii="Arial" w:cs="Arial" w:eastAsia="Arial" w:hAnsi="Arial"/>
          <w:sz w:val="18"/>
          <w:szCs w:val="18"/>
          <w:color w:val="auto"/>
        </w:rPr>
        <w:t>. 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an the Company Product.</w:t>
      </w:r>
    </w:p>
    <w:p>
      <w:pPr>
        <w:spacing w:after="0" w:line="71" w:lineRule="exact"/>
        <w:rPr>
          <w:rFonts w:ascii="Arial" w:cs="Arial" w:eastAsia="Arial" w:hAnsi="Arial"/>
          <w:sz w:val="18"/>
          <w:szCs w:val="18"/>
          <w:color w:val="auto"/>
        </w:rPr>
      </w:pPr>
    </w:p>
    <w:p>
      <w:pPr>
        <w:ind w:firstLine="996"/>
        <w:spacing w:after="0" w:line="256" w:lineRule="auto"/>
        <w:tabs>
          <w:tab w:leader="none" w:pos="1236"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79" w:lineRule="exact"/>
        <w:rPr>
          <w:rFonts w:ascii="Arial" w:cs="Arial" w:eastAsia="Arial" w:hAnsi="Arial"/>
          <w:sz w:val="18"/>
          <w:szCs w:val="18"/>
          <w:color w:val="auto"/>
        </w:rPr>
      </w:pPr>
    </w:p>
    <w:p>
      <w:pPr>
        <w:ind w:right="120" w:firstLine="996"/>
        <w:spacing w:after="0" w:line="256" w:lineRule="auto"/>
        <w:tabs>
          <w:tab w:leader="none" w:pos="1247"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color w:val="auto"/>
        </w:rPr>
        <w:t>. Employee agrees that during Employee’s employment with the Company and for a period of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termination of Employee’s employment, Employee shall not, anywhere in North America (United States, Mexico or Canada) act in any capacity, whether or not for consideration, for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shall is reasonable and appropriate.</w:t>
      </w:r>
    </w:p>
    <w:p>
      <w:pPr>
        <w:spacing w:after="0" w:line="79" w:lineRule="exact"/>
        <w:rPr>
          <w:rFonts w:ascii="Arial" w:cs="Arial" w:eastAsia="Arial" w:hAnsi="Arial"/>
          <w:sz w:val="18"/>
          <w:szCs w:val="18"/>
          <w:color w:val="auto"/>
        </w:rPr>
      </w:pPr>
    </w:p>
    <w:p>
      <w:pPr>
        <w:ind w:left="1240" w:hanging="244"/>
        <w:spacing w:after="0"/>
        <w:tabs>
          <w:tab w:leader="none" w:pos="1240" w:val="left"/>
        </w:tabs>
        <w:numPr>
          <w:ilvl w:val="0"/>
          <w:numId w:val="334"/>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Covenant</w:t>
      </w:r>
      <w:r>
        <w:rPr>
          <w:rFonts w:ascii="Arial" w:cs="Arial" w:eastAsia="Arial" w:hAnsi="Arial"/>
          <w:sz w:val="17"/>
          <w:szCs w:val="17"/>
          <w:color w:val="auto"/>
        </w:rPr>
        <w:t>. During Employee’s employment with the Company and following the termination of Employee’s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102" w:lineRule="exact"/>
        <w:rPr>
          <w:rFonts w:ascii="Arial" w:cs="Arial" w:eastAsia="Arial" w:hAnsi="Arial"/>
          <w:sz w:val="17"/>
          <w:szCs w:val="17"/>
          <w:color w:val="auto"/>
        </w:rPr>
      </w:pPr>
    </w:p>
    <w:p>
      <w:pPr>
        <w:ind w:left="440" w:firstLine="957"/>
        <w:spacing w:after="0" w:line="259" w:lineRule="auto"/>
        <w:tabs>
          <w:tab w:leader="none" w:pos="160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8" w:lineRule="exact"/>
        <w:rPr>
          <w:rFonts w:ascii="Arial" w:cs="Arial" w:eastAsia="Arial" w:hAnsi="Arial"/>
          <w:sz w:val="18"/>
          <w:szCs w:val="18"/>
          <w:color w:val="auto"/>
        </w:rPr>
      </w:pPr>
    </w:p>
    <w:p>
      <w:pPr>
        <w:ind w:left="440" w:right="140" w:firstLine="957"/>
        <w:spacing w:after="0" w:line="277" w:lineRule="auto"/>
        <w:tabs>
          <w:tab w:leader="none" w:pos="165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62" w:lineRule="exact"/>
        <w:rPr>
          <w:rFonts w:ascii="Arial" w:cs="Arial" w:eastAsia="Arial" w:hAnsi="Arial"/>
          <w:sz w:val="18"/>
          <w:szCs w:val="18"/>
          <w:color w:val="auto"/>
        </w:rPr>
      </w:pPr>
    </w:p>
    <w:p>
      <w:pPr>
        <w:ind w:left="440" w:right="80" w:firstLine="957"/>
        <w:spacing w:after="0" w:line="264" w:lineRule="auto"/>
        <w:tabs>
          <w:tab w:leader="none" w:pos="170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69" w:right="459" w:bottom="1440" w:gutter="0" w:footer="0" w:header="0"/>
        </w:sectPr>
      </w:pPr>
    </w:p>
    <w:bookmarkStart w:id="409" w:name="page410"/>
    <w:bookmarkEnd w:id="409"/>
    <w:p>
      <w:pPr>
        <w:ind w:left="420" w:right="20" w:firstLine="957"/>
        <w:spacing w:after="0" w:line="264" w:lineRule="auto"/>
        <w:tabs>
          <w:tab w:leader="none" w:pos="1677" w:val="left"/>
        </w:tabs>
        <w:numPr>
          <w:ilvl w:val="1"/>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73" w:lineRule="exact"/>
        <w:rPr>
          <w:rFonts w:ascii="Arial" w:cs="Arial" w:eastAsia="Arial" w:hAnsi="Arial"/>
          <w:sz w:val="18"/>
          <w:szCs w:val="18"/>
          <w:color w:val="auto"/>
        </w:rPr>
      </w:pPr>
    </w:p>
    <w:p>
      <w:pPr>
        <w:ind w:left="420" w:right="60" w:firstLine="957"/>
        <w:spacing w:after="0" w:line="264" w:lineRule="auto"/>
        <w:tabs>
          <w:tab w:leader="none" w:pos="1627"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73" w:lineRule="exact"/>
        <w:rPr>
          <w:rFonts w:ascii="Arial" w:cs="Arial" w:eastAsia="Arial" w:hAnsi="Arial"/>
          <w:sz w:val="18"/>
          <w:szCs w:val="18"/>
          <w:color w:val="auto"/>
        </w:rPr>
      </w:pPr>
    </w:p>
    <w:p>
      <w:pPr>
        <w:ind w:left="420" w:firstLine="957"/>
        <w:spacing w:after="0" w:line="277" w:lineRule="auto"/>
        <w:tabs>
          <w:tab w:leader="none" w:pos="1677"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62" w:lineRule="exact"/>
        <w:rPr>
          <w:rFonts w:ascii="Arial" w:cs="Arial" w:eastAsia="Arial" w:hAnsi="Arial"/>
          <w:sz w:val="18"/>
          <w:szCs w:val="18"/>
          <w:color w:val="auto"/>
        </w:rPr>
      </w:pPr>
    </w:p>
    <w:p>
      <w:pPr>
        <w:ind w:left="420" w:right="120" w:firstLine="957"/>
        <w:spacing w:after="0" w:line="264" w:lineRule="auto"/>
        <w:tabs>
          <w:tab w:leader="none" w:pos="1727"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69" w:lineRule="exact"/>
        <w:rPr>
          <w:rFonts w:ascii="Arial" w:cs="Arial" w:eastAsia="Arial" w:hAnsi="Arial"/>
          <w:sz w:val="18"/>
          <w:szCs w:val="18"/>
          <w:color w:val="auto"/>
        </w:rPr>
      </w:pPr>
    </w:p>
    <w:p>
      <w:pPr>
        <w:ind w:left="-20" w:right="60" w:firstLine="996"/>
        <w:spacing w:after="0" w:line="292" w:lineRule="auto"/>
        <w:tabs>
          <w:tab w:leader="none" w:pos="1197" w:val="left"/>
        </w:tabs>
        <w:numPr>
          <w:ilvl w:val="0"/>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Scope of Covenants</w:t>
      </w:r>
      <w:r>
        <w:rPr>
          <w:rFonts w:ascii="Arial" w:cs="Arial" w:eastAsia="Arial" w:hAnsi="Arial"/>
          <w:sz w:val="16"/>
          <w:szCs w:val="16"/>
          <w:color w:val="auto"/>
        </w:rPr>
        <w:t>. The parties desire for the restrictive covenants, including any time period and geographic scope, to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53" w:lineRule="exact"/>
        <w:rPr>
          <w:rFonts w:ascii="Arial" w:cs="Arial" w:eastAsia="Arial" w:hAnsi="Arial"/>
          <w:sz w:val="16"/>
          <w:szCs w:val="16"/>
          <w:color w:val="auto"/>
        </w:rPr>
      </w:pPr>
    </w:p>
    <w:p>
      <w:pPr>
        <w:ind w:left="-20" w:right="180" w:firstLine="996"/>
        <w:spacing w:after="0" w:line="256" w:lineRule="auto"/>
        <w:tabs>
          <w:tab w:leader="none" w:pos="1227"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Employee agrees that a threatened or existing violation of any of the post-employment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79" w:lineRule="exact"/>
        <w:rPr>
          <w:rFonts w:ascii="Arial" w:cs="Arial" w:eastAsia="Arial" w:hAnsi="Arial"/>
          <w:sz w:val="18"/>
          <w:szCs w:val="18"/>
          <w:color w:val="auto"/>
        </w:rPr>
      </w:pPr>
    </w:p>
    <w:p>
      <w:pPr>
        <w:jc w:val="both"/>
        <w:ind w:left="-20" w:right="300" w:firstLine="996"/>
        <w:spacing w:after="0" w:line="266" w:lineRule="auto"/>
        <w:tabs>
          <w:tab w:leader="none" w:pos="1227"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color w:val="auto"/>
        </w:rPr>
        <w:t>. 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410" w:name="page411"/>
    <w:bookmarkEnd w:id="410"/>
    <w:p>
      <w:pPr>
        <w:ind w:left="-20" w:right="20" w:firstLine="996"/>
        <w:spacing w:after="0" w:line="277" w:lineRule="auto"/>
        <w:tabs>
          <w:tab w:leader="none" w:pos="1187"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Inevitable Use of Proprietary Information</w:t>
      </w:r>
      <w:r>
        <w:rPr>
          <w:rFonts w:ascii="Arial" w:cs="Arial" w:eastAsia="Arial" w:hAnsi="Arial"/>
          <w:sz w:val="17"/>
          <w:szCs w:val="17"/>
          <w:color w:val="auto"/>
        </w:rPr>
        <w:t>. Employee acknowledges and agrees that, after Employee’s separation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will possess the Company’s Proprietary Information which Employee would inevitably use if Employee were to engage in the conduct prohibited by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60" w:lineRule="exact"/>
        <w:rPr>
          <w:rFonts w:ascii="Arial" w:cs="Arial" w:eastAsia="Arial" w:hAnsi="Arial"/>
          <w:sz w:val="17"/>
          <w:szCs w:val="17"/>
          <w:color w:val="auto"/>
        </w:rPr>
      </w:pPr>
    </w:p>
    <w:p>
      <w:pPr>
        <w:ind w:left="-20" w:firstLine="444"/>
        <w:spacing w:after="0" w:line="258" w:lineRule="auto"/>
        <w:tabs>
          <w:tab w:leader="none" w:pos="601"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color w:val="auto"/>
        </w:rPr>
        <w:t>. Employee acknowledges that it is necessary and appropriate for the Company to protect its legitimate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75" w:lineRule="exact"/>
        <w:rPr>
          <w:rFonts w:ascii="Arial" w:cs="Arial" w:eastAsia="Arial" w:hAnsi="Arial"/>
          <w:sz w:val="18"/>
          <w:szCs w:val="18"/>
          <w:color w:val="auto"/>
        </w:rPr>
      </w:pPr>
    </w:p>
    <w:p>
      <w:pPr>
        <w:ind w:left="-20" w:right="80" w:firstLine="444"/>
        <w:spacing w:after="0" w:line="298" w:lineRule="auto"/>
        <w:tabs>
          <w:tab w:leader="none" w:pos="601" w:val="left"/>
        </w:tabs>
        <w:numPr>
          <w:ilvl w:val="0"/>
          <w:numId w:val="338"/>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No representation, promise, understanding, or warranty not set forth herein has been made or relied upon by either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making this Agreement. No modification, amendment or addition will be valid, unless set forth in writing and signed by the party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parties agree that the term of any prior confidentiality or restrictive covenants shall govern.</w:t>
      </w:r>
    </w:p>
    <w:p>
      <w:pPr>
        <w:spacing w:after="0" w:line="46" w:lineRule="exact"/>
        <w:rPr>
          <w:rFonts w:ascii="Arial" w:cs="Arial" w:eastAsia="Arial" w:hAnsi="Arial"/>
          <w:sz w:val="16"/>
          <w:szCs w:val="16"/>
          <w:color w:val="auto"/>
        </w:rPr>
      </w:pPr>
    </w:p>
    <w:p>
      <w:pPr>
        <w:ind w:left="-20" w:right="280" w:firstLine="444"/>
        <w:spacing w:after="0" w:line="266" w:lineRule="auto"/>
        <w:tabs>
          <w:tab w:leader="none" w:pos="601"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color w:val="auto"/>
        </w:rPr>
        <w:t>. Nothing in this Agreement shall be deemed to constitute a contract of employment for any given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Company and Employee shall be employment-at-will and either the Company or Employee may terminate it at any time for any reason without liability.</w:t>
      </w:r>
    </w:p>
    <w:p>
      <w:pPr>
        <w:spacing w:after="0" w:line="68" w:lineRule="exact"/>
        <w:rPr>
          <w:rFonts w:ascii="Arial" w:cs="Arial" w:eastAsia="Arial" w:hAnsi="Arial"/>
          <w:sz w:val="18"/>
          <w:szCs w:val="18"/>
          <w:color w:val="auto"/>
        </w:rPr>
      </w:pPr>
    </w:p>
    <w:p>
      <w:pPr>
        <w:ind w:left="600" w:hanging="176"/>
        <w:spacing w:after="0"/>
        <w:tabs>
          <w:tab w:leader="none" w:pos="60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Employment</w:t>
      </w:r>
      <w:r>
        <w:rPr>
          <w:rFonts w:ascii="Arial" w:cs="Arial" w:eastAsia="Arial" w:hAnsi="Arial"/>
          <w:sz w:val="18"/>
          <w:szCs w:val="18"/>
          <w:color w:val="auto"/>
        </w:rPr>
        <w:t>. In order to protect the Company’s rights under this Agreement, Employee agrees that:</w:t>
      </w:r>
    </w:p>
    <w:p>
      <w:pPr>
        <w:spacing w:after="0" w:line="121" w:lineRule="exact"/>
        <w:rPr>
          <w:rFonts w:ascii="Arial" w:cs="Arial" w:eastAsia="Arial" w:hAnsi="Arial"/>
          <w:sz w:val="18"/>
          <w:szCs w:val="18"/>
          <w:color w:val="auto"/>
        </w:rPr>
      </w:pPr>
    </w:p>
    <w:p>
      <w:pPr>
        <w:ind w:left="-20" w:right="60" w:firstLine="996"/>
        <w:spacing w:after="0" w:line="276" w:lineRule="auto"/>
        <w:tabs>
          <w:tab w:leader="none" w:pos="1217" w:val="left"/>
        </w:tabs>
        <w:numPr>
          <w:ilvl w:val="1"/>
          <w:numId w:val="338"/>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64" w:lineRule="exact"/>
        <w:rPr>
          <w:rFonts w:ascii="Arial" w:cs="Arial" w:eastAsia="Arial" w:hAnsi="Arial"/>
          <w:sz w:val="17"/>
          <w:szCs w:val="17"/>
          <w:color w:val="auto"/>
        </w:rPr>
      </w:pPr>
    </w:p>
    <w:p>
      <w:pPr>
        <w:jc w:val="both"/>
        <w:ind w:left="-20" w:right="80" w:firstLine="996"/>
        <w:spacing w:after="0" w:line="264" w:lineRule="auto"/>
        <w:tabs>
          <w:tab w:leader="none" w:pos="122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 month period after the termination of Employee’s employment.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411" w:name="page412"/>
    <w:bookmarkEnd w:id="411"/>
    <w:p>
      <w:pPr>
        <w:ind w:right="120" w:firstLine="444"/>
        <w:spacing w:after="0" w:line="277" w:lineRule="auto"/>
        <w:tabs>
          <w:tab w:leader="none" w:pos="711" w:val="left"/>
        </w:tabs>
        <w:numPr>
          <w:ilvl w:val="0"/>
          <w:numId w:val="33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Agreement</w:t>
      </w:r>
      <w:r>
        <w:rPr>
          <w:rFonts w:ascii="Arial" w:cs="Arial" w:eastAsia="Arial" w:hAnsi="Arial"/>
          <w:sz w:val="17"/>
          <w:szCs w:val="17"/>
          <w:color w:val="auto"/>
        </w:rPr>
        <w:t>. The Company may assign this Agreement, its rights, interests and remedies under this Agreement,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60" w:lineRule="exact"/>
        <w:rPr>
          <w:rFonts w:ascii="Arial" w:cs="Arial" w:eastAsia="Arial" w:hAnsi="Arial"/>
          <w:sz w:val="17"/>
          <w:szCs w:val="17"/>
          <w:color w:val="auto"/>
        </w:rPr>
      </w:pPr>
    </w:p>
    <w:p>
      <w:pPr>
        <w:jc w:val="both"/>
        <w:ind w:firstLine="444"/>
        <w:spacing w:after="0" w:line="289" w:lineRule="auto"/>
        <w:tabs>
          <w:tab w:leader="none" w:pos="704" w:val="left"/>
        </w:tabs>
        <w:numPr>
          <w:ilvl w:val="0"/>
          <w:numId w:val="339"/>
        </w:numPr>
        <w:rPr>
          <w:rFonts w:ascii="Arial" w:cs="Arial" w:eastAsia="Arial" w:hAnsi="Arial"/>
          <w:sz w:val="17"/>
          <w:szCs w:val="17"/>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color w:val="auto"/>
        </w:rPr>
        <w:t>. No failure or delay by any party to this Agreement in exercising any right, power or privilege hereunder,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50" w:lineRule="exact"/>
        <w:rPr>
          <w:rFonts w:ascii="Arial" w:cs="Arial" w:eastAsia="Arial" w:hAnsi="Arial"/>
          <w:sz w:val="17"/>
          <w:szCs w:val="17"/>
          <w:color w:val="auto"/>
        </w:rPr>
      </w:pPr>
    </w:p>
    <w:p>
      <w:pPr>
        <w:ind w:right="100" w:firstLine="444"/>
        <w:spacing w:after="0" w:line="282" w:lineRule="auto"/>
        <w:tabs>
          <w:tab w:leader="none" w:pos="711"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governed by and construed in accordance with the laws of the State of Illinois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w:t>
      </w:r>
    </w:p>
    <w:p>
      <w:pPr>
        <w:spacing w:after="0" w:line="53" w:lineRule="exact"/>
        <w:rPr>
          <w:rFonts w:ascii="Arial" w:cs="Arial" w:eastAsia="Arial" w:hAnsi="Arial"/>
          <w:sz w:val="18"/>
          <w:szCs w:val="18"/>
          <w:color w:val="auto"/>
        </w:rPr>
      </w:pPr>
    </w:p>
    <w:p>
      <w:pPr>
        <w:ind w:firstLine="444"/>
        <w:spacing w:after="0" w:line="258" w:lineRule="auto"/>
        <w:tabs>
          <w:tab w:leader="none" w:pos="711"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color w:val="auto"/>
        </w:rPr>
        <w:t>. The parties expressly consent to the exclusive jurisdiction of the state or federal courts of Illinois to resolve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75" w:lineRule="exact"/>
        <w:rPr>
          <w:rFonts w:ascii="Arial" w:cs="Arial" w:eastAsia="Arial" w:hAnsi="Arial"/>
          <w:sz w:val="18"/>
          <w:szCs w:val="18"/>
          <w:color w:val="auto"/>
        </w:rPr>
      </w:pPr>
    </w:p>
    <w:p>
      <w:pPr>
        <w:jc w:val="both"/>
        <w:ind w:firstLine="444"/>
        <w:spacing w:after="0" w:line="261" w:lineRule="auto"/>
        <w:tabs>
          <w:tab w:leader="none" w:pos="711"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&amp; Signatures</w:t>
      </w:r>
      <w:r>
        <w:rPr>
          <w:rFonts w:ascii="Arial" w:cs="Arial" w:eastAsia="Arial" w:hAnsi="Arial"/>
          <w:sz w:val="18"/>
          <w:szCs w:val="18"/>
          <w:color w:val="auto"/>
        </w:rPr>
        <w:t>. This Agreement may be executed in duplicate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71" w:lineRule="exact"/>
        <w:rPr>
          <w:rFonts w:ascii="Arial" w:cs="Arial" w:eastAsia="Arial" w:hAnsi="Arial"/>
          <w:sz w:val="18"/>
          <w:szCs w:val="18"/>
          <w:color w:val="auto"/>
        </w:rPr>
      </w:pPr>
    </w:p>
    <w:p>
      <w:pPr>
        <w:ind w:right="100" w:firstLine="444"/>
        <w:spacing w:after="0" w:line="274" w:lineRule="auto"/>
        <w:tabs>
          <w:tab w:leader="none" w:pos="711" w:val="left"/>
        </w:tabs>
        <w:numPr>
          <w:ilvl w:val="0"/>
          <w:numId w:val="33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Immunity</w:t>
      </w:r>
      <w:r>
        <w:rPr>
          <w:rFonts w:ascii="Arial" w:cs="Arial" w:eastAsia="Arial" w:hAnsi="Arial"/>
          <w:sz w:val="17"/>
          <w:szCs w:val="17"/>
          <w:color w:val="auto"/>
        </w:rPr>
        <w:t>. Employee understands that nothing in this Agreement is intended to prohibit Employee from disclosing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 reporting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412" w:name="page413"/>
    <w:bookmarkEnd w:id="41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75" w:lineRule="exact"/>
        <w:rPr>
          <w:sz w:val="20"/>
          <w:szCs w:val="20"/>
          <w:color w:val="auto"/>
        </w:rPr>
      </w:pPr>
    </w:p>
    <w:p>
      <w:pPr>
        <w:ind w:right="60" w:firstLine="444"/>
        <w:spacing w:after="0" w:line="272" w:lineRule="auto"/>
        <w:tabs>
          <w:tab w:leader="none" w:pos="711" w:val="left"/>
        </w:tabs>
        <w:numPr>
          <w:ilvl w:val="0"/>
          <w:numId w:val="340"/>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the Company Property</w:t>
      </w:r>
      <w:r>
        <w:rPr>
          <w:rFonts w:ascii="Arial" w:cs="Arial" w:eastAsia="Arial" w:hAnsi="Arial"/>
          <w:sz w:val="17"/>
          <w:szCs w:val="17"/>
          <w:color w:val="auto"/>
        </w:rPr>
        <w:t>. At the request of the Company (or, without any request, upon termination of my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444"/>
        <w:spacing w:after="0" w:line="272" w:lineRule="auto"/>
        <w:tabs>
          <w:tab w:leader="none" w:pos="711" w:val="left"/>
        </w:tabs>
        <w:numPr>
          <w:ilvl w:val="0"/>
          <w:numId w:val="340"/>
        </w:numPr>
        <w:rPr>
          <w:rFonts w:ascii="Arial" w:cs="Arial" w:eastAsia="Arial" w:hAnsi="Arial"/>
          <w:sz w:val="17"/>
          <w:szCs w:val="17"/>
          <w:color w:val="auto"/>
        </w:rPr>
      </w:pPr>
      <w:r>
        <w:rPr>
          <w:rFonts w:ascii="Arial" w:cs="Arial" w:eastAsia="Arial" w:hAnsi="Arial"/>
          <w:sz w:val="17"/>
          <w:szCs w:val="17"/>
          <w:b w:val="1"/>
          <w:bCs w:val="1"/>
          <w:u w:val="single" w:color="auto"/>
          <w:color w:val="auto"/>
        </w:rPr>
        <w:t>Promotional Materials</w:t>
      </w:r>
      <w:r>
        <w:rPr>
          <w:rFonts w:ascii="Arial" w:cs="Arial" w:eastAsia="Arial" w:hAnsi="Arial"/>
          <w:sz w:val="17"/>
          <w:szCs w:val="17"/>
          <w:color w:val="auto"/>
        </w:rPr>
        <w:t>. Employee authorizes and consents to, during the term of Employee’s employment with the Company, the creation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64" w:lineRule="exact"/>
        <w:rPr>
          <w:rFonts w:ascii="Arial" w:cs="Arial" w:eastAsia="Arial" w:hAnsi="Arial"/>
          <w:sz w:val="17"/>
          <w:szCs w:val="17"/>
          <w:color w:val="auto"/>
        </w:rPr>
      </w:pPr>
    </w:p>
    <w:p>
      <w:pPr>
        <w:ind w:left="720" w:hanging="276"/>
        <w:spacing w:after="0"/>
        <w:tabs>
          <w:tab w:leader="none" w:pos="720" w:val="left"/>
        </w:tabs>
        <w:numPr>
          <w:ilvl w:val="0"/>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t>Fair Meaning</w:t>
      </w:r>
      <w:r>
        <w:rPr>
          <w:rFonts w:ascii="Arial" w:cs="Arial" w:eastAsia="Arial" w:hAnsi="Arial"/>
          <w:sz w:val="16"/>
          <w:szCs w:val="16"/>
          <w:color w:val="auto"/>
        </w:rPr>
        <w:t>. The language of this Agreement shall be construed as a whole, according to its fair meaning, and not strictly for or against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98" w:lineRule="exact"/>
        <w:rPr>
          <w:rFonts w:ascii="Arial" w:cs="Arial" w:eastAsia="Arial" w:hAnsi="Arial"/>
          <w:sz w:val="16"/>
          <w:szCs w:val="16"/>
          <w:color w:val="auto"/>
        </w:rPr>
      </w:pPr>
    </w:p>
    <w:p>
      <w:pPr>
        <w:ind w:right="60" w:firstLine="444"/>
        <w:spacing w:after="0" w:line="273" w:lineRule="auto"/>
        <w:tabs>
          <w:tab w:leader="none" w:pos="711"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Consideration</w:t>
      </w:r>
      <w:r>
        <w:rPr>
          <w:rFonts w:ascii="Arial" w:cs="Arial" w:eastAsia="Arial" w:hAnsi="Arial"/>
          <w:sz w:val="17"/>
          <w:szCs w:val="17"/>
          <w:b w:val="1"/>
          <w:bCs w:val="1"/>
          <w:color w:val="auto"/>
        </w:rPr>
        <w:t>.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initialing below, Employee specifically acknowledges that Employee has read, understands and agrees to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6327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initials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executing this Agreement below, the parties confirm they have read, understood, and voluntarily agreed to be bound by the entire Agreement.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5"/>
          <w:szCs w:val="15"/>
          <w:color w:val="auto"/>
        </w:rPr>
        <w:t>Stephan Pace</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Stephan Pace</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tab/>
        <w:t>August 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7"/>
          <w:szCs w:val="17"/>
          <w:color w:val="auto"/>
        </w:rPr>
        <w:t>V. Lance Mitchell</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V. Lance Mitchell</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tab/>
        <w:t>August 2, 2019</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69" w:right="559" w:bottom="1440" w:gutter="0" w:footer="0" w:header="0"/>
        </w:sectPr>
      </w:pPr>
    </w:p>
    <w:bookmarkStart w:id="414" w:name="page415"/>
    <w:bookmarkEnd w:id="414"/>
    <w:p>
      <w:pPr>
        <w:jc w:val="center"/>
        <w:ind w:right="-88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u w:val="single" w:color="auto"/>
          <w:color w:val="auto"/>
        </w:rPr>
        <w:t>RCP Competitors</w:t>
      </w:r>
    </w:p>
    <w:p>
      <w:pPr>
        <w:spacing w:after="0" w:line="135" w:lineRule="exact"/>
        <w:rPr>
          <w:sz w:val="20"/>
          <w:szCs w:val="20"/>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Clorox Company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S.C. Johnson &amp; Sons, Inc.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Trinidad Benham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Dart Container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Handi-foil Corporation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Durable Packaging, International</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Solo Cup Company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Novellis</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Georgia Pacific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Huhtamaki</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Newell/Rubbermaid</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Jarden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Waddington</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CuBe</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Poly-America, Inc.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Inteplast Group, Ltd.</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Waste Zero</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Petoskey</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Multibax</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King Pac Industrial</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Sunkor</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Threestone Packing</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Bagmart Packaging</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Thantawan</w:t>
      </w:r>
    </w:p>
    <w:p>
      <w:pPr>
        <w:spacing w:after="0" w:line="158" w:lineRule="exact"/>
        <w:rPr>
          <w:sz w:val="20"/>
          <w:szCs w:val="20"/>
          <w:color w:val="auto"/>
        </w:rPr>
      </w:pPr>
    </w:p>
    <w:p>
      <w:pPr>
        <w:ind w:left="5308"/>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7"/>
          </w:cols>
          <w:pgMar w:left="552" w:top="270" w:right="1440" w:bottom="1440" w:gutter="0" w:footer="0" w:header="0"/>
        </w:sectPr>
      </w:pPr>
    </w:p>
    <w:bookmarkStart w:id="415" w:name="page416"/>
    <w:bookmarkEnd w:id="4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List of Confidential or Proprietary Information Belonging to Others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0" w:right="1440"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Prior Inventions or Improvements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270" w:right="1440"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5746115" cy="7975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July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Lance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Reynolds Consumer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Lance: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have discussed, a critical component of our ongoing business strategy for Reynolds Consumer Products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 In light of this, we are offering you a special Transaction Success bonus (“Bonus”) that will become payable if a successful IPO is concluded or if there is a sale of the business by June 30, 2020.</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an IPO transaction is completed, your potential bonus will be $1,782,500. Fifty percent (50%) of this bonus ($891,250) will be paid to you 30 days after the effective date of an IPO, so long as you do not voluntarily leave your employment with the succeeding entity during that time. You will be paid the remaining fifty percent (50%) of this bonus six (6) months after the effective date of an IPO,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a sales transaction is completed, your potential bonus will be $3,565,000. Fifty percent (50%) of this bonus ($1,782,500) will be paid to you 30 days after the closing date of a sale, so long as you do not voluntarily leave your employment with the succeeding entity during that time. You will be paid the remaining fifty percent (50%) of this bonus six (6) months after the closing date,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of the significance of this strategic effort, and given that you are one of a select group of employees to be offered this opportunity, it is of utmost importance that you keep this offer and all its terms entirely confidential.</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Thank you for your willingness to assist the team during this endeavor and for your help in ensuring the success of this very important process for Reynolds Consumer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Steve Estes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Estes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HR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Rank Group</w:t>
      </w:r>
    </w:p>
    <w:p>
      <w:pPr>
        <w:sectPr>
          <w:pgSz w:w="11900" w:h="16838" w:orient="portrait"/>
          <w:cols w:equalWidth="0" w:num="1">
            <w:col w:w="11020"/>
          </w:cols>
          <w:pgMar w:left="440" w:top="121" w:right="4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5746115" cy="797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July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CFO, Reynolds Consumer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have discussed, a critical component of our ongoing business strategy for Reynolds Consumer Products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 In light of this, we are offering you a special Transaction Success bonus (“Bonus”) that will become payable if a successful IPO is concluded or if there is a sale of the business by June 30, 2020.</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an IPO transaction is completed, your potential bonus will be $798,716. Fifty percent (50%) of this bonus ($399,358) will be paid to you 30 days after the effective date of an IPO, so long as you do not voluntarily leave your employment with the succeeding entity during that time. You will be paid the remaining fifty percent (50%) of this bonus six (6) months after the effective date of an IPO,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7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If a sales transaction is completed, your potential bonus will be $1,198,074. Fifty percent (50%) of this bonus ($599,037) will be paid to you 30 days after the effective closing date of a sale, so long as you do not voluntarily leave your employment with the succeeding entity during that time. You will be paid the remaining fifty percent (50%) of this bonus six (6) months after the closing date,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of the significance of this strategic effort, and given that you are one of a select group of employees to be offered this opportunity, it is of utmost importance that you keep this offer and all its terms entirely confidential.</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Thank you for your willingness to assist the team during this endeavor and for your help in ensuring the success of this very important process for Reynolds Consumer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Lance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Lance Mitchell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w:t>
      </w:r>
    </w:p>
    <w:p>
      <w:pPr>
        <w:sectPr>
          <w:pgSz w:w="11900" w:h="16838" w:orient="portrait"/>
          <w:cols w:equalWidth="0" w:num="1">
            <w:col w:w="11020"/>
          </w:cols>
          <w:pgMar w:left="440" w:top="121" w:right="4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5746115" cy="7975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July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Craig Cappel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Reynolds Foil &amp; Cooking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Craig:</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have discussed, a critical component of our ongoing business strategy for Reynolds Consumer Products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 In light of this, we are offering you a special Transaction Success bonus (“Bonus”) that will become payable if a successful IPO is concluded or if there is a sale of the business by June 30, 2020.</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an IPO transaction is completed, your potential bonus will be $463,500. Fifty percent (50%) of this bonus ($231,750) will be paid to you 30 days after the effective date of an IPO, so long as you do not voluntarily leave your employment with the succeeding entity during that time. You will be paid the remaining fifty percent (50%) of this bonus six (6) months after the effective date of an IPO,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a sales transaction is completed, your potential bonus will be $695,250. Fifty percent (50%) of this bonus ($347,625) will be paid to you 30 days after the effective closing date of a sale, so long as you do not voluntarily leave your employment with the succeeding entity during that time. You will be paid the remaining fifty percent (50%) of this bonus six (6) months after the closing date,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of the significance of this strategic effort, and given that you are one of a select group of employees to be offered this opportunity, it is of utmost importance that you keep this offer and all its terms entirely confidential.</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Thank you for your willingness to assist the team during this endeavor and for your help in ensuring the success of this very important process for Reynolds Consumer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Lance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Lance Mitchell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w:t>
      </w:r>
    </w:p>
    <w:p>
      <w:pPr>
        <w:sectPr>
          <w:pgSz w:w="11900" w:h="16838" w:orient="portrait"/>
          <w:cols w:equalWidth="0" w:num="1">
            <w:col w:w="11020"/>
          </w:cols>
          <w:pgMar w:left="440" w:top="121" w:right="4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5746115" cy="7975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July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Stephan Pace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Walmart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have discussed, a critical component of our ongoing business strategy for Reynolds Consumer Products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 In light of this, we are offering you a special Transaction Success bonus (“Bonus”) that will become payable if a successful IPO is concluded or if there is a sale of the business by June 30, 2020.</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transaction is completed, your potential bonus will be $450,204. Fifty percent (50%) of this bonus ($225,102) will be paid to you 30 days after the effective date of an IPO or the closing date of a sale, so long as you do not voluntarily leave your employment with the succeeding entity during that time. You will be paid the remaining fifty percent (50%) of this bonus six (6) months after the effective date of an IPO or the closing date,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of the significance of this strategic effort, and given that you are one of a select group of employees to be offered this opportunity, it is of utmost importance that you keep this offer and all its terms entirely confidential.</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Thank you for your willingness to assist the team during this endeavor and for your help in ensuring the success of this very important process for Reynolds Consumer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Lance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Lance Mitchell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w:t>
      </w:r>
    </w:p>
    <w:p>
      <w:pPr>
        <w:sectPr>
          <w:pgSz w:w="11900" w:h="16838" w:orient="portrait"/>
          <w:cols w:equalWidth="0" w:num="1">
            <w:col w:w="11020"/>
          </w:cols>
          <w:pgMar w:left="440" w:top="121" w:right="4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6"/>
          <w:szCs w:val="16"/>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5746115" cy="797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LANCE MITCHELL</w:t>
      </w:r>
    </w:p>
    <w:p>
      <w:pPr>
        <w:spacing w:after="0" w:line="200" w:lineRule="exact"/>
        <w:rPr>
          <w:sz w:val="20"/>
          <w:szCs w:val="20"/>
          <w:color w:val="auto"/>
        </w:rPr>
      </w:pPr>
    </w:p>
    <w:p>
      <w:pPr>
        <w:sectPr>
          <w:pgSz w:w="11900" w:h="16838" w:orient="portrait"/>
          <w:cols w:equalWidth="0" w:num="2">
            <w:col w:w="400" w:space="72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STEVE ESTES</w:t>
      </w:r>
    </w:p>
    <w:p>
      <w:pPr>
        <w:spacing w:after="0" w:line="211" w:lineRule="exact"/>
        <w:rPr>
          <w:sz w:val="20"/>
          <w:szCs w:val="20"/>
          <w:color w:val="auto"/>
        </w:rPr>
      </w:pPr>
    </w:p>
    <w:p>
      <w:pPr>
        <w:sectPr>
          <w:pgSz w:w="11900" w:h="16838" w:orient="portrait"/>
          <w:cols w:equalWidth="0" w:num="2">
            <w:col w:w="560" w:space="56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JULY 8, 2019</w:t>
      </w:r>
    </w:p>
    <w:p>
      <w:pPr>
        <w:spacing w:after="0" w:line="211" w:lineRule="exact"/>
        <w:rPr>
          <w:sz w:val="20"/>
          <w:szCs w:val="20"/>
          <w:color w:val="auto"/>
        </w:rPr>
      </w:pPr>
    </w:p>
    <w:p>
      <w:pPr>
        <w:sectPr>
          <w:pgSz w:w="11900" w:h="16838" w:orient="portrait"/>
          <w:cols w:equalWidth="0" w:num="2">
            <w:col w:w="520" w:space="60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PLANNED ISSUANCE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193675</wp:posOffset>
            </wp:positionV>
            <wp:extent cx="699770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320"/>
            <w:col w:w="9900"/>
          </w:cols>
          <w:pgMar w:left="440" w:top="121" w:right="439" w:bottom="1440" w:gutter="0" w:footer="0" w:header="0"/>
          <w:type w:val="continuous"/>
        </w:sectPr>
      </w:pPr>
    </w:p>
    <w:p>
      <w:pPr>
        <w:spacing w:after="0" w:line="3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we have discussed, a critical component of our ongoing business strategy for Reynolds Consumer Products LLC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IPO is successful, the company whose shares are registered in the IPO will issue you Restricted Stock at the completion of the IPO. The number of shares in this grant equals $1,550,000 divided by the IPO price as of the date of the grant, rounded to the nearest whole share. Vesting for the restricted stock will occur over a 3-year period with 1/3 vesting after 12-months from the successful IPO; 1/3 vesting after 24-months from the successful IPO; and, 1/3 vesting after 36-months from the successful IPO. You must be an employee of the Company or one of its affiliates on the applicable vesting date to receive such shares.</w:t>
      </w:r>
    </w:p>
    <w:p>
      <w:pPr>
        <w:spacing w:after="0" w:line="18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Should there be a business sale instead of an IPO, you will receive $1,550,000 in cash in lieu of Restricted Stock. For purposes hereof, a business sale means a sale of all or substantially all of the assets of the Company or a sale of more than 50% of the equity of the Company or such entity. This cash payment will be made in the following manner:</w:t>
      </w: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30-days post-closing of the sale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180-days post-closing of the sale</w:t>
      </w:r>
    </w:p>
    <w:p>
      <w:pPr>
        <w:spacing w:after="0" w:line="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memo does not change your status as an “at-will” employee and does not guarantee your employment for any specific period of time. The Company reserves the right to terminate you at any time and for any or no reason. Any Restricted Stock issued or cash payment made pursuant to this memo shall be subject to regular tax withholdings and other authorized deductions and will not be treated as compensation for any purpose under any benefit plans or programs, unless statutorily required.</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memo is provided to summarize the agreement that has been reached in this regard between the Company and the employee. Should an IPO be completed, a formal grant letter for the Restricted Stock will be provided to the employee that documents all terms and conditions related to the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Steve Estes</w:t>
      </w:r>
    </w:p>
    <w:p>
      <w:pPr>
        <w:sectPr>
          <w:pgSz w:w="11900" w:h="16838" w:orient="portrait"/>
          <w:cols w:equalWidth="0" w:num="1">
            <w:col w:w="11020"/>
          </w:cols>
          <w:pgMar w:left="440" w:top="121" w:right="439" w:bottom="1440" w:gutter="0" w:footer="0" w:header="0"/>
          <w:type w:val="continuous"/>
        </w:sectPr>
      </w:pPr>
    </w:p>
    <w:bookmarkStart w:id="422" w:name="page423"/>
    <w:bookmarkEnd w:id="422"/>
    <w:p>
      <w:pPr>
        <w:jc w:val="right"/>
        <w:spacing w:after="0"/>
        <w:rPr>
          <w:sz w:val="20"/>
          <w:szCs w:val="20"/>
          <w:color w:val="auto"/>
        </w:rPr>
      </w:pPr>
      <w:r>
        <w:rPr>
          <w:rFonts w:ascii="Arial" w:cs="Arial" w:eastAsia="Arial" w:hAnsi="Arial"/>
          <w:sz w:val="16"/>
          <w:szCs w:val="16"/>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5746115" cy="7975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MICHAEL GRAHAM</w:t>
      </w:r>
    </w:p>
    <w:p>
      <w:pPr>
        <w:spacing w:after="0" w:line="200" w:lineRule="exact"/>
        <w:rPr>
          <w:sz w:val="20"/>
          <w:szCs w:val="20"/>
          <w:color w:val="auto"/>
        </w:rPr>
      </w:pPr>
    </w:p>
    <w:p>
      <w:pPr>
        <w:sectPr>
          <w:pgSz w:w="11900" w:h="16838" w:orient="portrait"/>
          <w:cols w:equalWidth="0" w:num="2">
            <w:col w:w="400" w:space="720"/>
            <w:col w:w="9900"/>
          </w:cols>
          <w:pgMar w:left="440" w:top="121"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STEVE ESTES</w:t>
      </w:r>
    </w:p>
    <w:p>
      <w:pPr>
        <w:spacing w:after="0" w:line="211" w:lineRule="exact"/>
        <w:rPr>
          <w:sz w:val="20"/>
          <w:szCs w:val="20"/>
          <w:color w:val="auto"/>
        </w:rPr>
      </w:pPr>
    </w:p>
    <w:p>
      <w:pPr>
        <w:sectPr>
          <w:pgSz w:w="11900" w:h="16838" w:orient="portrait"/>
          <w:cols w:equalWidth="0" w:num="2">
            <w:col w:w="560" w:space="56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JULY 8, 2019</w:t>
      </w:r>
    </w:p>
    <w:p>
      <w:pPr>
        <w:spacing w:after="0" w:line="211" w:lineRule="exact"/>
        <w:rPr>
          <w:sz w:val="20"/>
          <w:szCs w:val="20"/>
          <w:color w:val="auto"/>
        </w:rPr>
      </w:pPr>
    </w:p>
    <w:p>
      <w:pPr>
        <w:sectPr>
          <w:pgSz w:w="11900" w:h="16838" w:orient="portrait"/>
          <w:cols w:equalWidth="0" w:num="2">
            <w:col w:w="520" w:space="60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PLANNED ISSUANCE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193675</wp:posOffset>
            </wp:positionV>
            <wp:extent cx="699770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320"/>
            <w:col w:w="9900"/>
          </w:cols>
          <w:pgMar w:left="440" w:top="121" w:right="439" w:bottom="1440" w:gutter="0" w:footer="0" w:header="0"/>
          <w:type w:val="continuous"/>
        </w:sectPr>
      </w:pPr>
    </w:p>
    <w:p>
      <w:pPr>
        <w:spacing w:after="0" w:line="3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we have discussed, a critical component of our ongoing business strategy for Reynolds Consumer Products LLC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IPO is successful, the company whose shares are registered in the IPO will issue you Restricted Stock at the completion of the IPO. The number of shares in this grant equals $399,358 divided by the IPO price as of the date of the grant, rounded to the nearest whole share. Vesting for the restricted stock will occur over a 3-year period with 1/3 vesting after 12-months from the successful IPO; 1/3 vesting after 24-months from the successful IPO; and, 1/3 vesting after 36-months from the successful IPO. You must be an employee of the Company or one of its affiliates on the applicable vesting date to receive such shares.</w:t>
      </w:r>
    </w:p>
    <w:p>
      <w:pPr>
        <w:spacing w:after="0" w:line="18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Should there be a business sale instead of an IPO, you will receive $399,358 in cash in lieu of Restricted Stock. For purposes hereof, a business sale means a sale of all or substantially all of the assets of the Company or a sale of more than 50% of the equity of the Company or such entity. This cash payment will be made in the following manner:</w:t>
      </w: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30-days post-closing of the sale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180-days post-closing of the sale</w:t>
      </w:r>
    </w:p>
    <w:p>
      <w:pPr>
        <w:spacing w:after="0" w:line="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memo does not change your status as an “at-will” employee and does not guarantee your employment for any specific period of time. The Company reserves the right to terminate you at any time and for any or no reason. Any Restricted Stock issued or cash payment made pursuant to this memo shall be subject to regular tax withholdings and other authorized deductions and will not be treated as compensation for any purpose under any benefit plans or programs, unless statutorily required.</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memo is provided to summarize the agreement that has been reached in this regard between the Company and the employee. Should an IPO be completed, a formal grant letter for the Restricted Stock will be provided to the employee that documents all terms and conditions related to the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Steve Estes</w:t>
      </w:r>
    </w:p>
    <w:p>
      <w:pPr>
        <w:sectPr>
          <w:pgSz w:w="11900" w:h="16838" w:orient="portrait"/>
          <w:cols w:equalWidth="0" w:num="1">
            <w:col w:w="11020"/>
          </w:cols>
          <w:pgMar w:left="440" w:top="121" w:right="439" w:bottom="1440" w:gutter="0" w:footer="0" w:header="0"/>
          <w:type w:val="continuous"/>
        </w:sectPr>
      </w:pPr>
    </w:p>
    <w:bookmarkStart w:id="423" w:name="page424"/>
    <w:bookmarkEnd w:id="423"/>
    <w:p>
      <w:pPr>
        <w:jc w:val="right"/>
        <w:spacing w:after="0"/>
        <w:rPr>
          <w:sz w:val="20"/>
          <w:szCs w:val="20"/>
          <w:color w:val="auto"/>
        </w:rPr>
      </w:pPr>
      <w:r>
        <w:rPr>
          <w:rFonts w:ascii="Arial" w:cs="Arial" w:eastAsia="Arial" w:hAnsi="Arial"/>
          <w:sz w:val="16"/>
          <w:szCs w:val="16"/>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5746115" cy="7975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CRAIG CAPPEL</w:t>
      </w:r>
    </w:p>
    <w:p>
      <w:pPr>
        <w:spacing w:after="0" w:line="200" w:lineRule="exact"/>
        <w:rPr>
          <w:sz w:val="20"/>
          <w:szCs w:val="20"/>
          <w:color w:val="auto"/>
        </w:rPr>
      </w:pPr>
    </w:p>
    <w:p>
      <w:pPr>
        <w:sectPr>
          <w:pgSz w:w="11900" w:h="16838" w:orient="portrait"/>
          <w:cols w:equalWidth="0" w:num="2">
            <w:col w:w="400" w:space="72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STEVE ESTES</w:t>
      </w:r>
    </w:p>
    <w:p>
      <w:pPr>
        <w:spacing w:after="0" w:line="211" w:lineRule="exact"/>
        <w:rPr>
          <w:sz w:val="20"/>
          <w:szCs w:val="20"/>
          <w:color w:val="auto"/>
        </w:rPr>
      </w:pPr>
    </w:p>
    <w:p>
      <w:pPr>
        <w:sectPr>
          <w:pgSz w:w="11900" w:h="16838" w:orient="portrait"/>
          <w:cols w:equalWidth="0" w:num="2">
            <w:col w:w="560" w:space="56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JULY 8, 2019</w:t>
      </w:r>
    </w:p>
    <w:p>
      <w:pPr>
        <w:spacing w:after="0" w:line="211" w:lineRule="exact"/>
        <w:rPr>
          <w:sz w:val="20"/>
          <w:szCs w:val="20"/>
          <w:color w:val="auto"/>
        </w:rPr>
      </w:pPr>
    </w:p>
    <w:p>
      <w:pPr>
        <w:sectPr>
          <w:pgSz w:w="11900" w:h="16838" w:orient="portrait"/>
          <w:cols w:equalWidth="0" w:num="2">
            <w:col w:w="520" w:space="60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PLANNED ISSUANCE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193675</wp:posOffset>
            </wp:positionV>
            <wp:extent cx="699770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320"/>
            <w:col w:w="9900"/>
          </w:cols>
          <w:pgMar w:left="440" w:top="121" w:right="439" w:bottom="1440" w:gutter="0" w:footer="0" w:header="0"/>
          <w:type w:val="continuous"/>
        </w:sectPr>
      </w:pPr>
    </w:p>
    <w:p>
      <w:pPr>
        <w:spacing w:after="0" w:line="3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we have discussed, a critical component of our ongoing business strategy for Reynolds Consumer Products LLC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IPO is successful, the company whose shares are registered in the IPO will issue you Restricted Stock at the completion of the IPO. The number of shares in this grant equals $231,750 divided by the IPO price as of the date of the grant, rounded to the nearest whole share. Vesting for the restricted stock will occur over a 3-year period with 1/3 vesting after 12-months from the successful IPO; 1/3 vesting after 24-months from the successful IPO; and, 1/3 vesting after 36-months from the successful IPO. You must be an employee of the Company or one of its affiliates on the applicable vesting date to receive such shares.</w:t>
      </w:r>
    </w:p>
    <w:p>
      <w:pPr>
        <w:spacing w:after="0" w:line="18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Should there be a business sale instead of an IPO, you will receive $231,750 in cash in lieu of Restricted Stock. For purposes hereof, a business sale means a sale of all or substantially all of the assets of the Company or a sale of more than 50% of the equity of the Company or such entity. This cash payment will be made in the following manner:</w:t>
      </w: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30-days post-closing of the sale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180-days post-closing of the sale</w:t>
      </w:r>
    </w:p>
    <w:p>
      <w:pPr>
        <w:spacing w:after="0" w:line="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memo does not change your status as an “at-will” employee and does not guarantee your employment for any specific period of time. The Company reserves the right to terminate you at any time and for any or no reason. Any Restricted Stock issued or cash payment made pursuant to this memo shall be subject to regular tax withholdings and other authorized deductions and will not be treated as compensation for any purpose under any benefit plans or programs, unless statutorily required.</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memo is provided to summarize the agreement that has been reached in this regard between the Company and the employee. Should an IPO be completed, a formal grant letter for the Restricted Stock will be provided to the employee that documents all terms and conditions related to the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Steve Estes</w:t>
      </w:r>
    </w:p>
    <w:p>
      <w:pPr>
        <w:sectPr>
          <w:pgSz w:w="11900" w:h="16838" w:orient="portrait"/>
          <w:cols w:equalWidth="0" w:num="1">
            <w:col w:w="11020"/>
          </w:cols>
          <w:pgMar w:left="440" w:top="121" w:right="439" w:bottom="1440" w:gutter="0" w:footer="0" w:header="0"/>
          <w:type w:val="continuous"/>
        </w:sectPr>
      </w:pPr>
    </w:p>
    <w:bookmarkStart w:id="424" w:name="page425"/>
    <w:bookmarkEnd w:id="424"/>
    <w:p>
      <w:pPr>
        <w:jc w:val="right"/>
        <w:spacing w:after="0"/>
        <w:rPr>
          <w:sz w:val="20"/>
          <w:szCs w:val="20"/>
          <w:color w:val="auto"/>
        </w:rPr>
      </w:pPr>
      <w:r>
        <w:rPr>
          <w:rFonts w:ascii="Arial" w:cs="Arial" w:eastAsia="Arial" w:hAnsi="Arial"/>
          <w:sz w:val="16"/>
          <w:szCs w:val="16"/>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5746115" cy="7975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746115" cy="79756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STEPHAN PACE</w:t>
      </w:r>
    </w:p>
    <w:p>
      <w:pPr>
        <w:spacing w:after="0" w:line="211" w:lineRule="exact"/>
        <w:rPr>
          <w:sz w:val="20"/>
          <w:szCs w:val="20"/>
          <w:color w:val="auto"/>
        </w:rPr>
      </w:pPr>
    </w:p>
    <w:p>
      <w:pPr>
        <w:sectPr>
          <w:pgSz w:w="11900" w:h="16838" w:orient="portrait"/>
          <w:cols w:equalWidth="0" w:num="2">
            <w:col w:w="400" w:space="72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STEVE ESTES</w:t>
      </w:r>
    </w:p>
    <w:p>
      <w:pPr>
        <w:spacing w:after="0" w:line="211" w:lineRule="exact"/>
        <w:rPr>
          <w:sz w:val="20"/>
          <w:szCs w:val="20"/>
          <w:color w:val="auto"/>
        </w:rPr>
      </w:pPr>
    </w:p>
    <w:p>
      <w:pPr>
        <w:sectPr>
          <w:pgSz w:w="11900" w:h="16838" w:orient="portrait"/>
          <w:cols w:equalWidth="0" w:num="2">
            <w:col w:w="560" w:space="56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JULY 8, 2019</w:t>
      </w:r>
    </w:p>
    <w:p>
      <w:pPr>
        <w:spacing w:after="0" w:line="211" w:lineRule="exact"/>
        <w:rPr>
          <w:sz w:val="20"/>
          <w:szCs w:val="20"/>
          <w:color w:val="auto"/>
        </w:rPr>
      </w:pPr>
    </w:p>
    <w:p>
      <w:pPr>
        <w:sectPr>
          <w:pgSz w:w="11900" w:h="16838" w:orient="portrait"/>
          <w:cols w:equalWidth="0" w:num="2">
            <w:col w:w="520" w:space="600"/>
            <w:col w:w="990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PLANNED ISSUANCE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193675</wp:posOffset>
            </wp:positionV>
            <wp:extent cx="699770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320"/>
            <w:col w:w="9900"/>
          </w:cols>
          <w:pgMar w:left="440" w:top="121" w:right="439" w:bottom="1440" w:gutter="0" w:footer="0" w:header="0"/>
          <w:type w:val="continuous"/>
        </w:sectPr>
      </w:pPr>
    </w:p>
    <w:p>
      <w:pPr>
        <w:spacing w:after="0" w:line="3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we have discussed, a critical component of our ongoing business strategy for Reynolds Consumer Products LLC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IPO is successful, the company whose shares are registered in the IPO will issue you Restricted Stock at the completion of the IPO. The number of shares in this grant equals $225,102 divided by the IPO price as of the date of the grant, rounded to the nearest whole share. Vesting for the restricted stock will occur over a 3-year period with 1/3 vesting after 12-months from the successful IPO; 1/3 vesting after 24-months from the successful IPO; and, 1/3 vesting after 36-months from the successful IPO. You must be an employee of the Company or one of its affiliates on the applicable vesting date to receive such shares.</w:t>
      </w:r>
    </w:p>
    <w:p>
      <w:pPr>
        <w:spacing w:after="0" w:line="18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Should there be a business sale instead of an IPO, you will receive $225,102 in cash in lieu of Restricted Stock. For purposes hereof, a business sale means a sale of all or substantially all of the assets of the Company or a sale of more than 50% of the equity of the Company or such entity. This cash payment will be made in the following manner:</w:t>
      </w: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30-days post-closing of the sale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Payable 180-days post-closing of the sale</w:t>
      </w:r>
    </w:p>
    <w:p>
      <w:pPr>
        <w:spacing w:after="0" w:line="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memo does not change your status as an “at-will” employee and does not guarantee your employment for any specific period of time. The Company reserves the right to terminate you at any time and for any or no reason. Any Restricted Stock issued or cash payment made pursuant to this memo shall be subject to regular tax withholdings and other authorized deductions and will not be treated as compensation for any purpose under any benefit plans or programs, unless statutorily required.</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memo is provided to summarize the agreement that has been reached in this regard between the Company and the employee. Should an IPO be completed, a formal grant letter for the Restricted Stock will be provided to the employee that documents all terms and conditions related to the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Steve Estes</w:t>
      </w:r>
    </w:p>
    <w:p>
      <w:pPr>
        <w:sectPr>
          <w:pgSz w:w="11900" w:h="16838" w:orient="portrait"/>
          <w:cols w:equalWidth="0" w:num="1">
            <w:col w:w="11020"/>
          </w:cols>
          <w:pgMar w:left="440" w:top="121" w:right="439" w:bottom="1440" w:gutter="0" w:footer="0" w:header="0"/>
          <w:type w:val="continuous"/>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SUPPLY AGREEMENT</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MASTER SUPPLY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November 1,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REYNOLDS CONSUMER PRODUCTS LLC</w:t>
      </w:r>
      <w:r>
        <w:rPr>
          <w:rFonts w:ascii="Arial" w:cs="Arial" w:eastAsia="Arial" w:hAnsi="Arial"/>
          <w:sz w:val="18"/>
          <w:szCs w:val="18"/>
          <w:color w:val="auto"/>
        </w:rPr>
        <w:t>, a Delaware limited liability company with its headquarters at 1900 West Field Court, Lake Forest, IL 60045 (“</w:t>
      </w:r>
      <w:r>
        <w:rPr>
          <w:rFonts w:ascii="Arial" w:cs="Arial" w:eastAsia="Arial" w:hAnsi="Arial"/>
          <w:sz w:val="18"/>
          <w:szCs w:val="18"/>
          <w:u w:val="single" w:color="auto"/>
          <w:color w:val="auto"/>
        </w:rPr>
        <w:t>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PACTIV LLC</w:t>
      </w:r>
      <w:r>
        <w:rPr>
          <w:rFonts w:ascii="Arial" w:cs="Arial" w:eastAsia="Arial" w:hAnsi="Arial"/>
          <w:sz w:val="18"/>
          <w:szCs w:val="18"/>
          <w:color w:val="auto"/>
        </w:rPr>
        <w:t>, a Delaware limited liability company with its headquarters at 1900 West Field Court, Lake Forest, IL 60045 (“</w:t>
      </w:r>
      <w:r>
        <w:rPr>
          <w:rFonts w:ascii="Arial" w:cs="Arial" w:eastAsia="Arial" w:hAnsi="Arial"/>
          <w:sz w:val="18"/>
          <w:szCs w:val="18"/>
          <w:u w:val="single" w:color="auto"/>
          <w:color w:val="auto"/>
        </w:rPr>
        <w:t>Buyer</w:t>
      </w:r>
      <w:r>
        <w:rPr>
          <w:rFonts w:ascii="Arial" w:cs="Arial" w:eastAsia="Arial" w:hAnsi="Arial"/>
          <w:sz w:val="18"/>
          <w:szCs w:val="18"/>
          <w:color w:val="auto"/>
        </w:rPr>
        <w:t>”). Seller and Buyer</w:t>
      </w:r>
      <w:r>
        <w:rPr>
          <w:rFonts w:ascii="Arial" w:cs="Arial" w:eastAsia="Arial" w:hAnsi="Arial"/>
          <w:sz w:val="18"/>
          <w:szCs w:val="18"/>
          <w:b w:val="1"/>
          <w:bCs w:val="1"/>
          <w:color w:val="auto"/>
        </w:rPr>
        <w:t xml:space="preserve"> </w:t>
      </w:r>
      <w:r>
        <w:rPr>
          <w:rFonts w:ascii="Arial" w:cs="Arial" w:eastAsia="Arial" w:hAnsi="Arial"/>
          <w:sz w:val="18"/>
          <w:szCs w:val="18"/>
          <w:color w:val="auto"/>
        </w:rPr>
        <w:t>are referred to individually at times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at times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left="360" w:hanging="356"/>
        <w:spacing w:after="0"/>
        <w:tabs>
          <w:tab w:leader="none" w:pos="360"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Seller sells various types of products used in the consumer and food service markets.</w:t>
      </w:r>
    </w:p>
    <w:p>
      <w:pPr>
        <w:spacing w:after="0" w:line="225" w:lineRule="exact"/>
        <w:rPr>
          <w:rFonts w:ascii="Arial" w:cs="Arial" w:eastAsia="Arial" w:hAnsi="Arial"/>
          <w:sz w:val="18"/>
          <w:szCs w:val="18"/>
          <w:b w:val="1"/>
          <w:bCs w:val="1"/>
          <w:color w:val="auto"/>
        </w:rPr>
      </w:pPr>
    </w:p>
    <w:p>
      <w:pPr>
        <w:ind w:left="340" w:hanging="336"/>
        <w:spacing w:after="0"/>
        <w:tabs>
          <w:tab w:leader="none" w:pos="340"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Buyer sells various types of products, including certain products of the type made by Seller, to its customers.</w:t>
      </w:r>
    </w:p>
    <w:p>
      <w:pPr>
        <w:spacing w:after="0" w:line="225" w:lineRule="exact"/>
        <w:rPr>
          <w:rFonts w:ascii="Arial" w:cs="Arial" w:eastAsia="Arial" w:hAnsi="Arial"/>
          <w:sz w:val="18"/>
          <w:szCs w:val="18"/>
          <w:b w:val="1"/>
          <w:bCs w:val="1"/>
          <w:color w:val="auto"/>
        </w:rPr>
      </w:pPr>
    </w:p>
    <w:p>
      <w:pPr>
        <w:ind w:right="160" w:firstLine="4"/>
        <w:spacing w:after="0" w:line="277" w:lineRule="auto"/>
        <w:tabs>
          <w:tab w:leader="none" w:pos="352"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The Parties are entering into this Agreement to establish the terms and conditions under which Seller may agree to sell specific products to Buyer, and Buyer may agree to purchase specific products from Seller for later resale by Buyer to its business customers.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firstLine="4"/>
        <w:spacing w:after="0" w:line="289" w:lineRule="auto"/>
        <w:tabs>
          <w:tab w:leader="none" w:pos="315"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w:t>
      </w:r>
      <w:r>
        <w:rPr>
          <w:rFonts w:ascii="Arial" w:cs="Arial" w:eastAsia="Arial" w:hAnsi="Arial"/>
          <w:sz w:val="16"/>
          <w:szCs w:val="16"/>
          <w:u w:val="single" w:color="auto"/>
          <w:color w:val="auto"/>
        </w:rPr>
        <w:t>Term</w:t>
      </w:r>
      <w:r>
        <w:rPr>
          <w:rFonts w:ascii="Arial" w:cs="Arial" w:eastAsia="Arial" w:hAnsi="Arial"/>
          <w:sz w:val="16"/>
          <w:szCs w:val="16"/>
          <w:color w:val="auto"/>
        </w:rPr>
        <w:t>” of this Agreement will commence on the Effective Date and will end on the earlier of: (a) the first anniversary of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the last Purchase Schedule (as defined in this next Section); (b) a termination date elected by a Party in a written notice delivered to the other Party any time after the expiration of the last Purchase Schedule; or (c) a termination date elected by a Party in a written notice delivered to the other Party as provided in </w:t>
      </w:r>
      <w:r>
        <w:rPr>
          <w:rFonts w:ascii="Arial" w:cs="Arial" w:eastAsia="Arial" w:hAnsi="Arial"/>
          <w:sz w:val="16"/>
          <w:szCs w:val="16"/>
          <w:u w:val="single" w:color="auto"/>
          <w:color w:val="auto"/>
        </w:rPr>
        <w:t>Subsection 11(d)</w:t>
      </w:r>
      <w:r>
        <w:rPr>
          <w:rFonts w:ascii="Arial" w:cs="Arial" w:eastAsia="Arial" w:hAnsi="Arial"/>
          <w:sz w:val="16"/>
          <w:szCs w:val="16"/>
          <w:color w:val="auto"/>
        </w:rPr>
        <w:t xml:space="preserve"> of this Agreement. The rights and obligations of the Parties under this Agreement will survive the expiration or earlier termination of this Agreement with respect to any (i) products purchased and sold under this Agreement during the Term and products sold after the Term for orders accepted during the Term; (ii) Confidential Information (as defined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disclosed or received by a Party during the Term; (iii) breach of this Agreement by a Party; (iv) any other statement, decision, act or omission of a Party concerning or related to this Agreement; (v) any Dispute (as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this Agreement) between the Parties concerning or related to this Agreement; (vi) products and other materials manufactured or maintained by Seller in inventory for sale to Buyer that Buyer is obligated to purchase under a Purchase Schedule; and (vii) any provision that expressly states that it will survive the expiration or earlier termination of this Agreement.</w:t>
      </w:r>
    </w:p>
    <w:p>
      <w:pPr>
        <w:spacing w:after="0" w:line="161" w:lineRule="exact"/>
        <w:rPr>
          <w:rFonts w:ascii="Arial" w:cs="Arial" w:eastAsia="Arial" w:hAnsi="Arial"/>
          <w:sz w:val="16"/>
          <w:szCs w:val="16"/>
          <w:b w:val="1"/>
          <w:bCs w:val="1"/>
          <w:color w:val="auto"/>
        </w:rPr>
      </w:pPr>
    </w:p>
    <w:p>
      <w:pPr>
        <w:ind w:right="20" w:firstLine="4"/>
        <w:spacing w:after="0" w:line="269" w:lineRule="auto"/>
        <w:tabs>
          <w:tab w:leader="none" w:pos="315" w:val="left"/>
        </w:tabs>
        <w:numPr>
          <w:ilvl w:val="0"/>
          <w:numId w:val="3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Scope</w:t>
      </w:r>
      <w:r>
        <w:rPr>
          <w:rFonts w:ascii="Arial" w:cs="Arial" w:eastAsia="Arial" w:hAnsi="Arial"/>
          <w:sz w:val="17"/>
          <w:szCs w:val="17"/>
          <w:color w:val="auto"/>
        </w:rPr>
        <w:t>. This Agreement will apply to all products sold by Seller to Buyer, and all products purchased by Buyer from Seller, during the Term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expressly agree that this Agreement will not apply to a particular type of transaction in a separate written document signed by an officer of each Party. This Agreement will not require Seller to sell any type or quantity of a product to Buyer, nor will this Agreement required Buyer to purchase any type or quantity of a product from Seller, except as expressly provided by the Parties in a Purchase Schedule. The phrase “</w:t>
      </w:r>
      <w:r>
        <w:rPr>
          <w:rFonts w:ascii="Arial" w:cs="Arial" w:eastAsia="Arial" w:hAnsi="Arial"/>
          <w:sz w:val="17"/>
          <w:szCs w:val="17"/>
          <w:u w:val="single" w:color="auto"/>
          <w:color w:val="auto"/>
        </w:rPr>
        <w:t>Purchase Schedule</w:t>
      </w:r>
      <w:r>
        <w:rPr>
          <w:rFonts w:ascii="Arial" w:cs="Arial" w:eastAsia="Arial" w:hAnsi="Arial"/>
          <w:sz w:val="17"/>
          <w:szCs w:val="17"/>
          <w:color w:val="auto"/>
        </w:rPr>
        <w:t>” will mean a written supplement to this Agreement signed by an officer of each Party which references this Agreement and which identities, among other terms and conditions, the specific types and quantities of products that will be purchased and sold by the Parties on terms and conditions in the schedule, the specifications for the identified products, the duration of the commitment period during which the Parties will be obligated to purchase and sell the identified products on the terms and conditions in the schedule, the prices of the identified products, any mechanisms for adjusting the prices of the identified products over the commitment period, and the facilities at which the identified products will be manufactured, stored and delivered by Seller. The Parties may add terms and conditions to, and amend the terms and conditions of, this Agreement in a Purchase Schedule, but any additional and amended terms and conditions in a Purchase Schedule supplementing and modifying this Agreement will only apply the specific products identified in that Purchase Schedule for its duration.</w:t>
      </w:r>
    </w:p>
    <w:p>
      <w:pPr>
        <w:sectPr>
          <w:pgSz w:w="11900" w:h="16838" w:orient="portrait"/>
          <w:cols w:equalWidth="0" w:num="1">
            <w:col w:w="11020"/>
          </w:cols>
          <w:pgMar w:left="440" w:top="121" w:right="439" w:bottom="1440" w:gutter="0" w:footer="0" w:header="0"/>
        </w:sectPr>
      </w:pPr>
    </w:p>
    <w:bookmarkStart w:id="426" w:name="page427"/>
    <w:bookmarkEnd w:id="426"/>
    <w:p>
      <w:pPr>
        <w:ind w:right="20" w:firstLine="4"/>
        <w:spacing w:after="0" w:line="270" w:lineRule="auto"/>
        <w:tabs>
          <w:tab w:leader="none" w:pos="315"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Operating Procedures</w:t>
      </w:r>
      <w:r>
        <w:rPr>
          <w:rFonts w:ascii="Arial" w:cs="Arial" w:eastAsia="Arial" w:hAnsi="Arial"/>
          <w:sz w:val="17"/>
          <w:szCs w:val="17"/>
          <w:color w:val="auto"/>
        </w:rPr>
        <w:t>. Over approximately the past eight years, the Parties have been supplying select Products to one another for use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operation of their respective businesses within the United States of America, Canada and Mexico. The Parties developed and been following certain standard operating procedures in connecting with, among other topics, forecasting, production planning, ordering, delivering and resolving claims on the Products supplied to one another (the “</w:t>
      </w:r>
      <w:r>
        <w:rPr>
          <w:rFonts w:ascii="Arial" w:cs="Arial" w:eastAsia="Arial" w:hAnsi="Arial"/>
          <w:sz w:val="17"/>
          <w:szCs w:val="17"/>
          <w:u w:val="single" w:color="auto"/>
          <w:color w:val="auto"/>
        </w:rPr>
        <w:t>Current SOPs</w:t>
      </w:r>
      <w:r>
        <w:rPr>
          <w:rFonts w:ascii="Arial" w:cs="Arial" w:eastAsia="Arial" w:hAnsi="Arial"/>
          <w:sz w:val="17"/>
          <w:szCs w:val="17"/>
          <w:color w:val="auto"/>
        </w:rPr>
        <w:t>”). The Parties will be updating their respective business systems over the next six months, and the updates to these business systems will require the Parties to modify the Current SOPs. Once the Parties have completed the updates to the business systems and agreed on the necessary modifications to the Current SOPs, the Parties will sign a written amendment to this Agreement appending the updated standard operating procedures (the “</w:t>
      </w:r>
      <w:r>
        <w:rPr>
          <w:rFonts w:ascii="Arial" w:cs="Arial" w:eastAsia="Arial" w:hAnsi="Arial"/>
          <w:sz w:val="17"/>
          <w:szCs w:val="17"/>
          <w:u w:val="single" w:color="auto"/>
          <w:color w:val="auto"/>
        </w:rPr>
        <w:t>Updated SOPs</w:t>
      </w:r>
      <w:r>
        <w:rPr>
          <w:rFonts w:ascii="Arial" w:cs="Arial" w:eastAsia="Arial" w:hAnsi="Arial"/>
          <w:sz w:val="17"/>
          <w:szCs w:val="17"/>
          <w:color w:val="auto"/>
        </w:rPr>
        <w:t>”). Until the Parties have signed a written amendment appending the Updated SOPs, the parties will continue to follow the Current SOPs. The Parties will comply with the applicable SOPs in connection with the purchase and sale of products identified in a Purchase Schedule. The Parties may add terms and conditions to, and amend the terms and conditions of, the SOP in a Purchase Schedule, but any additional and amended terms and conditions in a Purchase Schedule supplementing and modifying the SOP will only apply the specific products identified in that Purchase Schedule for its duration.</w:t>
      </w:r>
    </w:p>
    <w:p>
      <w:pPr>
        <w:spacing w:after="0" w:line="174" w:lineRule="exact"/>
        <w:rPr>
          <w:rFonts w:ascii="Arial" w:cs="Arial" w:eastAsia="Arial" w:hAnsi="Arial"/>
          <w:sz w:val="17"/>
          <w:szCs w:val="17"/>
          <w:b w:val="1"/>
          <w:bCs w:val="1"/>
          <w:color w:val="auto"/>
        </w:rPr>
      </w:pPr>
    </w:p>
    <w:p>
      <w:pPr>
        <w:ind w:right="20" w:firstLine="4"/>
        <w:spacing w:after="0" w:line="258" w:lineRule="auto"/>
        <w:tabs>
          <w:tab w:leader="none" w:pos="315"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and Priority of Interpretation</w:t>
      </w:r>
      <w:r>
        <w:rPr>
          <w:rFonts w:ascii="Arial" w:cs="Arial" w:eastAsia="Arial" w:hAnsi="Arial"/>
          <w:sz w:val="18"/>
          <w:szCs w:val="18"/>
          <w:color w:val="auto"/>
        </w:rPr>
        <w:t>. In the event of any conflict, inconsistency or ambiguity between two or more provisions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provisions in its Exhibits and Purchase Schedules, the provisions in the documents will govern, supersede and control over one another in the following order of priority: (1</w:t>
      </w:r>
      <w:r>
        <w:rPr>
          <w:rFonts w:ascii="Arial" w:cs="Arial" w:eastAsia="Arial" w:hAnsi="Arial"/>
          <w:sz w:val="15"/>
          <w:szCs w:val="15"/>
          <w:color w:val="auto"/>
        </w:rPr>
        <w:t>st</w:t>
      </w:r>
      <w:r>
        <w:rPr>
          <w:rFonts w:ascii="Arial" w:cs="Arial" w:eastAsia="Arial" w:hAnsi="Arial"/>
          <w:sz w:val="18"/>
          <w:szCs w:val="18"/>
          <w:color w:val="auto"/>
        </w:rPr>
        <w:t>) a Purchase Schedule with regards to the purchase and sale of the specific products identified in that Purchase Schedule for its duration; (2</w:t>
      </w:r>
      <w:r>
        <w:rPr>
          <w:rFonts w:ascii="Arial" w:cs="Arial" w:eastAsia="Arial" w:hAnsi="Arial"/>
          <w:sz w:val="15"/>
          <w:szCs w:val="15"/>
          <w:color w:val="auto"/>
        </w:rPr>
        <w:t>nd</w:t>
      </w:r>
      <w:r>
        <w:rPr>
          <w:rFonts w:ascii="Arial" w:cs="Arial" w:eastAsia="Arial" w:hAnsi="Arial"/>
          <w:sz w:val="18"/>
          <w:szCs w:val="18"/>
          <w:color w:val="auto"/>
        </w:rPr>
        <w:t>) the SOP; (3</w:t>
      </w:r>
      <w:r>
        <w:rPr>
          <w:rFonts w:ascii="Arial" w:cs="Arial" w:eastAsia="Arial" w:hAnsi="Arial"/>
          <w:sz w:val="15"/>
          <w:szCs w:val="15"/>
          <w:color w:val="auto"/>
        </w:rPr>
        <w:t>rd</w:t>
      </w:r>
      <w:r>
        <w:rPr>
          <w:rFonts w:ascii="Arial" w:cs="Arial" w:eastAsia="Arial" w:hAnsi="Arial"/>
          <w:sz w:val="18"/>
          <w:szCs w:val="18"/>
          <w:color w:val="auto"/>
        </w:rPr>
        <w:t>) any Exhibit to this Agreement but only with regards to specific subject matter of the Exhibit; and (4</w:t>
      </w:r>
      <w:r>
        <w:rPr>
          <w:rFonts w:ascii="Arial" w:cs="Arial" w:eastAsia="Arial" w:hAnsi="Arial"/>
          <w:sz w:val="15"/>
          <w:szCs w:val="15"/>
          <w:color w:val="auto"/>
        </w:rPr>
        <w:t>th</w:t>
      </w:r>
      <w:r>
        <w:rPr>
          <w:rFonts w:ascii="Arial" w:cs="Arial" w:eastAsia="Arial" w:hAnsi="Arial"/>
          <w:sz w:val="18"/>
          <w:szCs w:val="18"/>
          <w:color w:val="auto"/>
        </w:rPr>
        <w:t>) the main body of this Agreement prior to the signature page.</w:t>
      </w:r>
    </w:p>
    <w:p>
      <w:pPr>
        <w:spacing w:after="0" w:line="183" w:lineRule="exact"/>
        <w:rPr>
          <w:rFonts w:ascii="Arial" w:cs="Arial" w:eastAsia="Arial" w:hAnsi="Arial"/>
          <w:sz w:val="18"/>
          <w:szCs w:val="18"/>
          <w:b w:val="1"/>
          <w:bCs w:val="1"/>
          <w:color w:val="auto"/>
        </w:rPr>
      </w:pPr>
    </w:p>
    <w:p>
      <w:pPr>
        <w:ind w:firstLine="4"/>
        <w:spacing w:after="0" w:line="282" w:lineRule="auto"/>
        <w:tabs>
          <w:tab w:leader="none" w:pos="315"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Representations, Warranties and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 Party represents, warrant and covenants on the Effective Date and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that:</w:t>
      </w:r>
    </w:p>
    <w:p>
      <w:pPr>
        <w:spacing w:after="0" w:line="71" w:lineRule="exact"/>
        <w:rPr>
          <w:rFonts w:ascii="Arial" w:cs="Arial" w:eastAsia="Arial" w:hAnsi="Arial"/>
          <w:sz w:val="18"/>
          <w:szCs w:val="18"/>
          <w:b w:val="1"/>
          <w:bCs w:val="1"/>
          <w:color w:val="auto"/>
        </w:rPr>
      </w:pPr>
    </w:p>
    <w:p>
      <w:pPr>
        <w:ind w:left="980" w:right="120" w:hanging="544"/>
        <w:spacing w:after="0" w:line="308" w:lineRule="auto"/>
        <w:tabs>
          <w:tab w:leader="none" w:pos="980"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The Party is formed, registered, licensed and operating its business in compliance with the laws of the United States of America, its states and territories, and any districts, municipalities and other political subdivisions of the foregoing (“</w:t>
      </w:r>
      <w:r>
        <w:rPr>
          <w:rFonts w:ascii="Arial" w:cs="Arial" w:eastAsia="Arial" w:hAnsi="Arial"/>
          <w:sz w:val="17"/>
          <w:szCs w:val="17"/>
          <w:u w:val="single" w:color="auto"/>
          <w:color w:val="auto"/>
        </w:rPr>
        <w:t>Applicable Laws</w:t>
      </w:r>
      <w:r>
        <w:rPr>
          <w:rFonts w:ascii="Arial" w:cs="Arial" w:eastAsia="Arial" w:hAnsi="Arial"/>
          <w:sz w:val="17"/>
          <w:szCs w:val="17"/>
          <w:color w:val="auto"/>
        </w:rPr>
        <w:t>”).</w:t>
      </w:r>
    </w:p>
    <w:p>
      <w:pPr>
        <w:spacing w:after="0" w:line="51" w:lineRule="exact"/>
        <w:rPr>
          <w:rFonts w:ascii="Arial" w:cs="Arial" w:eastAsia="Arial" w:hAnsi="Arial"/>
          <w:sz w:val="17"/>
          <w:szCs w:val="17"/>
          <w:b w:val="1"/>
          <w:bCs w:val="1"/>
          <w:color w:val="auto"/>
        </w:rPr>
      </w:pPr>
    </w:p>
    <w:p>
      <w:pPr>
        <w:ind w:left="980" w:hanging="544"/>
        <w:spacing w:after="0"/>
        <w:tabs>
          <w:tab w:leader="none" w:pos="98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Party is operating its business in compliance with a commercially reasonable code of ethics adopted by such Party.</w:t>
      </w:r>
    </w:p>
    <w:p>
      <w:pPr>
        <w:spacing w:after="0" w:line="130" w:lineRule="exact"/>
        <w:rPr>
          <w:rFonts w:ascii="Arial" w:cs="Arial" w:eastAsia="Arial" w:hAnsi="Arial"/>
          <w:sz w:val="18"/>
          <w:szCs w:val="18"/>
          <w:b w:val="1"/>
          <w:bCs w:val="1"/>
          <w:color w:val="auto"/>
        </w:rPr>
      </w:pPr>
    </w:p>
    <w:p>
      <w:pPr>
        <w:ind w:left="980" w:right="540" w:hanging="544"/>
        <w:spacing w:after="0" w:line="277" w:lineRule="auto"/>
        <w:tabs>
          <w:tab w:leader="none" w:pos="98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Party may enter into and perform its obligations under this Agreement without being in conflict with, or in breach of, any other agreement of the Party.</w:t>
      </w:r>
    </w:p>
    <w:p>
      <w:pPr>
        <w:spacing w:after="0" w:line="75" w:lineRule="exact"/>
        <w:rPr>
          <w:rFonts w:ascii="Arial" w:cs="Arial" w:eastAsia="Arial" w:hAnsi="Arial"/>
          <w:sz w:val="18"/>
          <w:szCs w:val="18"/>
          <w:b w:val="1"/>
          <w:bCs w:val="1"/>
          <w:color w:val="auto"/>
        </w:rPr>
      </w:pPr>
    </w:p>
    <w:p>
      <w:pPr>
        <w:ind w:left="980" w:hanging="544"/>
        <w:spacing w:after="0"/>
        <w:tabs>
          <w:tab w:leader="none" w:pos="98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Party is solvent, is capable of paying its debts as and when they become due and is paying its debts as and when due.</w:t>
      </w:r>
    </w:p>
    <w:p>
      <w:pPr>
        <w:spacing w:after="0" w:line="130" w:lineRule="exact"/>
        <w:rPr>
          <w:rFonts w:ascii="Arial" w:cs="Arial" w:eastAsia="Arial" w:hAnsi="Arial"/>
          <w:sz w:val="18"/>
          <w:szCs w:val="18"/>
          <w:b w:val="1"/>
          <w:bCs w:val="1"/>
          <w:color w:val="auto"/>
        </w:rPr>
      </w:pPr>
    </w:p>
    <w:p>
      <w:pPr>
        <w:jc w:val="both"/>
        <w:ind w:left="980" w:right="180" w:hanging="544"/>
        <w:spacing w:after="0" w:line="264" w:lineRule="auto"/>
        <w:tabs>
          <w:tab w:leader="none" w:pos="98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Party is not the subject of a criminal investigation nor a defendant in any criminal indictment, petition, complaint or proceeding that carries a potential sentence involving incarceration in excess of one year for any director or executive officer of the Party involved in the alleged criminal misconduct or a fine in excess of $100,000 USD.</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Party will promptly notify the other Party of any change in circumstance during the Term in which the Party is no longer in compliance with the foregoing general representations, warranties and covenants. An incident of actual, alleged or suspected non-compliance by a Party with a warranty under this Section being investigated, contested or corrected in good faith by the Party and which, regardless of outcome, will have no material adverse effect on the Party or its performance under this Agreement or on the other Party, will not be considered a breach of this clause. An incident of actual, alleged or suspected non-compliance by a Party of this Section or any other Section of this Agreement will be grounds for the other Party to demand adequate assurances of performance as provided by Section 2-609 of the Illinois Uniform Commercial Code. A Party will have ten (10) days to provide adequate assurances of performance to the other Party in a form acceptable to the other Party in its good faith discretion.</w:t>
      </w:r>
    </w:p>
    <w:p>
      <w:pPr>
        <w:sectPr>
          <w:pgSz w:w="11900" w:h="16838" w:orient="portrait"/>
          <w:cols w:equalWidth="0" w:num="1">
            <w:col w:w="11000"/>
          </w:cols>
          <w:pgMar w:left="440" w:top="270" w:right="459" w:bottom="1440" w:gutter="0" w:footer="0" w:header="0"/>
        </w:sectPr>
      </w:pPr>
    </w:p>
    <w:bookmarkStart w:id="427" w:name="page428"/>
    <w:bookmarkEnd w:id="427"/>
    <w:p>
      <w:pPr>
        <w:ind w:right="200" w:firstLine="4"/>
        <w:spacing w:after="0" w:line="282" w:lineRule="auto"/>
        <w:tabs>
          <w:tab w:leader="none" w:pos="315"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Product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represents and warrants to Buyer that each product sold under this Agreement will at the time of delivery to</w:t>
      </w:r>
      <w:r>
        <w:rPr>
          <w:rFonts w:ascii="Arial" w:cs="Arial" w:eastAsia="Arial" w:hAnsi="Arial"/>
          <w:sz w:val="18"/>
          <w:szCs w:val="18"/>
          <w:b w:val="1"/>
          <w:bCs w:val="1"/>
          <w:color w:val="auto"/>
        </w:rPr>
        <w:t xml:space="preserve"> </w:t>
      </w:r>
      <w:r>
        <w:rPr>
          <w:rFonts w:ascii="Arial" w:cs="Arial" w:eastAsia="Arial" w:hAnsi="Arial"/>
          <w:sz w:val="18"/>
          <w:szCs w:val="18"/>
          <w:color w:val="auto"/>
        </w:rPr>
        <w:t>Buyer:</w:t>
      </w:r>
    </w:p>
    <w:p>
      <w:pPr>
        <w:spacing w:after="0" w:line="71" w:lineRule="exact"/>
        <w:rPr>
          <w:rFonts w:ascii="Arial" w:cs="Arial" w:eastAsia="Arial" w:hAnsi="Arial"/>
          <w:sz w:val="18"/>
          <w:szCs w:val="18"/>
          <w:b w:val="1"/>
          <w:bCs w:val="1"/>
          <w:color w:val="auto"/>
        </w:rPr>
      </w:pPr>
    </w:p>
    <w:p>
      <w:pPr>
        <w:ind w:left="980" w:right="340" w:hanging="544"/>
        <w:spacing w:after="0" w:line="259" w:lineRule="auto"/>
        <w:tabs>
          <w:tab w:leader="none" w:pos="9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Be in new, undamaged and unadulterated condition free of any defects in design, materials and manufacture. Seller is not making any representation or warranty under this clause with regards to the design of a product to the extent the design constitutes, incorporates or otherwise embodies intellectual property that Buyer has represented and warranted to Seller is owned by Buyer and which Buyer has licensed to Seller to manufacture the product for Buyer.</w:t>
      </w:r>
    </w:p>
    <w:p>
      <w:pPr>
        <w:spacing w:after="0" w:line="92" w:lineRule="exact"/>
        <w:rPr>
          <w:rFonts w:ascii="Arial" w:cs="Arial" w:eastAsia="Arial" w:hAnsi="Arial"/>
          <w:sz w:val="18"/>
          <w:szCs w:val="18"/>
          <w:b w:val="1"/>
          <w:bCs w:val="1"/>
          <w:color w:val="auto"/>
        </w:rPr>
      </w:pPr>
    </w:p>
    <w:p>
      <w:pPr>
        <w:ind w:left="980" w:right="100" w:hanging="544"/>
        <w:spacing w:after="0" w:line="277" w:lineRule="auto"/>
        <w:tabs>
          <w:tab w:leader="none" w:pos="9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Have been manufactured and stored by Seller at a plant (and, if applicable under a Purchase Schedule, a warehouse) of Seller approved in the applicable Purchase Schedule prior to its delivery to Buyer.</w:t>
      </w:r>
    </w:p>
    <w:p>
      <w:pPr>
        <w:spacing w:after="0" w:line="75" w:lineRule="exact"/>
        <w:rPr>
          <w:rFonts w:ascii="Arial" w:cs="Arial" w:eastAsia="Arial" w:hAnsi="Arial"/>
          <w:sz w:val="18"/>
          <w:szCs w:val="18"/>
          <w:b w:val="1"/>
          <w:bCs w:val="1"/>
          <w:color w:val="auto"/>
        </w:rPr>
      </w:pPr>
    </w:p>
    <w:p>
      <w:pPr>
        <w:ind w:left="980" w:hanging="544"/>
        <w:spacing w:after="0" w:line="302" w:lineRule="auto"/>
        <w:tabs>
          <w:tab w:leader="none" w:pos="980" w:val="left"/>
        </w:tabs>
        <w:numPr>
          <w:ilvl w:val="1"/>
          <w:numId w:val="345"/>
        </w:numPr>
        <w:rPr>
          <w:rFonts w:ascii="Arial" w:cs="Arial" w:eastAsia="Arial" w:hAnsi="Arial"/>
          <w:sz w:val="16"/>
          <w:szCs w:val="16"/>
          <w:b w:val="1"/>
          <w:bCs w:val="1"/>
          <w:color w:val="auto"/>
        </w:rPr>
      </w:pPr>
      <w:r>
        <w:rPr>
          <w:rFonts w:ascii="Arial" w:cs="Arial" w:eastAsia="Arial" w:hAnsi="Arial"/>
          <w:sz w:val="16"/>
          <w:szCs w:val="16"/>
          <w:color w:val="auto"/>
        </w:rPr>
        <w:t>Has been manufactured, packaged, labelled, sold and delivered by Seller, and may be sold by Buyer in interstate commerce, in compliance with Applicable Laws, including without limitation with food safety regulations issued by the United States Food and Drug Administration that are applicable to the product. Seller will not be in breach of this warranty because an Applicable Law prohibits, restricts or imposes a charge on a product in a district, municipality or other political subdivision of the United States of America or its states or territories.</w:t>
      </w:r>
    </w:p>
    <w:p>
      <w:pPr>
        <w:spacing w:after="0" w:line="59" w:lineRule="exact"/>
        <w:rPr>
          <w:rFonts w:ascii="Arial" w:cs="Arial" w:eastAsia="Arial" w:hAnsi="Arial"/>
          <w:sz w:val="16"/>
          <w:szCs w:val="16"/>
          <w:b w:val="1"/>
          <w:bCs w:val="1"/>
          <w:color w:val="auto"/>
        </w:rPr>
      </w:pPr>
    </w:p>
    <w:p>
      <w:pPr>
        <w:ind w:left="980" w:hanging="544"/>
        <w:spacing w:after="0"/>
        <w:tabs>
          <w:tab w:leader="none" w:pos="9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Comply with the written specifications for the product identified in the applicable Purchase Schedule.</w:t>
      </w:r>
    </w:p>
    <w:p>
      <w:pPr>
        <w:spacing w:after="0" w:line="130" w:lineRule="exact"/>
        <w:rPr>
          <w:rFonts w:ascii="Arial" w:cs="Arial" w:eastAsia="Arial" w:hAnsi="Arial"/>
          <w:sz w:val="18"/>
          <w:szCs w:val="18"/>
          <w:b w:val="1"/>
          <w:bCs w:val="1"/>
          <w:color w:val="auto"/>
        </w:rPr>
      </w:pPr>
    </w:p>
    <w:p>
      <w:pPr>
        <w:ind w:left="980" w:right="100" w:hanging="544"/>
        <w:spacing w:after="0" w:line="277" w:lineRule="auto"/>
        <w:tabs>
          <w:tab w:leader="none" w:pos="9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Be fit for the purpose of packaging, selling or use in consuming food subject to qualifications and instructions on the use of the product in the written specifications for the product identified in the applicable Purchase Schedule.</w:t>
      </w:r>
    </w:p>
    <w:p>
      <w:pPr>
        <w:spacing w:after="0" w:line="75" w:lineRule="exact"/>
        <w:rPr>
          <w:rFonts w:ascii="Arial" w:cs="Arial" w:eastAsia="Arial" w:hAnsi="Arial"/>
          <w:sz w:val="18"/>
          <w:szCs w:val="18"/>
          <w:b w:val="1"/>
          <w:bCs w:val="1"/>
          <w:color w:val="auto"/>
        </w:rPr>
      </w:pPr>
    </w:p>
    <w:p>
      <w:pPr>
        <w:ind w:left="980" w:right="120" w:hanging="544"/>
        <w:spacing w:after="0" w:line="277" w:lineRule="auto"/>
        <w:tabs>
          <w:tab w:leader="none" w:pos="980"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Be conveyed by Seller to Buyer with good and marketable title free and clear of all liens, encumbrances and claims arising by, through or under Seller.</w:t>
      </w:r>
    </w:p>
    <w:p>
      <w:pPr>
        <w:spacing w:after="0" w:line="75" w:lineRule="exact"/>
        <w:rPr>
          <w:rFonts w:ascii="Arial" w:cs="Arial" w:eastAsia="Arial" w:hAnsi="Arial"/>
          <w:sz w:val="18"/>
          <w:szCs w:val="18"/>
          <w:b w:val="1"/>
          <w:bCs w:val="1"/>
          <w:color w:val="auto"/>
        </w:rPr>
      </w:pPr>
    </w:p>
    <w:p>
      <w:pPr>
        <w:ind w:left="980" w:right="220" w:hanging="544"/>
        <w:spacing w:after="0" w:line="302" w:lineRule="auto"/>
        <w:tabs>
          <w:tab w:leader="none" w:pos="980" w:val="left"/>
        </w:tabs>
        <w:numPr>
          <w:ilvl w:val="1"/>
          <w:numId w:val="345"/>
        </w:numPr>
        <w:rPr>
          <w:rFonts w:ascii="Arial" w:cs="Arial" w:eastAsia="Arial" w:hAnsi="Arial"/>
          <w:sz w:val="16"/>
          <w:szCs w:val="16"/>
          <w:b w:val="1"/>
          <w:bCs w:val="1"/>
          <w:color w:val="auto"/>
        </w:rPr>
      </w:pPr>
      <w:r>
        <w:rPr>
          <w:rFonts w:ascii="Arial" w:cs="Arial" w:eastAsia="Arial" w:hAnsi="Arial"/>
          <w:sz w:val="16"/>
          <w:szCs w:val="16"/>
          <w:color w:val="auto"/>
        </w:rPr>
        <w:t>Not infringe on any patent, trademark, copyright, trade secret or other the intellectual property of any third-party registered or otherwise recognized and enforceable under Applicable Law. Seller is not making any representation or warranty under this clause with regards to the design of a product to the extent the design constitutes, incorporates or otherwise embodies intellectual property that Buyer has represented and warranted to Seller is owned by Buyer and which Buyer has licensed to Seller to manufacture the product for Buyer.</w:t>
      </w:r>
    </w:p>
    <w:p>
      <w:pPr>
        <w:spacing w:after="0" w:line="59" w:lineRule="exact"/>
        <w:rPr>
          <w:rFonts w:ascii="Arial" w:cs="Arial" w:eastAsia="Arial" w:hAnsi="Arial"/>
          <w:sz w:val="16"/>
          <w:szCs w:val="16"/>
          <w:b w:val="1"/>
          <w:bCs w:val="1"/>
          <w:color w:val="auto"/>
        </w:rPr>
      </w:pPr>
    </w:p>
    <w:p>
      <w:pPr>
        <w:ind w:left="980" w:hanging="544"/>
        <w:spacing w:after="0"/>
        <w:tabs>
          <w:tab w:leader="none" w:pos="980" w:val="left"/>
        </w:tabs>
        <w:numPr>
          <w:ilvl w:val="1"/>
          <w:numId w:val="345"/>
        </w:numPr>
        <w:rPr>
          <w:rFonts w:ascii="Arial" w:cs="Arial" w:eastAsia="Arial" w:hAnsi="Arial"/>
          <w:sz w:val="17"/>
          <w:szCs w:val="17"/>
          <w:b w:val="1"/>
          <w:bCs w:val="1"/>
          <w:color w:val="auto"/>
        </w:rPr>
      </w:pPr>
      <w:r>
        <w:rPr>
          <w:rFonts w:ascii="Arial" w:cs="Arial" w:eastAsia="Arial" w:hAnsi="Arial"/>
          <w:sz w:val="17"/>
          <w:szCs w:val="17"/>
          <w:color w:val="auto"/>
        </w:rPr>
        <w:t>Comply with any additional representations and warranties of Seller regarding the product in the applicable Purchase Schedule.</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If a Buyer receives a product that fails to conform to these representations and warranties, the sole remedies of Buyer for the breach of warranty will be to: (1) reject and return the non-conforming product to Seller for a refund or credit, or a replacement conforming product, in the manner and time period provided in the SOP; (2) obtain reimbursement from Seller for actual, reasonable, substantiated out-of-pocket expenses incurred by Buyer in the recovery, return or disposal of a non-conforming product that is the subject of a mandatory product recall required under Applicable Laws or a voluntary withdrawal declared by Seller or approved by Seller (such approval not to be unreasonably withheld, conditioned or delayed); and (3) obtain indemnification from Seller for any Indemnified Claim arising from or related to the non-conforming product as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ectPr>
          <w:pgSz w:w="11900" w:h="16838" w:orient="portrait"/>
          <w:cols w:equalWidth="0" w:num="1">
            <w:col w:w="11000"/>
          </w:cols>
          <w:pgMar w:left="440" w:top="269" w:right="459" w:bottom="1440" w:gutter="0" w:footer="0" w:header="0"/>
        </w:sectPr>
      </w:pPr>
    </w:p>
    <w:bookmarkStart w:id="428" w:name="page429"/>
    <w:bookmarkEnd w:id="428"/>
    <w:p>
      <w:pPr>
        <w:ind w:left="316" w:hanging="316"/>
        <w:spacing w:after="0"/>
        <w:tabs>
          <w:tab w:leader="none" w:pos="316"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76" w:hanging="544"/>
        <w:spacing w:after="0" w:line="270" w:lineRule="auto"/>
        <w:tabs>
          <w:tab w:leader="none" w:pos="976"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A claim that a Party (referred to at times in this Section as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defend and indemnify the other Party (referred to at times in this Section as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under this Agreement is referred to at times in this Section as an “</w:t>
      </w:r>
      <w:r>
        <w:rPr>
          <w:rFonts w:ascii="Arial" w:cs="Arial" w:eastAsia="Arial" w:hAnsi="Arial"/>
          <w:sz w:val="17"/>
          <w:szCs w:val="17"/>
          <w:u w:val="single" w:color="auto"/>
          <w:color w:val="auto"/>
        </w:rPr>
        <w:t>Indemnified Claim</w:t>
      </w:r>
      <w:r>
        <w:rPr>
          <w:rFonts w:ascii="Arial" w:cs="Arial" w:eastAsia="Arial" w:hAnsi="Arial"/>
          <w:sz w:val="17"/>
          <w:szCs w:val="17"/>
          <w:color w:val="auto"/>
        </w:rPr>
        <w:t>”. Defense and indemnification under this Section will include, without limitation, (1) paying or reimbursing the actual, reasonable, substantiated out-of-pocket expenses incurred in connection with the investigation, defense and settlement of any civil, criminal or administrative action, suit, arbitration, mediation, hearing, audit, investigation or other proceeding threatened or commenced against an Indemnified Party on an Indemnified Claim (e.g., fees and expenses of attorneys, accountants, auditors, investigators, consulting experts, testifying experts and other consultants; fees and expenses of an arbitrator or mediator; filing fees and costs imposed by any court, administrative agency or other tribunal; etc.), and (2) satisfying any judgment, award, order, lien, levy, fine, penalty or other sanction imposed against an Indemnified Party on an Indemnified Claim.</w:t>
      </w:r>
    </w:p>
    <w:p>
      <w:pPr>
        <w:spacing w:after="0" w:line="87" w:lineRule="exact"/>
        <w:rPr>
          <w:rFonts w:ascii="Arial" w:cs="Arial" w:eastAsia="Arial" w:hAnsi="Arial"/>
          <w:sz w:val="17"/>
          <w:szCs w:val="17"/>
          <w:b w:val="1"/>
          <w:bCs w:val="1"/>
          <w:color w:val="auto"/>
        </w:rPr>
      </w:pPr>
    </w:p>
    <w:p>
      <w:pPr>
        <w:ind w:left="976" w:right="20" w:hanging="544"/>
        <w:spacing w:after="0" w:line="269" w:lineRule="auto"/>
        <w:tabs>
          <w:tab w:leader="none" w:pos="976"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Seller will defend and indemnify Buyer against: (1) any third-party claim for personal injury, damage to tangible property or other loss to the extent caused by any actual or alleged breach of this Agreement by Seller, including, without limitation, any product supplied by Seller which fails to conform to the representations and warranties in this Agreement; (2) any third-party claim for personal injury, damage to tangible property or other loss to the extent caused by any actual or alleged negligence or other legally culpable misconduct of Seller in the design, manufacture, storage, sale or delivery of any product sold by Seller under this Agreement or in the performance of other obligation of Seller under this Agreement; (3) any third-party claim for actual or alleged infringement of a product sold by Seller under this Agreement or its design, manufacture, storage, packaging, sale or delivery by Seller under this Agreement or in the performance of any other obligation of Seller under this Agreement (except to the extent that the infringement is based on intellectual property that that Buyer has represented and warranted to Seller that Buyer owns and that Buyer has licensed to Seller and that Seller has used in compliance with the license terms in supplying the product); (4) the threat or imposition of any fine, penalty or other sanction by a governmental authority on Buyer to the extent caused by any actual or alleged violation by Seller of Applicable Law; or (5) any other matter that Seller has agreed to defend and indemnify Buyer against under a Purchase Schedule.</w:t>
      </w:r>
    </w:p>
    <w:p>
      <w:pPr>
        <w:spacing w:after="0" w:line="85" w:lineRule="exact"/>
        <w:rPr>
          <w:rFonts w:ascii="Arial" w:cs="Arial" w:eastAsia="Arial" w:hAnsi="Arial"/>
          <w:sz w:val="17"/>
          <w:szCs w:val="17"/>
          <w:b w:val="1"/>
          <w:bCs w:val="1"/>
          <w:color w:val="auto"/>
        </w:rPr>
      </w:pPr>
    </w:p>
    <w:p>
      <w:pPr>
        <w:ind w:left="976" w:hanging="544"/>
        <w:spacing w:after="0" w:line="269" w:lineRule="auto"/>
        <w:tabs>
          <w:tab w:leader="none" w:pos="976"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Buyer will defend and indemnify Seller against: (1) any third-party claim for personal injury, damage to tangible property or other loss to the extent caused by any actual or alleged breach of this Agreement by Buyer; (2) any third-party claim for personal injury, damage to tangible property or other loss to the extent caused by any actual or alleged negligence or other legally culpable misconduct of Buyer in the purchase, storage, repackaging, resale or delivery of any product purchased from Seller under this Agreement or in the performance of other obligation of Buyer under this Agreement; (3) any third-party claim for actual or alleged infringement of a product sold by Seller under this Agreement or its design, manufacture, storage, sale or delivery by Seller under this Agreement or in the performance of any other obligation of Seller under this Agreement to the extent based on intellectual property that that Buyer has represented and warranted to Seller that Buyer owns and that Buyer has licensed to Seller and that Seller has used in compliance with the license term in supplying the product; (4) the threat or imposition of any fine, penalty or other sanction by governmental authority on Seller to the extent caused by any actual or alleged violation by Buyer of Applicable Law; or (5) any other matter that Buyer has agreed to defend and indemnify Seller against under a Purchase Schedule.</w:t>
      </w:r>
    </w:p>
    <w:p>
      <w:pPr>
        <w:spacing w:after="0" w:line="88" w:lineRule="exact"/>
        <w:rPr>
          <w:rFonts w:ascii="Arial" w:cs="Arial" w:eastAsia="Arial" w:hAnsi="Arial"/>
          <w:sz w:val="17"/>
          <w:szCs w:val="17"/>
          <w:b w:val="1"/>
          <w:bCs w:val="1"/>
          <w:color w:val="auto"/>
        </w:rPr>
      </w:pPr>
    </w:p>
    <w:p>
      <w:pPr>
        <w:ind w:left="976" w:hanging="544"/>
        <w:spacing w:after="0"/>
        <w:tabs>
          <w:tab w:leader="none" w:pos="976"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As a condition of receiving defense and indemnification under this Section for an Indemnified Claim, the Indemnified Party must:</w:t>
      </w:r>
    </w:p>
    <w:p>
      <w:pPr>
        <w:spacing w:after="0" w:line="142" w:lineRule="exact"/>
        <w:rPr>
          <w:rFonts w:ascii="Arial" w:cs="Arial" w:eastAsia="Arial" w:hAnsi="Arial"/>
          <w:sz w:val="17"/>
          <w:szCs w:val="17"/>
          <w:b w:val="1"/>
          <w:bCs w:val="1"/>
          <w:color w:val="auto"/>
        </w:rPr>
      </w:pPr>
    </w:p>
    <w:p>
      <w:pPr>
        <w:ind w:left="1976" w:right="40" w:hanging="545"/>
        <w:spacing w:after="0" w:line="277" w:lineRule="auto"/>
        <w:tabs>
          <w:tab w:leader="none" w:pos="1976" w:val="left"/>
        </w:tabs>
        <w:numPr>
          <w:ilvl w:val="2"/>
          <w:numId w:val="346"/>
        </w:numPr>
        <w:rPr>
          <w:rFonts w:ascii="Arial" w:cs="Arial" w:eastAsia="Arial" w:hAnsi="Arial"/>
          <w:sz w:val="18"/>
          <w:szCs w:val="18"/>
          <w:b w:val="1"/>
          <w:bCs w:val="1"/>
          <w:color w:val="auto"/>
        </w:rPr>
      </w:pPr>
      <w:r>
        <w:rPr>
          <w:rFonts w:ascii="Arial" w:cs="Arial" w:eastAsia="Arial" w:hAnsi="Arial"/>
          <w:sz w:val="18"/>
          <w:szCs w:val="18"/>
          <w:color w:val="auto"/>
        </w:rPr>
        <w:t>notify and tender the defense of an Indemnified Claim to the Indemnifying Party promptly after the Indemnified Party learns of the Indemnified Claim; and</w:t>
      </w:r>
    </w:p>
    <w:p>
      <w:pPr>
        <w:sectPr>
          <w:pgSz w:w="11900" w:h="16838" w:orient="portrait"/>
          <w:cols w:equalWidth="0" w:num="1">
            <w:col w:w="10996"/>
          </w:cols>
          <w:pgMar w:left="444" w:top="270" w:right="459" w:bottom="1440" w:gutter="0" w:footer="0" w:header="0"/>
        </w:sectPr>
      </w:pPr>
    </w:p>
    <w:bookmarkStart w:id="429" w:name="page430"/>
    <w:bookmarkEnd w:id="429"/>
    <w:p>
      <w:pPr>
        <w:ind w:left="1976" w:hanging="545"/>
        <w:spacing w:after="0" w:line="286" w:lineRule="auto"/>
        <w:tabs>
          <w:tab w:leader="none" w:pos="1976" w:val="left"/>
        </w:tabs>
        <w:numPr>
          <w:ilvl w:val="2"/>
          <w:numId w:val="3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information and cooperation reasonably requested by the Indemnifying Party in the investigation, defense, settlement and satisfaction of the Indemnified Claim. An Indemnifying Party will reimburse the Indemnified Party of any reasonable, actual, substantiated out-of-pocket expense incurred in providing the requested information or cooperation.</w:t>
      </w:r>
    </w:p>
    <w:p>
      <w:pPr>
        <w:spacing w:after="0" w:line="70" w:lineRule="exact"/>
        <w:rPr>
          <w:rFonts w:ascii="Arial" w:cs="Arial" w:eastAsia="Arial" w:hAnsi="Arial"/>
          <w:sz w:val="17"/>
          <w:szCs w:val="17"/>
          <w:b w:val="1"/>
          <w:bCs w:val="1"/>
          <w:color w:val="auto"/>
        </w:rPr>
      </w:pPr>
    </w:p>
    <w:p>
      <w:pPr>
        <w:ind w:left="976" w:hanging="544"/>
        <w:spacing w:after="0"/>
        <w:tabs>
          <w:tab w:leader="none" w:pos="976" w:val="left"/>
        </w:tabs>
        <w:numPr>
          <w:ilvl w:val="1"/>
          <w:numId w:val="348"/>
        </w:numPr>
        <w:rPr>
          <w:rFonts w:ascii="Arial" w:cs="Arial" w:eastAsia="Arial" w:hAnsi="Arial"/>
          <w:sz w:val="16"/>
          <w:szCs w:val="16"/>
          <w:b w:val="1"/>
          <w:bCs w:val="1"/>
          <w:color w:val="auto"/>
        </w:rPr>
      </w:pPr>
      <w:r>
        <w:rPr>
          <w:rFonts w:ascii="Arial" w:cs="Arial" w:eastAsia="Arial" w:hAnsi="Arial"/>
          <w:sz w:val="16"/>
          <w:szCs w:val="16"/>
          <w:color w:val="auto"/>
        </w:rPr>
        <w:t>If the Indemnifying Party accepts the tender of defense of an Indemnified Claim, with or without reservation, the Indemnifying Party will:</w:t>
      </w:r>
    </w:p>
    <w:p>
      <w:pPr>
        <w:spacing w:after="0" w:line="153" w:lineRule="exact"/>
        <w:rPr>
          <w:rFonts w:ascii="Arial" w:cs="Arial" w:eastAsia="Arial" w:hAnsi="Arial"/>
          <w:sz w:val="16"/>
          <w:szCs w:val="16"/>
          <w:b w:val="1"/>
          <w:bCs w:val="1"/>
          <w:color w:val="auto"/>
        </w:rPr>
      </w:pPr>
    </w:p>
    <w:p>
      <w:pPr>
        <w:ind w:left="1976" w:hanging="545"/>
        <w:spacing w:after="0"/>
        <w:tabs>
          <w:tab w:leader="none" w:pos="1976" w:val="left"/>
        </w:tabs>
        <w:numPr>
          <w:ilvl w:val="2"/>
          <w:numId w:val="348"/>
        </w:numPr>
        <w:rPr>
          <w:rFonts w:ascii="Arial" w:cs="Arial" w:eastAsia="Arial" w:hAnsi="Arial"/>
          <w:sz w:val="18"/>
          <w:szCs w:val="18"/>
          <w:b w:val="1"/>
          <w:bCs w:val="1"/>
          <w:color w:val="auto"/>
        </w:rPr>
      </w:pPr>
      <w:r>
        <w:rPr>
          <w:rFonts w:ascii="Arial" w:cs="Arial" w:eastAsia="Arial" w:hAnsi="Arial"/>
          <w:sz w:val="18"/>
          <w:szCs w:val="18"/>
          <w:color w:val="auto"/>
        </w:rPr>
        <w:t>promptly notify the Indemnified Party of the acceptance of the tender of defense of the Indemnified Claim.</w:t>
      </w:r>
    </w:p>
    <w:p>
      <w:pPr>
        <w:spacing w:after="0" w:line="130" w:lineRule="exact"/>
        <w:rPr>
          <w:rFonts w:ascii="Arial" w:cs="Arial" w:eastAsia="Arial" w:hAnsi="Arial"/>
          <w:sz w:val="18"/>
          <w:szCs w:val="18"/>
          <w:b w:val="1"/>
          <w:bCs w:val="1"/>
          <w:color w:val="auto"/>
        </w:rPr>
      </w:pPr>
    </w:p>
    <w:p>
      <w:pPr>
        <w:ind w:left="1976" w:right="140" w:hanging="545"/>
        <w:spacing w:after="0" w:line="259" w:lineRule="auto"/>
        <w:tabs>
          <w:tab w:leader="none" w:pos="1976" w:val="left"/>
        </w:tabs>
        <w:numPr>
          <w:ilvl w:val="2"/>
          <w:numId w:val="348"/>
        </w:numPr>
        <w:rPr>
          <w:rFonts w:ascii="Arial" w:cs="Arial" w:eastAsia="Arial" w:hAnsi="Arial"/>
          <w:sz w:val="18"/>
          <w:szCs w:val="18"/>
          <w:b w:val="1"/>
          <w:bCs w:val="1"/>
          <w:color w:val="auto"/>
        </w:rPr>
      </w:pPr>
      <w:r>
        <w:rPr>
          <w:rFonts w:ascii="Arial" w:cs="Arial" w:eastAsia="Arial" w:hAnsi="Arial"/>
          <w:sz w:val="18"/>
          <w:szCs w:val="18"/>
          <w:color w:val="auto"/>
        </w:rPr>
        <w:t>control the investigation, defense, settlement and satisfaction of the Indemnified Claim, including, without limitation, the selection of licensed, qualified and reputable attorneys and expert witnesses and all decisions over settlement and litigation strategy. The Indemnifying Party must act in good faith in exercising control over the investigation, defense, settlement and satisfaction of the Indemnified Claim.</w:t>
      </w:r>
    </w:p>
    <w:p>
      <w:pPr>
        <w:spacing w:after="0" w:line="92" w:lineRule="exact"/>
        <w:rPr>
          <w:rFonts w:ascii="Arial" w:cs="Arial" w:eastAsia="Arial" w:hAnsi="Arial"/>
          <w:sz w:val="18"/>
          <w:szCs w:val="18"/>
          <w:b w:val="1"/>
          <w:bCs w:val="1"/>
          <w:color w:val="auto"/>
        </w:rPr>
      </w:pPr>
    </w:p>
    <w:p>
      <w:pPr>
        <w:ind w:left="1976" w:right="440" w:hanging="545"/>
        <w:spacing w:after="0" w:line="277" w:lineRule="auto"/>
        <w:tabs>
          <w:tab w:leader="none" w:pos="1976" w:val="left"/>
        </w:tabs>
        <w:numPr>
          <w:ilvl w:val="2"/>
          <w:numId w:val="348"/>
        </w:numPr>
        <w:rPr>
          <w:rFonts w:ascii="Arial" w:cs="Arial" w:eastAsia="Arial" w:hAnsi="Arial"/>
          <w:sz w:val="18"/>
          <w:szCs w:val="18"/>
          <w:b w:val="1"/>
          <w:bCs w:val="1"/>
          <w:color w:val="auto"/>
        </w:rPr>
      </w:pPr>
      <w:r>
        <w:rPr>
          <w:rFonts w:ascii="Arial" w:cs="Arial" w:eastAsia="Arial" w:hAnsi="Arial"/>
          <w:sz w:val="18"/>
          <w:szCs w:val="18"/>
          <w:color w:val="auto"/>
        </w:rPr>
        <w:t>Provide information reasonably requested by the Indemnified Party regarding the investigation, defense, settlement and satisfaction of the Indemnified Claim</w:t>
      </w:r>
    </w:p>
    <w:p>
      <w:pPr>
        <w:spacing w:after="0" w:line="75" w:lineRule="exact"/>
        <w:rPr>
          <w:rFonts w:ascii="Arial" w:cs="Arial" w:eastAsia="Arial" w:hAnsi="Arial"/>
          <w:sz w:val="18"/>
          <w:szCs w:val="18"/>
          <w:b w:val="1"/>
          <w:bCs w:val="1"/>
          <w:color w:val="auto"/>
        </w:rPr>
      </w:pPr>
    </w:p>
    <w:p>
      <w:pPr>
        <w:ind w:left="976" w:right="40" w:hanging="544"/>
        <w:spacing w:after="0" w:line="276" w:lineRule="auto"/>
        <w:tabs>
          <w:tab w:leader="none" w:pos="976" w:val="left"/>
        </w:tabs>
        <w:numPr>
          <w:ilvl w:val="1"/>
          <w:numId w:val="348"/>
        </w:numPr>
        <w:rPr>
          <w:rFonts w:ascii="Arial" w:cs="Arial" w:eastAsia="Arial" w:hAnsi="Arial"/>
          <w:sz w:val="17"/>
          <w:szCs w:val="17"/>
          <w:b w:val="1"/>
          <w:bCs w:val="1"/>
          <w:color w:val="auto"/>
        </w:rPr>
      </w:pPr>
      <w:r>
        <w:rPr>
          <w:rFonts w:ascii="Arial" w:cs="Arial" w:eastAsia="Arial" w:hAnsi="Arial"/>
          <w:sz w:val="17"/>
          <w:szCs w:val="17"/>
          <w:color w:val="auto"/>
        </w:rPr>
        <w:t>An Indemnifying Party, acting in good faith, may settle an Indemnified Claim for which it is responsible under this Agreement involving infringement on the intellectual property of a third-party by: (1) obtaining a license from the third-party allowing the required use of its intellectual property; (2) modifying a product, equipment or process in a manner which avoids infringing on the intellectual property of the third-party; or (3) voluntarily withdrawing the infringing product from the market and either refunding the amount paid by the Indemnified Party for the infringing product or replacing the infringing product with a non-infringing product.</w:t>
      </w:r>
    </w:p>
    <w:p>
      <w:pPr>
        <w:spacing w:after="0" w:line="77" w:lineRule="exact"/>
        <w:rPr>
          <w:rFonts w:ascii="Arial" w:cs="Arial" w:eastAsia="Arial" w:hAnsi="Arial"/>
          <w:sz w:val="17"/>
          <w:szCs w:val="17"/>
          <w:b w:val="1"/>
          <w:bCs w:val="1"/>
          <w:color w:val="auto"/>
        </w:rPr>
      </w:pPr>
    </w:p>
    <w:p>
      <w:pPr>
        <w:ind w:left="976" w:right="20" w:hanging="544"/>
        <w:spacing w:after="0" w:line="289" w:lineRule="auto"/>
        <w:tabs>
          <w:tab w:leader="none" w:pos="976" w:val="left"/>
        </w:tabs>
        <w:numPr>
          <w:ilvl w:val="1"/>
          <w:numId w:val="348"/>
        </w:numPr>
        <w:rPr>
          <w:rFonts w:ascii="Arial" w:cs="Arial" w:eastAsia="Arial" w:hAnsi="Arial"/>
          <w:sz w:val="16"/>
          <w:szCs w:val="16"/>
          <w:b w:val="1"/>
          <w:bCs w:val="1"/>
          <w:color w:val="auto"/>
        </w:rPr>
      </w:pPr>
      <w:r>
        <w:rPr>
          <w:rFonts w:ascii="Arial" w:cs="Arial" w:eastAsia="Arial" w:hAnsi="Arial"/>
          <w:sz w:val="16"/>
          <w:szCs w:val="16"/>
          <w:color w:val="auto"/>
        </w:rPr>
        <w:t>The Parties may disagree on whether a claim is an Indemnified Claim under this Agreement, which Party should be considered the Indemnifying Party and Indemnified Party for an Indemnified Claim or whether each Party is partially liable for an Indemnified Claim and how liability for such an Indemnified Claim should be allocated between them. In these and other circumstances in which an actual or potential conflict of interest exists or arises between the Parties with regards to an alleged or agreed upon Indemnified Claim that would preclude their joint representation by a single defense counsel, the Parties will endeavor in good faith to attempt to resolve the conflict. If the Parties are able to resolve the actual or potential conflict of interest, the Parties will memorialize the agreed upon resolution in a written joint defense agreement signed by officers of each Party and their joint defense counsel. If the Parties are unable to resolve the actual or potential conflict of interest, each Party may independently and separately investigate, defend, settle and satisfy the claim subject to their right to pursue payment or reimbursement for costs incurred in doing so from the other Party as provided in this Agreement.</w:t>
      </w:r>
    </w:p>
    <w:p>
      <w:pPr>
        <w:spacing w:after="0" w:line="162" w:lineRule="exact"/>
        <w:rPr>
          <w:rFonts w:ascii="Arial" w:cs="Arial" w:eastAsia="Arial" w:hAnsi="Arial"/>
          <w:sz w:val="16"/>
          <w:szCs w:val="16"/>
          <w:b w:val="1"/>
          <w:bCs w:val="1"/>
          <w:color w:val="auto"/>
        </w:rPr>
      </w:pPr>
    </w:p>
    <w:p>
      <w:pPr>
        <w:ind w:left="-4" w:right="180" w:firstLine="4"/>
        <w:spacing w:after="0" w:line="282" w:lineRule="auto"/>
        <w:tabs>
          <w:tab w:leader="none" w:pos="311"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each Party will maintain the following minimum types and amounts of insurance coverage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w:t>
      </w:r>
    </w:p>
    <w:p>
      <w:pPr>
        <w:spacing w:after="0" w:line="71" w:lineRule="exact"/>
        <w:rPr>
          <w:rFonts w:ascii="Arial" w:cs="Arial" w:eastAsia="Arial" w:hAnsi="Arial"/>
          <w:sz w:val="18"/>
          <w:szCs w:val="18"/>
          <w:b w:val="1"/>
          <w:bCs w:val="1"/>
          <w:color w:val="auto"/>
        </w:rPr>
      </w:pPr>
    </w:p>
    <w:p>
      <w:pPr>
        <w:ind w:left="976" w:right="40" w:hanging="544"/>
        <w:spacing w:after="0" w:line="302" w:lineRule="auto"/>
        <w:tabs>
          <w:tab w:leader="none" w:pos="976" w:val="left"/>
        </w:tabs>
        <w:numPr>
          <w:ilvl w:val="1"/>
          <w:numId w:val="3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Commercial General Liability Insurance. </w:t>
      </w:r>
      <w:r>
        <w:rPr>
          <w:rFonts w:ascii="Arial" w:cs="Arial" w:eastAsia="Arial" w:hAnsi="Arial"/>
          <w:sz w:val="16"/>
          <w:szCs w:val="16"/>
          <w:color w:val="auto"/>
        </w:rPr>
        <w:t>Occurrence based coverage with a combined single limit of at least $10,000,000 per occurrence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in the aggregate for premises and operations; products and completed operations; contractual liability coverage for indemnities of a Party contained within this Agreement; broad form property damage (including completed operations); explosion, collapse and underground hazards; and personal injury. </w:t>
      </w:r>
      <w:r>
        <w:rPr>
          <w:rFonts w:ascii="Arial" w:cs="Arial" w:eastAsia="Arial" w:hAnsi="Arial"/>
          <w:sz w:val="16"/>
          <w:szCs w:val="16"/>
          <w:i w:val="1"/>
          <w:iCs w:val="1"/>
          <w:color w:val="auto"/>
        </w:rPr>
        <w:t>Requires additional insured endorsement and waiver of subrogation endorsement.</w:t>
      </w:r>
    </w:p>
    <w:p>
      <w:pPr>
        <w:sectPr>
          <w:pgSz w:w="11900" w:h="16838" w:orient="portrait"/>
          <w:cols w:equalWidth="0" w:num="1">
            <w:col w:w="11016"/>
          </w:cols>
          <w:pgMar w:left="444" w:top="274" w:right="439" w:bottom="1440" w:gutter="0" w:footer="0" w:header="0"/>
        </w:sectPr>
      </w:pPr>
    </w:p>
    <w:bookmarkStart w:id="430" w:name="page431"/>
    <w:bookmarkEnd w:id="430"/>
    <w:p>
      <w:pPr>
        <w:ind w:left="980" w:hanging="544"/>
        <w:spacing w:after="0" w:line="264" w:lineRule="auto"/>
        <w:tabs>
          <w:tab w:leader="none" w:pos="98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Automobile Liability Insurance. </w:t>
      </w:r>
      <w:r>
        <w:rPr>
          <w:rFonts w:ascii="Arial" w:cs="Arial" w:eastAsia="Arial" w:hAnsi="Arial"/>
          <w:sz w:val="18"/>
          <w:szCs w:val="18"/>
          <w:color w:val="auto"/>
        </w:rPr>
        <w:t>Occurrence based coverage with a combined single limit of at least $10,000,000 per occurrence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aggregate for owned, non-owned, and hired automotive equipment of the Party. </w:t>
      </w:r>
      <w:r>
        <w:rPr>
          <w:rFonts w:ascii="Arial" w:cs="Arial" w:eastAsia="Arial" w:hAnsi="Arial"/>
          <w:sz w:val="18"/>
          <w:szCs w:val="18"/>
          <w:i w:val="1"/>
          <w:iCs w:val="1"/>
          <w:color w:val="auto"/>
        </w:rPr>
        <w:t>Requires additional insured endorsement and waiver of</w:t>
      </w:r>
      <w:r>
        <w:rPr>
          <w:rFonts w:ascii="Arial" w:cs="Arial" w:eastAsia="Arial" w:hAnsi="Arial"/>
          <w:sz w:val="18"/>
          <w:szCs w:val="18"/>
          <w:color w:val="auto"/>
        </w:rPr>
        <w:t xml:space="preserve"> </w:t>
      </w:r>
      <w:r>
        <w:rPr>
          <w:rFonts w:ascii="Arial" w:cs="Arial" w:eastAsia="Arial" w:hAnsi="Arial"/>
          <w:sz w:val="18"/>
          <w:szCs w:val="18"/>
          <w:i w:val="1"/>
          <w:iCs w:val="1"/>
          <w:color w:val="auto"/>
        </w:rPr>
        <w:t>subrogation endorsement.</w:t>
      </w:r>
    </w:p>
    <w:p>
      <w:pPr>
        <w:spacing w:after="0" w:line="86" w:lineRule="exact"/>
        <w:rPr>
          <w:rFonts w:ascii="Arial" w:cs="Arial" w:eastAsia="Arial" w:hAnsi="Arial"/>
          <w:sz w:val="18"/>
          <w:szCs w:val="18"/>
          <w:b w:val="1"/>
          <w:bCs w:val="1"/>
          <w:color w:val="auto"/>
        </w:rPr>
      </w:pPr>
    </w:p>
    <w:p>
      <w:pPr>
        <w:ind w:left="980" w:right="180" w:hanging="544"/>
        <w:spacing w:after="0" w:line="279" w:lineRule="auto"/>
        <w:tabs>
          <w:tab w:leader="none" w:pos="980"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Workers’ Compensation Liability Insurance. </w:t>
      </w:r>
      <w:r>
        <w:rPr>
          <w:rFonts w:ascii="Arial" w:cs="Arial" w:eastAsia="Arial" w:hAnsi="Arial"/>
          <w:sz w:val="17"/>
          <w:szCs w:val="17"/>
          <w:color w:val="auto"/>
        </w:rPr>
        <w:t>Occurrence based coverage providing benefits in the minimal amount required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Applicable Law for workplace and work related injuries and illnesses to the employees of a Party, including, without limitation, Workers Compensation Acts of applicable U.S. States, the U.S. Longshoremen’s and Harbor Workers Compensation Act and the U.S. Jones Act. </w:t>
      </w:r>
      <w:r>
        <w:rPr>
          <w:rFonts w:ascii="Arial" w:cs="Arial" w:eastAsia="Arial" w:hAnsi="Arial"/>
          <w:sz w:val="17"/>
          <w:szCs w:val="17"/>
          <w:i w:val="1"/>
          <w:iCs w:val="1"/>
          <w:color w:val="auto"/>
        </w:rPr>
        <w:t>Requires alternate employer endorsement and waiver of subrogation endorsement.</w:t>
      </w:r>
    </w:p>
    <w:p>
      <w:pPr>
        <w:spacing w:after="0" w:line="76" w:lineRule="exact"/>
        <w:rPr>
          <w:rFonts w:ascii="Arial" w:cs="Arial" w:eastAsia="Arial" w:hAnsi="Arial"/>
          <w:sz w:val="17"/>
          <w:szCs w:val="17"/>
          <w:b w:val="1"/>
          <w:bCs w:val="1"/>
          <w:color w:val="auto"/>
        </w:rPr>
      </w:pPr>
    </w:p>
    <w:p>
      <w:pPr>
        <w:ind w:left="980" w:hanging="544"/>
        <w:spacing w:after="0" w:line="264" w:lineRule="auto"/>
        <w:tabs>
          <w:tab w:leader="none" w:pos="98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Employers’ Liability Insurance. </w:t>
      </w:r>
      <w:r>
        <w:rPr>
          <w:rFonts w:ascii="Arial" w:cs="Arial" w:eastAsia="Arial" w:hAnsi="Arial"/>
          <w:sz w:val="18"/>
          <w:szCs w:val="18"/>
          <w:color w:val="auto"/>
        </w:rPr>
        <w:t>Occurrence based coverage with a limit of at least $10,000,000 per occurrence or any greater limits 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Applicable Law workplace and work related injuries and illnesses to the employees of a Party. </w:t>
      </w:r>
      <w:r>
        <w:rPr>
          <w:rFonts w:ascii="Arial" w:cs="Arial" w:eastAsia="Arial" w:hAnsi="Arial"/>
          <w:sz w:val="18"/>
          <w:szCs w:val="18"/>
          <w:i w:val="1"/>
          <w:iCs w:val="1"/>
          <w:color w:val="auto"/>
        </w:rPr>
        <w:t>Requires waiver of alternate employer</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w:t>
      </w:r>
    </w:p>
    <w:p>
      <w:pPr>
        <w:spacing w:after="0" w:line="86" w:lineRule="exact"/>
        <w:rPr>
          <w:rFonts w:ascii="Arial" w:cs="Arial" w:eastAsia="Arial" w:hAnsi="Arial"/>
          <w:sz w:val="18"/>
          <w:szCs w:val="18"/>
          <w:b w:val="1"/>
          <w:bCs w:val="1"/>
          <w:color w:val="auto"/>
        </w:rPr>
      </w:pPr>
    </w:p>
    <w:p>
      <w:pPr>
        <w:ind w:left="980" w:right="340" w:hanging="544"/>
        <w:spacing w:after="0" w:line="259" w:lineRule="auto"/>
        <w:tabs>
          <w:tab w:leader="none" w:pos="98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Property Insurance. </w:t>
      </w:r>
      <w:r>
        <w:rPr>
          <w:rFonts w:ascii="Arial" w:cs="Arial" w:eastAsia="Arial" w:hAnsi="Arial"/>
          <w:sz w:val="18"/>
          <w:szCs w:val="18"/>
          <w:color w:val="auto"/>
        </w:rPr>
        <w:t>Coverage providing “</w:t>
      </w:r>
      <w:r>
        <w:rPr>
          <w:rFonts w:ascii="Arial" w:cs="Arial" w:eastAsia="Arial" w:hAnsi="Arial"/>
          <w:sz w:val="18"/>
          <w:szCs w:val="18"/>
          <w:i w:val="1"/>
          <w:iCs w:val="1"/>
          <w:color w:val="auto"/>
        </w:rPr>
        <w:t>all risk</w:t>
      </w:r>
      <w:r>
        <w:rPr>
          <w:rFonts w:ascii="Arial" w:cs="Arial" w:eastAsia="Arial" w:hAnsi="Arial"/>
          <w:sz w:val="18"/>
          <w:szCs w:val="18"/>
          <w:color w:val="auto"/>
        </w:rPr>
        <w:t>” property insurance at the replacement value of the machinery, equipment, fixtures,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tools, materials and other property of the Party. “</w:t>
      </w:r>
      <w:r>
        <w:rPr>
          <w:rFonts w:ascii="Arial" w:cs="Arial" w:eastAsia="Arial" w:hAnsi="Arial"/>
          <w:sz w:val="18"/>
          <w:szCs w:val="18"/>
          <w:i w:val="1"/>
          <w:iCs w:val="1"/>
          <w:color w:val="auto"/>
        </w:rPr>
        <w:t>All risk</w:t>
      </w:r>
      <w:r>
        <w:rPr>
          <w:rFonts w:ascii="Arial" w:cs="Arial" w:eastAsia="Arial" w:hAnsi="Arial"/>
          <w:sz w:val="18"/>
          <w:szCs w:val="18"/>
          <w:color w:val="auto"/>
        </w:rPr>
        <w:t xml:space="preserve">” coverage will include, by way of example and not limitation, loss or damage resulting from earthquakes, floods, wind, fire or other natural or weather-related phenomenon. </w:t>
      </w:r>
      <w:r>
        <w:rPr>
          <w:rFonts w:ascii="Arial" w:cs="Arial" w:eastAsia="Arial" w:hAnsi="Arial"/>
          <w:sz w:val="18"/>
          <w:szCs w:val="18"/>
          <w:i w:val="1"/>
          <w:iCs w:val="1"/>
          <w:color w:val="auto"/>
        </w:rPr>
        <w:t>Requires waiver of subrogation</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All insurers of a Party on such policies must have at all times an A.M. Best financial rating of at least “</w:t>
      </w:r>
      <w:r>
        <w:rPr>
          <w:rFonts w:ascii="Arial" w:cs="Arial" w:eastAsia="Arial" w:hAnsi="Arial"/>
          <w:sz w:val="18"/>
          <w:szCs w:val="18"/>
          <w:i w:val="1"/>
          <w:iCs w:val="1"/>
          <w:color w:val="auto"/>
        </w:rPr>
        <w:t>A-Minus VII</w:t>
      </w:r>
      <w:r>
        <w:rPr>
          <w:rFonts w:ascii="Arial" w:cs="Arial" w:eastAsia="Arial" w:hAnsi="Arial"/>
          <w:sz w:val="18"/>
          <w:szCs w:val="18"/>
          <w:color w:val="auto"/>
        </w:rPr>
        <w:t>”. An insuring Party may satisfy the required minimum amounts of insurance through a primary policy and one or more excess policies. All insurance of an insuring Party must be “</w:t>
      </w:r>
      <w:r>
        <w:rPr>
          <w:rFonts w:ascii="Arial" w:cs="Arial" w:eastAsia="Arial" w:hAnsi="Arial"/>
          <w:sz w:val="18"/>
          <w:szCs w:val="18"/>
          <w:i w:val="1"/>
          <w:iCs w:val="1"/>
          <w:color w:val="auto"/>
        </w:rPr>
        <w:t>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and non-contributory</w:t>
      </w:r>
      <w:r>
        <w:rPr>
          <w:rFonts w:ascii="Arial" w:cs="Arial" w:eastAsia="Arial" w:hAnsi="Arial"/>
          <w:sz w:val="18"/>
          <w:szCs w:val="18"/>
          <w:color w:val="auto"/>
        </w:rPr>
        <w:t>” with respect to any insurance that the other Party may maintain, but only with respect to the negligence or other legal liability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insuring Party.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insuring Party must deliver the following written evidence of the required insurance coverage to the other Party (Attention: Risk Management), or its designated insurance monitoring service, within ten (10) of written request and at least thirty (30) days in advance of the expiration of a then current policy term (if a declaration or endorsement is not available from an insurer at the time requested or required, an insuring Party will provide them as soon as the declaration or endorsement is available from the insurer):</w:t>
      </w:r>
    </w:p>
    <w:p>
      <w:pPr>
        <w:spacing w:after="0" w:line="92" w:lineRule="exact"/>
        <w:rPr>
          <w:sz w:val="20"/>
          <w:szCs w:val="20"/>
          <w:color w:val="auto"/>
        </w:rPr>
      </w:pPr>
    </w:p>
    <w:p>
      <w:pPr>
        <w:ind w:left="980" w:right="740" w:hanging="544"/>
        <w:spacing w:after="0" w:line="277" w:lineRule="auto"/>
        <w:tabs>
          <w:tab w:leader="none" w:pos="9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Certificate of insurance confirming that the required insurance coverage and minimal limits are met for the extended, renewed or replacement policy term.</w:t>
      </w:r>
    </w:p>
    <w:p>
      <w:pPr>
        <w:spacing w:after="0" w:line="75" w:lineRule="exact"/>
        <w:rPr>
          <w:rFonts w:ascii="Arial" w:cs="Arial" w:eastAsia="Arial" w:hAnsi="Arial"/>
          <w:sz w:val="18"/>
          <w:szCs w:val="18"/>
          <w:color w:val="auto"/>
        </w:rPr>
      </w:pPr>
    </w:p>
    <w:p>
      <w:pPr>
        <w:ind w:left="980" w:right="540" w:hanging="544"/>
        <w:spacing w:after="0" w:line="277" w:lineRule="auto"/>
        <w:tabs>
          <w:tab w:leader="none" w:pos="9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Declaration pages of insurance policy (or a copy of the binder until the declaration pages are available) confirming that the required insurance coverage and minimal limits are met for the extended, renewed or replacement policy term.</w:t>
      </w:r>
    </w:p>
    <w:p>
      <w:pPr>
        <w:spacing w:after="0" w:line="75" w:lineRule="exact"/>
        <w:rPr>
          <w:rFonts w:ascii="Arial" w:cs="Arial" w:eastAsia="Arial" w:hAnsi="Arial"/>
          <w:sz w:val="18"/>
          <w:szCs w:val="18"/>
          <w:color w:val="auto"/>
        </w:rPr>
      </w:pPr>
    </w:p>
    <w:p>
      <w:pPr>
        <w:ind w:left="980" w:right="200" w:hanging="544"/>
        <w:spacing w:after="0" w:line="264" w:lineRule="auto"/>
        <w:tabs>
          <w:tab w:leader="none" w:pos="9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Copies of additional insured endorsements required for applicable policies in the name and for the benefit of: “[NAME OF OTHER PARTY]</w:t>
      </w:r>
      <w:r>
        <w:rPr>
          <w:rFonts w:ascii="Arial" w:cs="Arial" w:eastAsia="Arial" w:hAnsi="Arial"/>
          <w:sz w:val="18"/>
          <w:szCs w:val="18"/>
          <w:i w:val="1"/>
          <w:iCs w:val="1"/>
          <w:color w:val="auto"/>
        </w:rPr>
        <w:t>, its parent, subsidiaries and affiliates; any lessors of the foregoing and any mortgagees, deed of trust beneficiaries and secured</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creditors of such lessors; and any successors and assignees of all of the foregoing.</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980" w:right="200" w:hanging="544"/>
        <w:spacing w:after="0" w:line="312" w:lineRule="auto"/>
        <w:tabs>
          <w:tab w:leader="none" w:pos="98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Copies of alternate employer endorsements and waiver of subrogation endorsements required for applicable policies in the name and for the benefit of: ““[NAME OF OTHER PARTY]</w:t>
      </w:r>
      <w:r>
        <w:rPr>
          <w:rFonts w:ascii="Arial" w:cs="Arial" w:eastAsia="Arial" w:hAnsi="Arial"/>
          <w:sz w:val="16"/>
          <w:szCs w:val="16"/>
          <w:i w:val="1"/>
          <w:iCs w:val="1"/>
          <w:color w:val="auto"/>
        </w:rPr>
        <w:t>, its parent, subsidiaries and affiliates; any lessors of the foregoing and any mortgagees,</w:t>
      </w:r>
      <w:r>
        <w:rPr>
          <w:rFonts w:ascii="Arial" w:cs="Arial" w:eastAsia="Arial" w:hAnsi="Arial"/>
          <w:sz w:val="16"/>
          <w:szCs w:val="16"/>
          <w:color w:val="auto"/>
        </w:rPr>
        <w:t xml:space="preserve"> </w:t>
      </w:r>
      <w:r>
        <w:rPr>
          <w:rFonts w:ascii="Arial" w:cs="Arial" w:eastAsia="Arial" w:hAnsi="Arial"/>
          <w:sz w:val="16"/>
          <w:szCs w:val="16"/>
          <w:i w:val="1"/>
          <w:iCs w:val="1"/>
          <w:color w:val="auto"/>
        </w:rPr>
        <w:t>deed of trust beneficiaries and secured creditors of such lessors; and any successors and assignees of all of the foregoing.</w:t>
      </w:r>
      <w:r>
        <w:rPr>
          <w:rFonts w:ascii="Arial" w:cs="Arial" w:eastAsia="Arial" w:hAnsi="Arial"/>
          <w:sz w:val="16"/>
          <w:szCs w:val="16"/>
          <w:color w:val="auto"/>
        </w:rPr>
        <w:t>”</w:t>
      </w:r>
    </w:p>
    <w:p>
      <w:pPr>
        <w:sectPr>
          <w:pgSz w:w="11900" w:h="16838" w:orient="portrait"/>
          <w:cols w:equalWidth="0" w:num="1">
            <w:col w:w="11000"/>
          </w:cols>
          <w:pgMar w:left="440" w:top="273" w:right="459" w:bottom="1440" w:gutter="0" w:footer="0" w:header="0"/>
        </w:sectPr>
      </w:pPr>
    </w:p>
    <w:bookmarkStart w:id="431" w:name="page432"/>
    <w:bookmarkEnd w:id="43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Party may maintain any level of deductible on required insurance coverage allowed by Applicable Law. A Party may also self-insure any of the required insurance coverage, in whole or in part, if allowed by Applicable Law during any period that the Party maintains a tangible net worth in excess of $100 million USD and maintains a professionally managed and adequately reserved for and funded self-insurance program.</w:t>
      </w:r>
    </w:p>
    <w:p>
      <w:pPr>
        <w:spacing w:after="0" w:line="270" w:lineRule="exact"/>
        <w:rPr>
          <w:sz w:val="20"/>
          <w:szCs w:val="20"/>
          <w:color w:val="auto"/>
        </w:rPr>
      </w:pPr>
    </w:p>
    <w:p>
      <w:pPr>
        <w:ind w:left="320" w:hanging="316"/>
        <w:spacing w:after="0"/>
        <w:tabs>
          <w:tab w:leader="none" w:pos="32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Liability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80" w:right="20" w:hanging="544"/>
        <w:spacing w:after="0" w:line="268" w:lineRule="auto"/>
        <w:tabs>
          <w:tab w:leader="none" w:pos="980" w:val="left"/>
        </w:tabs>
        <w:numPr>
          <w:ilvl w:val="1"/>
          <w:numId w:val="3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Disclaimer of Representations and Warranties</w:t>
      </w:r>
      <w:r>
        <w:rPr>
          <w:rFonts w:ascii="Arial" w:cs="Arial" w:eastAsia="Arial" w:hAnsi="Arial"/>
          <w:sz w:val="17"/>
          <w:szCs w:val="17"/>
          <w:color w:val="auto"/>
        </w:rPr>
        <w:t>. Each Party: (1) disclaims all representations and warranties regarding its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supplied information or business, whether oral or written, express or implied, arising by operation of law or otherwise, including, without limitation, the implied warranty of merchantability and the implied warranty of fitness for a particular purpose, other than those express representations and warranties of the Party in this Agreement; (2) acknowledges that the Party has not relied on, and will not rely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and (3) waives any claim that the Party may have based, in whole or in part,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Notwithstanding the foregoing, Buyer is entitled to rely on (i) the descriptive information in transaction documents issued by either Party in the ordinary course of business during the Term identifying the ordered Products (e.g., the type and quantity of ordered products and scheduled date and location for delivery) and (ii) FDA guaranty letters and other similar written assurances in Seller’s standard forms certifying that a product complies with Applicable Laws issued by Seller to Buyers and other U.S. customers in the ordinance course of business during the Term.</w:t>
      </w:r>
    </w:p>
    <w:p>
      <w:pPr>
        <w:spacing w:after="0" w:line="90" w:lineRule="exact"/>
        <w:rPr>
          <w:rFonts w:ascii="Arial" w:cs="Arial" w:eastAsia="Arial" w:hAnsi="Arial"/>
          <w:sz w:val="17"/>
          <w:szCs w:val="17"/>
          <w:b w:val="1"/>
          <w:bCs w:val="1"/>
          <w:color w:val="auto"/>
        </w:rPr>
      </w:pPr>
    </w:p>
    <w:p>
      <w:pPr>
        <w:ind w:left="980" w:right="120" w:hanging="544"/>
        <w:spacing w:after="0" w:line="284" w:lineRule="auto"/>
        <w:tabs>
          <w:tab w:leader="none" w:pos="980" w:val="left"/>
        </w:tabs>
        <w:numPr>
          <w:ilvl w:val="1"/>
          <w:numId w:val="3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Exclusion of Indirect Damages; Waiver of Claim for Insured Damage or Loss. </w:t>
      </w:r>
      <w:r>
        <w:rPr>
          <w:rFonts w:ascii="Arial" w:cs="Arial" w:eastAsia="Arial" w:hAnsi="Arial"/>
          <w:sz w:val="16"/>
          <w:szCs w:val="16"/>
          <w:color w:val="auto"/>
        </w:rPr>
        <w:t>A Party that breaches this Agreement will only be 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other Party for direct damages arising from the breach. Each Party waives any right to recover consequential, incidental, indirect, exemplary, punitive or any other types of indirect damages from the other Party for a breach of this Agreement. Notwithstanding the preceding sentences, this Subsection will not limit the liability of a Party for any amount or type of damages for: (1) the defense and indemnification of an Indemnified Claim on which the Party is the Indemnifying Party; (2) infringement by the Party on the intellectual property of the other Party; (3) the unauthorized disclosure or use by the Party of the Confidential Information of the other Party;</w:t>
      </w:r>
    </w:p>
    <w:p>
      <w:pPr>
        <w:spacing w:after="0" w:line="4" w:lineRule="exact"/>
        <w:rPr>
          <w:rFonts w:ascii="Arial" w:cs="Arial" w:eastAsia="Arial" w:hAnsi="Arial"/>
          <w:sz w:val="16"/>
          <w:szCs w:val="16"/>
          <w:b w:val="1"/>
          <w:bCs w:val="1"/>
          <w:color w:val="auto"/>
        </w:rPr>
      </w:pPr>
    </w:p>
    <w:p>
      <w:pPr>
        <w:ind w:left="980" w:right="8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(4) payment or reimbursement of any amount expressly required to be paid or reimbursed by the Party under a provision of this Agreement; or (5) the intentional misconduct of the Party in violation of Applicable Laws.</w:t>
      </w:r>
    </w:p>
    <w:p>
      <w:pPr>
        <w:spacing w:after="0" w:line="89" w:lineRule="exact"/>
        <w:rPr>
          <w:rFonts w:ascii="Arial" w:cs="Arial" w:eastAsia="Arial" w:hAnsi="Arial"/>
          <w:sz w:val="16"/>
          <w:szCs w:val="16"/>
          <w:b w:val="1"/>
          <w:bCs w:val="1"/>
          <w:color w:val="auto"/>
        </w:rPr>
      </w:pPr>
    </w:p>
    <w:p>
      <w:pPr>
        <w:ind w:left="980" w:hanging="544"/>
        <w:spacing w:after="0" w:line="269" w:lineRule="auto"/>
        <w:tabs>
          <w:tab w:leader="none" w:pos="980" w:val="left"/>
        </w:tabs>
        <w:numPr>
          <w:ilvl w:val="1"/>
          <w:numId w:val="3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Force Majeure</w:t>
      </w:r>
      <w:r>
        <w:rPr>
          <w:rFonts w:ascii="Arial" w:cs="Arial" w:eastAsia="Arial" w:hAnsi="Arial"/>
          <w:sz w:val="17"/>
          <w:szCs w:val="17"/>
          <w:color w:val="auto"/>
        </w:rPr>
        <w:t>. A Party will not be considered in breach of this Agreement or liable to the other Party for any interruption or delay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under this Agreement to the extent caused by an event outside of the ability of the performing Party to foresee and avoid with the exercise of commercially reasonable efforts (such an event is referred to at times as an event of “</w:t>
      </w:r>
      <w:r>
        <w:rPr>
          <w:rFonts w:ascii="Arial" w:cs="Arial" w:eastAsia="Arial" w:hAnsi="Arial"/>
          <w:sz w:val="17"/>
          <w:szCs w:val="17"/>
          <w:u w:val="single" w:color="auto"/>
          <w:color w:val="auto"/>
        </w:rPr>
        <w:t>Force Majeure</w:t>
      </w:r>
      <w:r>
        <w:rPr>
          <w:rFonts w:ascii="Arial" w:cs="Arial" w:eastAsia="Arial" w:hAnsi="Arial"/>
          <w:sz w:val="17"/>
          <w:szCs w:val="17"/>
          <w:color w:val="auto"/>
        </w:rPr>
        <w:t>”). Examples of events of Force Majeure include, without limitation: natural disasters; war; acts of terrorism; government action; accident; strikes, slowdowns and other labor disputes; shortages in or inability to obtain material, equipment, transportation or labor; any breach, negligence, criminal misconduct or other act or omission of any third-party; fire or other insured or uninsured casualty. A Party whose performance is interrupted or delayed by an event of Force Majeure will be excused from the interruption or delay in performance during the event of Force Majeure and for a commercially reasonable period of additional time after the event of Force Majeure that the Party needs to recover from the event of Force Majeure and restore performance. Notwithstanding the foregoing, a Party will only be excused for an interruption or delay in performance under this Subsection for an event of Force Majeure only if the Party (1) promptly notifies the other Party of the event of Force Majeure and provides information reasonably requested by the other Party regarding the event of Force Majeure, the efforts undertaken by the</w:t>
      </w:r>
    </w:p>
    <w:p>
      <w:pPr>
        <w:sectPr>
          <w:pgSz w:w="11900" w:h="16838" w:orient="portrait"/>
          <w:cols w:equalWidth="0" w:num="1">
            <w:col w:w="11000"/>
          </w:cols>
          <w:pgMar w:left="440" w:top="274" w:right="459" w:bottom="1440" w:gutter="0" w:footer="0" w:header="0"/>
        </w:sectPr>
      </w:pPr>
    </w:p>
    <w:bookmarkStart w:id="432" w:name="page433"/>
    <w:bookmarkEnd w:id="432"/>
    <w:p>
      <w:pPr>
        <w:ind w:left="97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to foresee and avoid interruption or delay in its performance before the occurrence of the event, to mitigate interruption or delay in performance during the event, and to recover from and restore performance following the event; and (2) the Party exercises commercially reasonable efforts to mitigate, recover from and restore performance following the event of Force Majeure. During, and while recovering from and restoring performance following, an event of Force Majeure, Seller will act in good faith in allocating its available manufacturing capacity to supply products to Buyer under this Agreement and any products to other customers of Seller. If an event of Force Majeure interrupts or delays Seller from supplying a product to Buyer under this Agreement in the quantities and timetable required by Buyer, Buyer may cancel any unfilled orders for the product with Seller and procure the required quantities of the product from one or more other sources until Seller has recovered from and restored its ability to perform following the event of Force Majeure. If the interruption or delay in the supply of a product to Buyer under this Agreement caused by an event of Force Majeure has exceeded, or is reasonably likely to exceed, thirty (30) days, Buyer may enter into longer term supply agreements or make other arrangements to procure the required quantities of the product from one or more other sources for a duration and on terms acceptable to Buyer in its good faith discretion. In such a circumstance, Buyer will not have to resume purchasing the product from Seller under this Agreement until Seller has recovered from and restored its ability to perform following the event of Force Majeure and the longer term agreements or other arrangements have expired or Buyer is able to end them without liability. This Subsection will not excuse nor extend a deadline by which a Party must pay an amount owed under this Agreement or Applicable Law or by which a Party must exercise any right or remedy under this Agreement or Applicable Law.</w:t>
      </w:r>
    </w:p>
    <w:p>
      <w:pPr>
        <w:spacing w:after="0" w:line="285" w:lineRule="exact"/>
        <w:rPr>
          <w:sz w:val="20"/>
          <w:szCs w:val="20"/>
          <w:color w:val="auto"/>
        </w:rPr>
      </w:pPr>
    </w:p>
    <w:p>
      <w:pPr>
        <w:ind w:left="396" w:hanging="396"/>
        <w:spacing w:after="0"/>
        <w:tabs>
          <w:tab w:leader="none" w:pos="396"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Other Intellectual Property.</w:t>
      </w:r>
    </w:p>
    <w:p>
      <w:pPr>
        <w:spacing w:after="0" w:line="134" w:lineRule="exact"/>
        <w:rPr>
          <w:rFonts w:ascii="Arial" w:cs="Arial" w:eastAsia="Arial" w:hAnsi="Arial"/>
          <w:sz w:val="18"/>
          <w:szCs w:val="18"/>
          <w:b w:val="1"/>
          <w:bCs w:val="1"/>
          <w:color w:val="auto"/>
        </w:rPr>
      </w:pPr>
    </w:p>
    <w:p>
      <w:pPr>
        <w:ind w:left="976" w:right="80" w:hanging="544"/>
        <w:spacing w:after="0" w:line="259" w:lineRule="auto"/>
        <w:tabs>
          <w:tab w:leader="none" w:pos="976"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The Parties anticipate exchanging Confidential Information (as defined in in the next Subsection) over the Term of this Agreement for the purpose of negotiating and entering into Purchase Schedules and amendments to this Agreement, transacting business with one in accordance with this Agreement and exercising their rights and performing their obligations under this Agreement (collectively referred to as the “</w:t>
      </w:r>
      <w:r>
        <w:rPr>
          <w:rFonts w:ascii="Arial" w:cs="Arial" w:eastAsia="Arial" w:hAnsi="Arial"/>
          <w:sz w:val="18"/>
          <w:szCs w:val="18"/>
          <w:u w:val="single" w:color="auto"/>
          <w:color w:val="auto"/>
        </w:rPr>
        <w:t>Authorized Purpose</w:t>
      </w:r>
      <w:r>
        <w:rPr>
          <w:rFonts w:ascii="Arial" w:cs="Arial" w:eastAsia="Arial" w:hAnsi="Arial"/>
          <w:sz w:val="18"/>
          <w:szCs w:val="18"/>
          <w:color w:val="auto"/>
        </w:rPr>
        <w:t>”).</w:t>
      </w:r>
    </w:p>
    <w:p>
      <w:pPr>
        <w:spacing w:after="0" w:line="92" w:lineRule="exact"/>
        <w:rPr>
          <w:rFonts w:ascii="Arial" w:cs="Arial" w:eastAsia="Arial" w:hAnsi="Arial"/>
          <w:sz w:val="18"/>
          <w:szCs w:val="18"/>
          <w:b w:val="1"/>
          <w:bCs w:val="1"/>
          <w:color w:val="auto"/>
        </w:rPr>
      </w:pPr>
    </w:p>
    <w:p>
      <w:pPr>
        <w:ind w:left="976" w:hanging="544"/>
        <w:spacing w:after="0"/>
        <w:tabs>
          <w:tab w:leader="none" w:pos="976"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The phrase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meeting all of the following criteria:</w:t>
      </w:r>
    </w:p>
    <w:p>
      <w:pPr>
        <w:spacing w:after="0" w:line="130" w:lineRule="exact"/>
        <w:rPr>
          <w:rFonts w:ascii="Arial" w:cs="Arial" w:eastAsia="Arial" w:hAnsi="Arial"/>
          <w:sz w:val="18"/>
          <w:szCs w:val="18"/>
          <w:b w:val="1"/>
          <w:bCs w:val="1"/>
          <w:color w:val="auto"/>
        </w:rPr>
      </w:pPr>
    </w:p>
    <w:p>
      <w:pPr>
        <w:ind w:left="1976" w:right="420" w:hanging="545"/>
        <w:spacing w:after="0" w:line="342" w:lineRule="auto"/>
        <w:tabs>
          <w:tab w:leader="none" w:pos="1976" w:val="left"/>
        </w:tabs>
        <w:numPr>
          <w:ilvl w:val="2"/>
          <w:numId w:val="353"/>
        </w:numPr>
        <w:rPr>
          <w:rFonts w:ascii="Arial" w:cs="Arial" w:eastAsia="Arial" w:hAnsi="Arial"/>
          <w:sz w:val="16"/>
          <w:szCs w:val="16"/>
          <w:color w:val="auto"/>
        </w:rPr>
      </w:pPr>
      <w:r>
        <w:rPr>
          <w:rFonts w:ascii="Arial" w:cs="Arial" w:eastAsia="Arial" w:hAnsi="Arial"/>
          <w:sz w:val="16"/>
          <w:szCs w:val="16"/>
          <w:color w:val="auto"/>
        </w:rPr>
        <w:t>The information is a trade secret or other non-public, proprietary information owned by a Party or its direct and indirect subsidiaries under Applicable Law (this Party is referred to at times in this Section as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1976" w:right="120" w:hanging="545"/>
        <w:spacing w:after="0" w:line="264" w:lineRule="auto"/>
        <w:tabs>
          <w:tab w:leader="none" w:pos="1976" w:val="left"/>
        </w:tabs>
        <w:numPr>
          <w:ilvl w:val="2"/>
          <w:numId w:val="353"/>
        </w:numPr>
        <w:rPr>
          <w:rFonts w:ascii="Arial" w:cs="Arial" w:eastAsia="Arial" w:hAnsi="Arial"/>
          <w:sz w:val="18"/>
          <w:szCs w:val="18"/>
          <w:color w:val="auto"/>
        </w:rPr>
      </w:pPr>
      <w:r>
        <w:rPr>
          <w:rFonts w:ascii="Arial" w:cs="Arial" w:eastAsia="Arial" w:hAnsi="Arial"/>
          <w:sz w:val="18"/>
          <w:szCs w:val="18"/>
          <w:color w:val="auto"/>
        </w:rPr>
        <w:t>The other Party (referred to at times in this Section as the “</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requests such information from the Disclosing Party for the Authorized Purpose during the Term (i.e., neither Party wants </w:t>
      </w:r>
      <w:r>
        <w:rPr>
          <w:rFonts w:ascii="Arial" w:cs="Arial" w:eastAsia="Arial" w:hAnsi="Arial"/>
          <w:sz w:val="18"/>
          <w:szCs w:val="18"/>
          <w:i w:val="1"/>
          <w:iCs w:val="1"/>
          <w:color w:val="auto"/>
        </w:rPr>
        <w:t>unsolicited</w:t>
      </w:r>
      <w:r>
        <w:rPr>
          <w:rFonts w:ascii="Arial" w:cs="Arial" w:eastAsia="Arial" w:hAnsi="Arial"/>
          <w:sz w:val="18"/>
          <w:szCs w:val="18"/>
          <w:color w:val="auto"/>
        </w:rPr>
        <w:t xml:space="preserve"> Confidential Information from the other Party); and</w:t>
      </w:r>
    </w:p>
    <w:p>
      <w:pPr>
        <w:spacing w:after="0" w:line="86" w:lineRule="exact"/>
        <w:rPr>
          <w:rFonts w:ascii="Arial" w:cs="Arial" w:eastAsia="Arial" w:hAnsi="Arial"/>
          <w:sz w:val="18"/>
          <w:szCs w:val="18"/>
          <w:color w:val="auto"/>
        </w:rPr>
      </w:pPr>
    </w:p>
    <w:p>
      <w:pPr>
        <w:ind w:left="1976" w:right="40" w:hanging="545"/>
        <w:spacing w:after="0" w:line="291" w:lineRule="auto"/>
        <w:tabs>
          <w:tab w:leader="none" w:pos="1976" w:val="left"/>
        </w:tabs>
        <w:numPr>
          <w:ilvl w:val="2"/>
          <w:numId w:val="353"/>
        </w:numPr>
        <w:rPr>
          <w:rFonts w:ascii="Arial" w:cs="Arial" w:eastAsia="Arial" w:hAnsi="Arial"/>
          <w:sz w:val="16"/>
          <w:szCs w:val="16"/>
          <w:color w:val="auto"/>
        </w:rPr>
      </w:pPr>
      <w:r>
        <w:rPr>
          <w:rFonts w:ascii="Arial" w:cs="Arial" w:eastAsia="Arial" w:hAnsi="Arial"/>
          <w:sz w:val="16"/>
          <w:szCs w:val="16"/>
          <w:color w:val="auto"/>
        </w:rPr>
        <w:t>The Disclosing Party discloses such requested information to the Receiving Party during the Term either labelled as “Confidential” or words of similar intent, or describes the disclosed information in reasonable detail in a written notice to the Receiving Party delivered, either at the time of disclosure or within five (5) days of disclosure. If a Disclosing Party neglects to label or deliver timely written notice to the Receiving Party identifying the disclosed information as confidential in nature, the disclosed information will only be treated as Confidential Information under this Agreement if the Disclosing Party is able to demonstrate by clear and convincing evidence that the Receiving Party knew that the disclosed information was a trade secret or other non-public, proprietary information of the Disclosing Party at the time of disclosure.</w:t>
      </w:r>
    </w:p>
    <w:p>
      <w:pPr>
        <w:sectPr>
          <w:pgSz w:w="11900" w:h="16838" w:orient="portrait"/>
          <w:cols w:equalWidth="0" w:num="1">
            <w:col w:w="11016"/>
          </w:cols>
          <w:pgMar w:left="444" w:top="274" w:right="439" w:bottom="1440" w:gutter="0" w:footer="0" w:header="0"/>
        </w:sectPr>
      </w:pPr>
    </w:p>
    <w:bookmarkStart w:id="433" w:name="page434"/>
    <w:bookmarkEnd w:id="433"/>
    <w:p>
      <w:pPr>
        <w:ind w:left="564"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criteria in Clause (2) and Clause (3) will not apply to Confidential Information of a Disclosing Party observed or heard by a Receiving Party in a plant, warehouse, facility or system of the Disclosing Party. The existence and terms of this Agreement, and the existence, nature and extent of the business relationship between the Parties, will be considered the Confidential Information of each Party.</w:t>
      </w:r>
    </w:p>
    <w:p>
      <w:pPr>
        <w:spacing w:after="0" w:line="52" w:lineRule="exact"/>
        <w:rPr>
          <w:sz w:val="20"/>
          <w:szCs w:val="20"/>
          <w:color w:val="auto"/>
        </w:rPr>
      </w:pPr>
    </w:p>
    <w:p>
      <w:pPr>
        <w:ind w:left="544" w:right="80" w:hanging="544"/>
        <w:spacing w:after="0" w:line="269" w:lineRule="auto"/>
        <w:tabs>
          <w:tab w:leader="none" w:pos="544" w:val="left"/>
        </w:tabs>
        <w:numPr>
          <w:ilvl w:val="0"/>
          <w:numId w:val="354"/>
        </w:numPr>
        <w:rPr>
          <w:rFonts w:ascii="Arial" w:cs="Arial" w:eastAsia="Arial" w:hAnsi="Arial"/>
          <w:sz w:val="17"/>
          <w:szCs w:val="17"/>
          <w:b w:val="1"/>
          <w:bCs w:val="1"/>
          <w:color w:val="auto"/>
        </w:rPr>
      </w:pPr>
      <w:r>
        <w:rPr>
          <w:rFonts w:ascii="Arial" w:cs="Arial" w:eastAsia="Arial" w:hAnsi="Arial"/>
          <w:sz w:val="17"/>
          <w:szCs w:val="17"/>
          <w:color w:val="auto"/>
        </w:rPr>
        <w:t>The phrase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also means the Know-How of a Disclosing Party and its direct and indirect subsidiaries that a Receiving Party and its direct and indirect subsidiaries learned of, acquired or otherwise used prior to the Effective Date. The phrase “</w:t>
      </w:r>
      <w:r>
        <w:rPr>
          <w:rFonts w:ascii="Arial" w:cs="Arial" w:eastAsia="Arial" w:hAnsi="Arial"/>
          <w:sz w:val="17"/>
          <w:szCs w:val="17"/>
          <w:u w:val="single" w:color="auto"/>
          <w:color w:val="auto"/>
        </w:rPr>
        <w:t>Know-How</w:t>
      </w:r>
      <w:r>
        <w:rPr>
          <w:rFonts w:ascii="Arial" w:cs="Arial" w:eastAsia="Arial" w:hAnsi="Arial"/>
          <w:sz w:val="17"/>
          <w:szCs w:val="17"/>
          <w:color w:val="auto"/>
        </w:rPr>
        <w:t>” means trade secret and other confidential, proprietary information of a Party or its Affiliate concerning the manufacture, storage, packaging, marketing, sale and delivery of its products. Examples of Know-How may be in the form of drawings, equipment specifications, formulae, formulations, guidelines, manuals, methods, plans, policies, procedures, processes, properties and applications of raw materials and products, tools, dies and molds. A Receiving Party and its direct and indirect subsidiaries may continue to use the Know-How of the Disclosing Party and its direct and indirect subsidiaries in the possession of the Receiving Party and its direct and indirect subsidiaries as of the Effective Date for the Authorized Purpose and in connection with the operation of the business of the Receiving Party and its direct and indirect subsidiaries. Nothing in this Subsection or any other provisions of this Agreement will obligate a Party to disclose or license the use of its Know-How of any kind and in any form arising, discovered, acquired or developed after the Effective Date to the other Party.</w:t>
      </w:r>
    </w:p>
    <w:p>
      <w:pPr>
        <w:spacing w:after="0" w:line="84" w:lineRule="exact"/>
        <w:rPr>
          <w:rFonts w:ascii="Arial" w:cs="Arial" w:eastAsia="Arial" w:hAnsi="Arial"/>
          <w:sz w:val="17"/>
          <w:szCs w:val="17"/>
          <w:b w:val="1"/>
          <w:bCs w:val="1"/>
          <w:color w:val="auto"/>
        </w:rPr>
      </w:pPr>
    </w:p>
    <w:p>
      <w:pPr>
        <w:ind w:left="544" w:right="140" w:hanging="544"/>
        <w:spacing w:after="0" w:line="282" w:lineRule="auto"/>
        <w:tabs>
          <w:tab w:leader="none" w:pos="544"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The phrase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does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include, and there will not be any duties of confidentiality or other restrictions under this Agreement for, the following types of information:</w:t>
      </w:r>
    </w:p>
    <w:p>
      <w:pPr>
        <w:spacing w:after="0" w:line="71" w:lineRule="exact"/>
        <w:rPr>
          <w:rFonts w:ascii="Arial" w:cs="Arial" w:eastAsia="Arial" w:hAnsi="Arial"/>
          <w:sz w:val="18"/>
          <w:szCs w:val="18"/>
          <w:b w:val="1"/>
          <w:bCs w:val="1"/>
          <w:color w:val="auto"/>
        </w:rPr>
      </w:pPr>
    </w:p>
    <w:p>
      <w:pPr>
        <w:ind w:left="1544" w:right="120" w:hanging="545"/>
        <w:spacing w:after="0" w:line="277" w:lineRule="auto"/>
        <w:tabs>
          <w:tab w:leader="none" w:pos="154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Information which is or becomes available as part of the public domain through any means other than as a result of a breach of this Agreement by the Receiving Party; or</w:t>
      </w:r>
    </w:p>
    <w:p>
      <w:pPr>
        <w:spacing w:after="0" w:line="75" w:lineRule="exact"/>
        <w:rPr>
          <w:rFonts w:ascii="Arial" w:cs="Arial" w:eastAsia="Arial" w:hAnsi="Arial"/>
          <w:sz w:val="18"/>
          <w:szCs w:val="18"/>
          <w:b w:val="1"/>
          <w:bCs w:val="1"/>
          <w:color w:val="auto"/>
        </w:rPr>
      </w:pPr>
    </w:p>
    <w:p>
      <w:pPr>
        <w:ind w:left="1544" w:right="420" w:hanging="545"/>
        <w:spacing w:after="0" w:line="277" w:lineRule="auto"/>
        <w:tabs>
          <w:tab w:leader="none" w:pos="154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Information, other than Know-How received prior the Effective Date, which is known to the Receiving Party before the disclosure of the same information by the Disclosing Party; or</w:t>
      </w:r>
    </w:p>
    <w:p>
      <w:pPr>
        <w:spacing w:after="0" w:line="75" w:lineRule="exact"/>
        <w:rPr>
          <w:rFonts w:ascii="Arial" w:cs="Arial" w:eastAsia="Arial" w:hAnsi="Arial"/>
          <w:sz w:val="18"/>
          <w:szCs w:val="18"/>
          <w:b w:val="1"/>
          <w:bCs w:val="1"/>
          <w:color w:val="auto"/>
        </w:rPr>
      </w:pPr>
    </w:p>
    <w:p>
      <w:pPr>
        <w:ind w:left="1544" w:right="220" w:hanging="545"/>
        <w:spacing w:after="0" w:line="277" w:lineRule="auto"/>
        <w:tabs>
          <w:tab w:leader="none" w:pos="154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Information which is or becomes available to the Receiving Party from a third-party who is not under any duty to preserve the confidentiality of such information; or</w:t>
      </w:r>
    </w:p>
    <w:p>
      <w:pPr>
        <w:spacing w:after="0" w:line="75" w:lineRule="exact"/>
        <w:rPr>
          <w:rFonts w:ascii="Arial" w:cs="Arial" w:eastAsia="Arial" w:hAnsi="Arial"/>
          <w:sz w:val="18"/>
          <w:szCs w:val="18"/>
          <w:b w:val="1"/>
          <w:bCs w:val="1"/>
          <w:color w:val="auto"/>
        </w:rPr>
      </w:pPr>
    </w:p>
    <w:p>
      <w:pPr>
        <w:ind w:left="1544" w:right="480" w:hanging="545"/>
        <w:spacing w:after="0" w:line="277" w:lineRule="auto"/>
        <w:tabs>
          <w:tab w:leader="none" w:pos="154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Information which is furnished by the Disclosing Party to a third-party without imposing any duty on the third-party to preserve the confidentiality of such information; or</w:t>
      </w:r>
    </w:p>
    <w:p>
      <w:pPr>
        <w:spacing w:after="0" w:line="75" w:lineRule="exact"/>
        <w:rPr>
          <w:rFonts w:ascii="Arial" w:cs="Arial" w:eastAsia="Arial" w:hAnsi="Arial"/>
          <w:sz w:val="18"/>
          <w:szCs w:val="18"/>
          <w:b w:val="1"/>
          <w:bCs w:val="1"/>
          <w:color w:val="auto"/>
        </w:rPr>
      </w:pPr>
    </w:p>
    <w:p>
      <w:pPr>
        <w:ind w:left="1544" w:hanging="545"/>
        <w:spacing w:after="0" w:line="264" w:lineRule="auto"/>
        <w:tabs>
          <w:tab w:leader="none" w:pos="154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Information which is independently developed by the Receiving Party without the use of or reliance on any trade secret or other non-public, proprietary information provided by the Disclosing Party as Confidential Information under this Agreement or under any prior agreement between the Parties; or</w:t>
      </w:r>
    </w:p>
    <w:p>
      <w:pPr>
        <w:spacing w:after="0" w:line="86" w:lineRule="exact"/>
        <w:rPr>
          <w:rFonts w:ascii="Arial" w:cs="Arial" w:eastAsia="Arial" w:hAnsi="Arial"/>
          <w:sz w:val="18"/>
          <w:szCs w:val="18"/>
          <w:b w:val="1"/>
          <w:bCs w:val="1"/>
          <w:color w:val="auto"/>
        </w:rPr>
      </w:pPr>
    </w:p>
    <w:p>
      <w:pPr>
        <w:ind w:left="1544" w:right="200" w:hanging="545"/>
        <w:spacing w:after="0" w:line="264" w:lineRule="auto"/>
        <w:tabs>
          <w:tab w:leader="none" w:pos="154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Information that ceases to be a trade secret or other non-public, proprietary information of the Disclosing Party under applicable law through any means other than those enumerated above that does not involve nor result from a breach of this Agreement by the Receiving Party.</w:t>
      </w:r>
    </w:p>
    <w:p>
      <w:pPr>
        <w:spacing w:after="0" w:line="86" w:lineRule="exact"/>
        <w:rPr>
          <w:rFonts w:ascii="Arial" w:cs="Arial" w:eastAsia="Arial" w:hAnsi="Arial"/>
          <w:sz w:val="18"/>
          <w:szCs w:val="18"/>
          <w:b w:val="1"/>
          <w:bCs w:val="1"/>
          <w:color w:val="auto"/>
        </w:rPr>
      </w:pPr>
    </w:p>
    <w:p>
      <w:pPr>
        <w:ind w:left="544" w:right="60" w:hanging="544"/>
        <w:spacing w:after="0" w:line="254" w:lineRule="auto"/>
        <w:tabs>
          <w:tab w:leader="none" w:pos="544"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A Party may request and disclose Confidential Information in any form or medium. Confidential Information may include, without limitation, information concerning the assets, liabilities, financing, financial statements, ownership, goods, services, customers, suppliers, marketing, manufacturing, equipment, software, technology, supply chain, business strategies, plans, models, policies, methods, processes, formulae, specifications, drawings, schematics, software and technical know-how of a Disclosing Party. A Receiving Party will take all commercially reasonable actions required to safeguard the Confidential Information of a Disclosing Party in the possession of such Receiving Party against the unauthorized disclosure or use of the Confidential Information by other persons. A Receiving Party will promptly notify the Disclosing Party if the Receiving Party learns of any unauthorized disclosure or use of the Confidential Information of the Disclosing Party by any</w:t>
      </w:r>
    </w:p>
    <w:p>
      <w:pPr>
        <w:sectPr>
          <w:pgSz w:w="11900" w:h="16838" w:orient="portrait"/>
          <w:cols w:equalWidth="0" w:num="1">
            <w:col w:w="10584"/>
          </w:cols>
          <w:pgMar w:left="876" w:top="274" w:right="439" w:bottom="1440" w:gutter="0" w:footer="0" w:header="0"/>
        </w:sectPr>
      </w:pPr>
    </w:p>
    <w:bookmarkStart w:id="434" w:name="page435"/>
    <w:bookmarkEnd w:id="434"/>
    <w:p>
      <w:pPr>
        <w:ind w:left="544"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A Receiving Party will cooperate in good faith with the Disclosing Party to prevent any unauthorized disclosure or use of the Confidential Information of the Disclosing Party by any person.</w:t>
      </w:r>
    </w:p>
    <w:p>
      <w:pPr>
        <w:spacing w:after="0" w:line="76" w:lineRule="exact"/>
        <w:rPr>
          <w:sz w:val="20"/>
          <w:szCs w:val="20"/>
          <w:color w:val="auto"/>
        </w:rPr>
      </w:pPr>
    </w:p>
    <w:p>
      <w:pPr>
        <w:ind w:left="544" w:hanging="544"/>
        <w:spacing w:after="0"/>
        <w:tabs>
          <w:tab w:leader="none" w:pos="544"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A Receiving Party will not disclose nor use the Confidential Information of a Disclosing Party except as follows:</w:t>
      </w:r>
    </w:p>
    <w:p>
      <w:pPr>
        <w:spacing w:after="0" w:line="130" w:lineRule="exact"/>
        <w:rPr>
          <w:rFonts w:ascii="Arial" w:cs="Arial" w:eastAsia="Arial" w:hAnsi="Arial"/>
          <w:sz w:val="18"/>
          <w:szCs w:val="18"/>
          <w:b w:val="1"/>
          <w:bCs w:val="1"/>
          <w:color w:val="auto"/>
        </w:rPr>
      </w:pPr>
    </w:p>
    <w:p>
      <w:pPr>
        <w:ind w:left="1544" w:hanging="545"/>
        <w:spacing w:after="0" w:line="269" w:lineRule="auto"/>
        <w:tabs>
          <w:tab w:leader="none" w:pos="1544" w:val="left"/>
        </w:tabs>
        <w:numPr>
          <w:ilvl w:val="1"/>
          <w:numId w:val="355"/>
        </w:numPr>
        <w:rPr>
          <w:rFonts w:ascii="Arial" w:cs="Arial" w:eastAsia="Arial" w:hAnsi="Arial"/>
          <w:sz w:val="17"/>
          <w:szCs w:val="17"/>
          <w:b w:val="1"/>
          <w:bCs w:val="1"/>
          <w:color w:val="auto"/>
        </w:rPr>
      </w:pPr>
      <w:r>
        <w:rPr>
          <w:rFonts w:ascii="Arial" w:cs="Arial" w:eastAsia="Arial" w:hAnsi="Arial"/>
          <w:sz w:val="17"/>
          <w:szCs w:val="17"/>
          <w:color w:val="auto"/>
        </w:rPr>
        <w:t>A Receiving Party may disclose Confidential Information of a Disclosing Party on a “</w:t>
      </w:r>
      <w:r>
        <w:rPr>
          <w:rFonts w:ascii="Arial" w:cs="Arial" w:eastAsia="Arial" w:hAnsi="Arial"/>
          <w:sz w:val="17"/>
          <w:szCs w:val="17"/>
          <w:i w:val="1"/>
          <w:iCs w:val="1"/>
          <w:color w:val="auto"/>
        </w:rPr>
        <w:t>need to know</w:t>
      </w:r>
      <w:r>
        <w:rPr>
          <w:rFonts w:ascii="Arial" w:cs="Arial" w:eastAsia="Arial" w:hAnsi="Arial"/>
          <w:sz w:val="17"/>
          <w:szCs w:val="17"/>
          <w:color w:val="auto"/>
        </w:rPr>
        <w:t>” basis to the Representatives of the Receiving Party who require such information for the Authorized Purpose and in order for the Receiving Party and its Affiliates to comply with Applicable Laws, accounting standards and securities exchange requirements. Before making such a disclosure, the Receiving Party will advise the Representatives of the confidential nature of the information being shared and ensure that duties and restrictions are, or have been, imposed on the Representatives receiving the Confidential Information similar to those imposed on the Receiving Party under this Agreement. A Receiving Party will be liable for any breach of this Agreement by its Representatives. An “</w:t>
      </w:r>
      <w:r>
        <w:rPr>
          <w:rFonts w:ascii="Arial" w:cs="Arial" w:eastAsia="Arial" w:hAnsi="Arial"/>
          <w:sz w:val="17"/>
          <w:szCs w:val="17"/>
          <w:u w:val="single" w:color="auto"/>
          <w:color w:val="auto"/>
        </w:rPr>
        <w:t>Affiliate</w:t>
      </w:r>
      <w:r>
        <w:rPr>
          <w:rFonts w:ascii="Arial" w:cs="Arial" w:eastAsia="Arial" w:hAnsi="Arial"/>
          <w:sz w:val="17"/>
          <w:szCs w:val="17"/>
          <w:color w:val="auto"/>
        </w:rPr>
        <w:t>” of a Party means a legal entity that owns and controls, or is owned and controlled by, or is under common ownership and control with, a Party (other than the other Party or any of its direct and indirect subsidiaries), with ownership and control of a legal entity being determined by the ownership of the majority voting interest in the legal entity. A “</w:t>
      </w:r>
      <w:r>
        <w:rPr>
          <w:rFonts w:ascii="Arial" w:cs="Arial" w:eastAsia="Arial" w:hAnsi="Arial"/>
          <w:sz w:val="17"/>
          <w:szCs w:val="17"/>
          <w:u w:val="single" w:color="auto"/>
          <w:color w:val="auto"/>
        </w:rPr>
        <w:t>Representative</w:t>
      </w:r>
      <w:r>
        <w:rPr>
          <w:rFonts w:ascii="Arial" w:cs="Arial" w:eastAsia="Arial" w:hAnsi="Arial"/>
          <w:sz w:val="17"/>
          <w:szCs w:val="17"/>
          <w:color w:val="auto"/>
        </w:rPr>
        <w:t>” means the Affiliates of a Party and the directors, officers, managers, employees, accountants, attorneys, auditors and other agents and consultants of a Party and its Affiliates.</w:t>
      </w:r>
    </w:p>
    <w:p>
      <w:pPr>
        <w:spacing w:after="0" w:line="85" w:lineRule="exact"/>
        <w:rPr>
          <w:rFonts w:ascii="Arial" w:cs="Arial" w:eastAsia="Arial" w:hAnsi="Arial"/>
          <w:sz w:val="17"/>
          <w:szCs w:val="17"/>
          <w:b w:val="1"/>
          <w:bCs w:val="1"/>
          <w:color w:val="auto"/>
        </w:rPr>
      </w:pPr>
    </w:p>
    <w:p>
      <w:pPr>
        <w:ind w:left="1544" w:right="20" w:hanging="545"/>
        <w:spacing w:after="0" w:line="271" w:lineRule="auto"/>
        <w:tabs>
          <w:tab w:leader="none" w:pos="1544" w:val="left"/>
        </w:tabs>
        <w:numPr>
          <w:ilvl w:val="1"/>
          <w:numId w:val="355"/>
        </w:numPr>
        <w:rPr>
          <w:rFonts w:ascii="Arial" w:cs="Arial" w:eastAsia="Arial" w:hAnsi="Arial"/>
          <w:sz w:val="17"/>
          <w:szCs w:val="17"/>
          <w:b w:val="1"/>
          <w:bCs w:val="1"/>
          <w:color w:val="auto"/>
        </w:rPr>
      </w:pPr>
      <w:r>
        <w:rPr>
          <w:rFonts w:ascii="Arial" w:cs="Arial" w:eastAsia="Arial" w:hAnsi="Arial"/>
          <w:sz w:val="17"/>
          <w:szCs w:val="17"/>
          <w:color w:val="auto"/>
        </w:rPr>
        <w:t>A Receiving Party may disclose Confidential Information of a Disclosing Party to a court, governmental entity or any other person in order for the Receiving Party and its Affiliates to comply with Applicable Laws, accounting standards and securities exchange requirements. If legally permissible and reasonably possible, a Receiving Party will notify the Disclosing Party prior to disclosing its Confidential Information pursuant to this Section and cooperate in good faith with any lawful efforts by the Disclosing Party to avoid or limit the disclosure of its Confidential Information. A Receiving Party will not be obligated to incur any liability, expense or risk in extending such cooperation to a Disclosing Party. Based on legal advice of its attorney, a Receiving Party may disclose the Confidential Information of the Disclosing Party by any deadline established under an Applicable Law, accounting standard and securities exchange requirement.</w:t>
      </w:r>
    </w:p>
    <w:p>
      <w:pPr>
        <w:spacing w:after="0" w:line="84" w:lineRule="exact"/>
        <w:rPr>
          <w:rFonts w:ascii="Arial" w:cs="Arial" w:eastAsia="Arial" w:hAnsi="Arial"/>
          <w:sz w:val="17"/>
          <w:szCs w:val="17"/>
          <w:b w:val="1"/>
          <w:bCs w:val="1"/>
          <w:color w:val="auto"/>
        </w:rPr>
      </w:pPr>
    </w:p>
    <w:p>
      <w:pPr>
        <w:ind w:left="1544" w:right="60" w:hanging="545"/>
        <w:spacing w:after="0" w:line="255" w:lineRule="auto"/>
        <w:tabs>
          <w:tab w:leader="none" w:pos="1544"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 Receiving Party may disclose and use the Confidential Information of a Disclosing Party to enforce or interpret this Agreement or any other agreement with the Disclosing Party in any arbitration, court or other legal proceeding. A Receiving Party may disclose and use this Confidential Information of a Disclosing Party to defend the Receiving Party or its Affiliates or their respective Representatives in any arbitration, court or other legal proceeding. In either circumstance, the Receiving Party will ensure that a protective order, agreement or other mechanism is in place to preserve the confidentiality of the Confidential Information.</w:t>
      </w:r>
    </w:p>
    <w:p>
      <w:pPr>
        <w:spacing w:after="0" w:line="98" w:lineRule="exact"/>
        <w:rPr>
          <w:rFonts w:ascii="Arial" w:cs="Arial" w:eastAsia="Arial" w:hAnsi="Arial"/>
          <w:sz w:val="18"/>
          <w:szCs w:val="18"/>
          <w:b w:val="1"/>
          <w:bCs w:val="1"/>
          <w:color w:val="auto"/>
        </w:rPr>
      </w:pPr>
    </w:p>
    <w:p>
      <w:pPr>
        <w:ind w:left="1544" w:right="80" w:hanging="545"/>
        <w:spacing w:after="0" w:line="264" w:lineRule="auto"/>
        <w:tabs>
          <w:tab w:leader="none" w:pos="1544"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 Receiving Party and its Representatives may disclose and use the Confidential Information for any other purpose consented to by a Disclosing Party in a written notice signed by an officer of the Disclosing Party delivered to the Receiving Party.</w:t>
      </w:r>
    </w:p>
    <w:p>
      <w:pPr>
        <w:spacing w:after="0" w:line="86" w:lineRule="exact"/>
        <w:rPr>
          <w:rFonts w:ascii="Arial" w:cs="Arial" w:eastAsia="Arial" w:hAnsi="Arial"/>
          <w:sz w:val="18"/>
          <w:szCs w:val="18"/>
          <w:b w:val="1"/>
          <w:bCs w:val="1"/>
          <w:color w:val="auto"/>
        </w:rPr>
      </w:pPr>
    </w:p>
    <w:p>
      <w:pPr>
        <w:ind w:left="544" w:right="360" w:hanging="544"/>
        <w:spacing w:after="0" w:line="277" w:lineRule="auto"/>
        <w:tabs>
          <w:tab w:leader="none" w:pos="544"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In disclosing its Confidential Information to a Receiving Party, a Disclosing Party represents, warrants and covenants to the Receiving Party that:</w:t>
      </w:r>
    </w:p>
    <w:p>
      <w:pPr>
        <w:spacing w:after="0" w:line="75" w:lineRule="exact"/>
        <w:rPr>
          <w:rFonts w:ascii="Arial" w:cs="Arial" w:eastAsia="Arial" w:hAnsi="Arial"/>
          <w:sz w:val="18"/>
          <w:szCs w:val="18"/>
          <w:b w:val="1"/>
          <w:bCs w:val="1"/>
          <w:color w:val="auto"/>
        </w:rPr>
      </w:pPr>
    </w:p>
    <w:p>
      <w:pPr>
        <w:ind w:left="1544" w:right="60" w:hanging="545"/>
        <w:spacing w:after="0" w:line="277" w:lineRule="auto"/>
        <w:tabs>
          <w:tab w:leader="none" w:pos="1544"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The Disclosing Party owns and has the right to disclose and authorize the use of Confidential Information as provided in this Agreement.</w:t>
      </w:r>
    </w:p>
    <w:p>
      <w:pPr>
        <w:sectPr>
          <w:pgSz w:w="11900" w:h="16838" w:orient="portrait"/>
          <w:cols w:equalWidth="0" w:num="1">
            <w:col w:w="10584"/>
          </w:cols>
          <w:pgMar w:left="876" w:top="274" w:right="439" w:bottom="1440" w:gutter="0" w:footer="0" w:header="0"/>
        </w:sectPr>
      </w:pPr>
    </w:p>
    <w:bookmarkStart w:id="435" w:name="page436"/>
    <w:bookmarkEnd w:id="435"/>
    <w:p>
      <w:pPr>
        <w:ind w:left="1544" w:right="40" w:hanging="545"/>
        <w:spacing w:after="0" w:line="277" w:lineRule="auto"/>
        <w:tabs>
          <w:tab w:leader="none" w:pos="1544"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Receiving Party and its Representatives may use the Confidential Information of the Disclosing Party for the Authorized Purpose and other limited purposes provided in this Agreement.</w:t>
      </w:r>
    </w:p>
    <w:p>
      <w:pPr>
        <w:spacing w:after="0" w:line="75" w:lineRule="exact"/>
        <w:rPr>
          <w:rFonts w:ascii="Arial" w:cs="Arial" w:eastAsia="Arial" w:hAnsi="Arial"/>
          <w:sz w:val="18"/>
          <w:szCs w:val="18"/>
          <w:b w:val="1"/>
          <w:bCs w:val="1"/>
          <w:color w:val="auto"/>
        </w:rPr>
      </w:pPr>
    </w:p>
    <w:p>
      <w:pPr>
        <w:ind w:left="1544" w:right="20" w:hanging="545"/>
        <w:spacing w:after="0" w:line="259" w:lineRule="auto"/>
        <w:tabs>
          <w:tab w:leader="none" w:pos="1544"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The Disclosing Party will indemnify, defend and hold harmless the Receiving Party and its Representatives against any claim of a third-party that the disclosure and use of the Confidential Information of the Disclosing Party as provided in this Agreement infringes on a patent, trademark, copyright, trade secret or other intellectual property of the third-party registered in or otherwise recognized and enforceable under Applicable Laws.</w:t>
      </w:r>
    </w:p>
    <w:p>
      <w:pPr>
        <w:spacing w:after="0" w:line="79" w:lineRule="exact"/>
        <w:rPr>
          <w:sz w:val="20"/>
          <w:szCs w:val="20"/>
          <w:color w:val="auto"/>
        </w:rPr>
      </w:pPr>
    </w:p>
    <w:p>
      <w:pPr>
        <w:ind w:left="564" w:right="140"/>
        <w:spacing w:after="0" w:line="259" w:lineRule="auto"/>
        <w:rPr>
          <w:sz w:val="20"/>
          <w:szCs w:val="20"/>
          <w:color w:val="auto"/>
        </w:rPr>
      </w:pPr>
      <w:r>
        <w:rPr>
          <w:rFonts w:ascii="Arial" w:cs="Arial" w:eastAsia="Arial" w:hAnsi="Arial"/>
          <w:sz w:val="18"/>
          <w:szCs w:val="18"/>
          <w:color w:val="auto"/>
        </w:rPr>
        <w:t>Except for the limited representations and warranties in this Section, a Disclosing Party disclaims all other representations and warranties of any kind related to its Confidential Information, whether express, implied or arising by operation of law, including the disclaimer, without limitation, of any representation and warranties concerning merchantability, fitness for a particular purpose, truth, accuracy or completeness.</w:t>
      </w:r>
    </w:p>
    <w:p>
      <w:pPr>
        <w:spacing w:after="0" w:line="92" w:lineRule="exact"/>
        <w:rPr>
          <w:sz w:val="20"/>
          <w:szCs w:val="20"/>
          <w:color w:val="auto"/>
        </w:rPr>
      </w:pPr>
    </w:p>
    <w:p>
      <w:pPr>
        <w:ind w:left="544" w:hanging="544"/>
        <w:spacing w:after="0"/>
        <w:tabs>
          <w:tab w:leader="none" w:pos="544"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Parties under this Section with regards to disclosed Confidential Information will continue:</w:t>
      </w:r>
    </w:p>
    <w:p>
      <w:pPr>
        <w:spacing w:after="0" w:line="130" w:lineRule="exact"/>
        <w:rPr>
          <w:rFonts w:ascii="Arial" w:cs="Arial" w:eastAsia="Arial" w:hAnsi="Arial"/>
          <w:sz w:val="18"/>
          <w:szCs w:val="18"/>
          <w:b w:val="1"/>
          <w:bCs w:val="1"/>
          <w:color w:val="auto"/>
        </w:rPr>
      </w:pPr>
    </w:p>
    <w:p>
      <w:pPr>
        <w:ind w:left="1544" w:hanging="545"/>
        <w:spacing w:after="0" w:line="264" w:lineRule="auto"/>
        <w:tabs>
          <w:tab w:leader="none" w:pos="1544"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t>Until the earlier of (i) sixty (60) months from the date of disclosure to a Receiving Party or (ii) the date such information ceases to be considered Confidential Information under this Agreement, for Confidential Information that is not a trade secret of a Disclosing Party under Applicable Law; and</w:t>
      </w:r>
    </w:p>
    <w:p>
      <w:pPr>
        <w:spacing w:after="0" w:line="86" w:lineRule="exact"/>
        <w:rPr>
          <w:rFonts w:ascii="Arial" w:cs="Arial" w:eastAsia="Arial" w:hAnsi="Arial"/>
          <w:sz w:val="18"/>
          <w:szCs w:val="18"/>
          <w:b w:val="1"/>
          <w:bCs w:val="1"/>
          <w:color w:val="auto"/>
        </w:rPr>
      </w:pPr>
    </w:p>
    <w:p>
      <w:pPr>
        <w:ind w:left="1544" w:right="40" w:hanging="545"/>
        <w:spacing w:after="0" w:line="277" w:lineRule="auto"/>
        <w:tabs>
          <w:tab w:leader="none" w:pos="1544"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t>Until Confidential Information that is a trade secret of a Disclosing Party under Applicable Law ceases to be a trade secret of the Disclosing Party under Applicable Law.</w:t>
      </w:r>
    </w:p>
    <w:p>
      <w:pPr>
        <w:spacing w:after="0" w:line="75" w:lineRule="exact"/>
        <w:rPr>
          <w:rFonts w:ascii="Arial" w:cs="Arial" w:eastAsia="Arial" w:hAnsi="Arial"/>
          <w:sz w:val="18"/>
          <w:szCs w:val="18"/>
          <w:b w:val="1"/>
          <w:bCs w:val="1"/>
          <w:color w:val="auto"/>
        </w:rPr>
      </w:pPr>
    </w:p>
    <w:p>
      <w:pPr>
        <w:ind w:left="544" w:hanging="544"/>
        <w:spacing w:after="0" w:line="289" w:lineRule="auto"/>
        <w:tabs>
          <w:tab w:leader="none" w:pos="544" w:val="left"/>
        </w:tabs>
        <w:numPr>
          <w:ilvl w:val="0"/>
          <w:numId w:val="357"/>
        </w:numPr>
        <w:rPr>
          <w:rFonts w:ascii="Arial" w:cs="Arial" w:eastAsia="Arial" w:hAnsi="Arial"/>
          <w:sz w:val="16"/>
          <w:szCs w:val="16"/>
          <w:b w:val="1"/>
          <w:bCs w:val="1"/>
          <w:color w:val="auto"/>
        </w:rPr>
      </w:pPr>
      <w:r>
        <w:rPr>
          <w:rFonts w:ascii="Arial" w:cs="Arial" w:eastAsia="Arial" w:hAnsi="Arial"/>
          <w:sz w:val="16"/>
          <w:szCs w:val="16"/>
          <w:color w:val="auto"/>
        </w:rPr>
        <w:t>A Receiving Party will return or destroy all forms of Confidential Information of the Disclosing Party in the custody of the Receiving Party and its Representatives within ten (10) days of receipt of a written request from the Disclosing Party and after the expiration or earlier termination of this Agreement. This will include, without limitation, all copies, records, documents and other information representing, comprising, containing, referencing or created based on Confidential Information of the Disclosing Party. Notwithstanding the foregoing, a Receiving Party and its Representatives may retain copies of Confidential Information of the Disclosing Party which (x) the Receiving Party and its Representatives are required to retain to comply with Applicable Laws, accounting standards and security exchange requirements (but only for the duration and in the manner so required for this limited purpose); or (y) have been archived in electronic form by the Receiving Party and its Representatives and which would be unduly burdensome for the Receiving Party and its Representatives to have to search for and delete the Confidential Information of the Disclosing Party.</w:t>
      </w:r>
    </w:p>
    <w:p>
      <w:pPr>
        <w:spacing w:after="0" w:line="72" w:lineRule="exact"/>
        <w:rPr>
          <w:rFonts w:ascii="Arial" w:cs="Arial" w:eastAsia="Arial" w:hAnsi="Arial"/>
          <w:sz w:val="16"/>
          <w:szCs w:val="16"/>
          <w:b w:val="1"/>
          <w:bCs w:val="1"/>
          <w:color w:val="auto"/>
        </w:rPr>
      </w:pPr>
    </w:p>
    <w:p>
      <w:pPr>
        <w:ind w:left="544" w:right="20" w:hanging="544"/>
        <w:spacing w:after="0" w:line="253" w:lineRule="auto"/>
        <w:tabs>
          <w:tab w:leader="none" w:pos="544"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Except for the limited right to disclose and use Confidential Information of a Disclosing Party for the Authorized Purpose and other purposes provided in the this Section and except for any license of intellectual property granted by a Disclosing Party to the Receiving Party in a Purchase Schedule, this Agreement does not grant a Receiving Party or its Representatives any right, title, interest or ownership in the Confidential Information of the Disclosing Party nor in any patent, trademark, copyright or other intellectual property of the Disclosing Party. As between the Parties during the Term, to be effective, the grant of any right, title, interest and ownership in and to any Confidential Information of Party or in an patents, trademarks, copyrights and other intellectual property of the Party must be in writing and signed by the chief executive officers of the Parties. During the Term, a Party will not develop intellectual property for, on behalf of, or in collaboration with, the other Party unless the Parties have entered into a Purchase Schedule or other separate written agreement signed by an officer of each Party.</w:t>
      </w:r>
    </w:p>
    <w:p>
      <w:pPr>
        <w:sectPr>
          <w:pgSz w:w="11900" w:h="16838" w:orient="portrait"/>
          <w:cols w:equalWidth="0" w:num="1">
            <w:col w:w="10584"/>
          </w:cols>
          <w:pgMar w:left="876" w:top="273" w:right="439" w:bottom="1440" w:gutter="0" w:footer="0" w:header="0"/>
        </w:sectPr>
      </w:pPr>
    </w:p>
    <w:bookmarkStart w:id="436" w:name="page437"/>
    <w:bookmarkEnd w:id="436"/>
    <w:p>
      <w:pPr>
        <w:ind w:left="396" w:hanging="396"/>
        <w:spacing w:after="0"/>
        <w:tabs>
          <w:tab w:leader="none" w:pos="39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Resolution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76" w:right="100" w:hanging="544"/>
        <w:spacing w:after="0" w:line="259" w:lineRule="auto"/>
        <w:tabs>
          <w:tab w:leader="none" w:pos="976" w:val="left"/>
        </w:tabs>
        <w:numPr>
          <w:ilvl w:val="1"/>
          <w:numId w:val="3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Negotiation</w:t>
      </w:r>
      <w:r>
        <w:rPr>
          <w:rFonts w:ascii="Arial" w:cs="Arial" w:eastAsia="Arial" w:hAnsi="Arial"/>
          <w:sz w:val="18"/>
          <w:szCs w:val="18"/>
          <w:color w:val="auto"/>
        </w:rPr>
        <w:t>. If a Party believes that the other Party has breached this Agreement or if there is a dispute between the Parties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 of this Agreement (a “</w:t>
      </w:r>
      <w:r>
        <w:rPr>
          <w:rFonts w:ascii="Arial" w:cs="Arial" w:eastAsia="Arial" w:hAnsi="Arial"/>
          <w:sz w:val="18"/>
          <w:szCs w:val="18"/>
          <w:u w:val="single" w:color="auto"/>
          <w:color w:val="auto"/>
        </w:rPr>
        <w:t>Dispute</w:t>
      </w:r>
      <w:r>
        <w:rPr>
          <w:rFonts w:ascii="Arial" w:cs="Arial" w:eastAsia="Arial" w:hAnsi="Arial"/>
          <w:sz w:val="18"/>
          <w:szCs w:val="18"/>
          <w:color w:val="auto"/>
        </w:rPr>
        <w:t>”), the Parties will endeavor to resolve the Dispute through good faith negotiation for a period of thirty (30) days after a Party notifies the other Party of the Dispute and before either Party requests mediation or files litigation to resolve the Dispute.</w:t>
      </w:r>
    </w:p>
    <w:p>
      <w:pPr>
        <w:spacing w:after="0" w:line="92" w:lineRule="exact"/>
        <w:rPr>
          <w:rFonts w:ascii="Arial" w:cs="Arial" w:eastAsia="Arial" w:hAnsi="Arial"/>
          <w:sz w:val="18"/>
          <w:szCs w:val="18"/>
          <w:b w:val="1"/>
          <w:bCs w:val="1"/>
          <w:color w:val="auto"/>
        </w:rPr>
      </w:pPr>
    </w:p>
    <w:p>
      <w:pPr>
        <w:ind w:left="976" w:right="80" w:hanging="544"/>
        <w:spacing w:after="0" w:line="293" w:lineRule="auto"/>
        <w:tabs>
          <w:tab w:leader="none" w:pos="976" w:val="left"/>
        </w:tabs>
        <w:numPr>
          <w:ilvl w:val="1"/>
          <w:numId w:val="3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Mediation</w:t>
      </w:r>
      <w:r>
        <w:rPr>
          <w:rFonts w:ascii="Arial" w:cs="Arial" w:eastAsia="Arial" w:hAnsi="Arial"/>
          <w:sz w:val="16"/>
          <w:szCs w:val="16"/>
          <w:color w:val="auto"/>
        </w:rPr>
        <w:t>. If the Parties have been unable to resolve a Dispute through good faith negotiation as provided in the prior Subsection,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request that the Parties attempt to resolve the Dispute through mediation by notifying the other Party with a copy to JAMS. The Parties will attempt to select a mutually acceptable JAMS mediator within ten (10) days of the notice requesting mediation. The mediation will be held in Lake County or Cook County, Illinois within thirty (30) days of the notice requesting mediation before a JAMS mediator and in compliance with JAMS mediation guidelines. Each party will bear its own costs in preparing for and participating in the mediation and one-half of the fees and expenses charged by JAMS for conducting the mediation.</w:t>
      </w:r>
    </w:p>
    <w:p>
      <w:pPr>
        <w:spacing w:after="0" w:line="70" w:lineRule="exact"/>
        <w:rPr>
          <w:rFonts w:ascii="Arial" w:cs="Arial" w:eastAsia="Arial" w:hAnsi="Arial"/>
          <w:sz w:val="16"/>
          <w:szCs w:val="16"/>
          <w:b w:val="1"/>
          <w:bCs w:val="1"/>
          <w:color w:val="auto"/>
        </w:rPr>
      </w:pPr>
    </w:p>
    <w:p>
      <w:pPr>
        <w:ind w:left="976" w:right="60" w:hanging="544"/>
        <w:spacing w:after="0" w:line="289" w:lineRule="auto"/>
        <w:tabs>
          <w:tab w:leader="none" w:pos="976" w:val="left"/>
        </w:tabs>
        <w:numPr>
          <w:ilvl w:val="1"/>
          <w:numId w:val="3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If the Parties have been unable to resolve a Dispute through mediation as provided in the prior Subsection, a Party may file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litigation against the other Party in a court of competent jurisdiction in the United States of America. With respect to litigation involving only the Parties or their Affiliates, the Parties irrevocably consent to the exclusive personal jurisdiction and venue of the U.S. federal and Illinois state courts of competent subject matter jurisdiction located in Lake County, Illinois or Cook County, Illinois and their respective higher courts of appeal for the limited purpose of resolving a Dispute, and the Parties waive, to the fullest extent permitted by law, any defense of inconvenient forum. The Parties waive any right to trial by jury as to any Disputes resolved through litigation. Notwithstanding the foregoing, a Party may file litigation to resolve a Dispute without undergoing either negotiation or mediation as provided in the prior Subsections for any Dispute involving: (i) infringement on intellectual property; (ii) the unauthorized use or disclosure of Confidential Information; or (iii) a request for a temporary restraining order, a preliminary or permanent injunction or any other type of equitable relief.</w:t>
      </w:r>
    </w:p>
    <w:p>
      <w:pPr>
        <w:spacing w:after="0" w:line="72" w:lineRule="exact"/>
        <w:rPr>
          <w:rFonts w:ascii="Arial" w:cs="Arial" w:eastAsia="Arial" w:hAnsi="Arial"/>
          <w:sz w:val="16"/>
          <w:szCs w:val="16"/>
          <w:b w:val="1"/>
          <w:bCs w:val="1"/>
          <w:color w:val="auto"/>
        </w:rPr>
      </w:pPr>
    </w:p>
    <w:p>
      <w:pPr>
        <w:ind w:left="976" w:hanging="544"/>
        <w:spacing w:after="0" w:line="287" w:lineRule="auto"/>
        <w:tabs>
          <w:tab w:leader="none" w:pos="976" w:val="left"/>
        </w:tabs>
        <w:numPr>
          <w:ilvl w:val="1"/>
          <w:numId w:val="3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Remedies. </w:t>
      </w:r>
      <w:r>
        <w:rPr>
          <w:rFonts w:ascii="Arial" w:cs="Arial" w:eastAsia="Arial" w:hAnsi="Arial"/>
          <w:sz w:val="16"/>
          <w:szCs w:val="16"/>
          <w:color w:val="auto"/>
        </w:rPr>
        <w:t>Except as expressly limited in the preceding Subsections and the other provisions in this Agreement, a Party may immediately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any rights and remedies available to the Party under Applicable Law upon a breach of this Agreement by the other Party. A Party will not suspend performance under or terminate this Agreement or any accepted purchase order for a product being purchased and sold under this Agreement unless: (1) the other Party is in material breach of this Agreement and has either refused to cure the material breach or has failed to cure the material breach within thirty (30) day of its receipt of written notice of the failure; and (2) the Parties have been unable to resolve the Dispute related to the material breach through negotiation or mediation, or the breaching Party has refused or failed to attempt to resolve the Dispute through negotiation or mediation, as provided in this Section. Notwithstanding the foregoing, a Party may suspend performance or terminate this Agreement or any accepted purchase order for a product being purchase and sold under this Agreement immediately on written notice to the other Party, and without providing the other Party an opportunity to cure the material breach or attempting to resolve a Dispute over the material breach by negotiation or mediation as provided in this Section, for a material breach by the other Party involving substantial harm to the reputation, goodwill and business of the non-breaching Party that cannot reasonably be avoided or fully redressed by providing the other Party an opportunity to cure the material breach.</w:t>
      </w:r>
    </w:p>
    <w:p>
      <w:pPr>
        <w:spacing w:after="0" w:line="70" w:lineRule="exact"/>
        <w:rPr>
          <w:rFonts w:ascii="Arial" w:cs="Arial" w:eastAsia="Arial" w:hAnsi="Arial"/>
          <w:sz w:val="16"/>
          <w:szCs w:val="16"/>
          <w:b w:val="1"/>
          <w:bCs w:val="1"/>
          <w:color w:val="auto"/>
        </w:rPr>
      </w:pPr>
    </w:p>
    <w:p>
      <w:pPr>
        <w:ind w:left="976" w:right="180" w:hanging="544"/>
        <w:spacing w:after="0" w:line="314" w:lineRule="auto"/>
        <w:tabs>
          <w:tab w:leader="none" w:pos="976" w:val="left"/>
        </w:tabs>
        <w:numPr>
          <w:ilvl w:val="1"/>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Late Fees and Collection Costs</w:t>
      </w:r>
      <w:r>
        <w:rPr>
          <w:rFonts w:ascii="Arial" w:cs="Arial" w:eastAsia="Arial" w:hAnsi="Arial"/>
          <w:sz w:val="16"/>
          <w:szCs w:val="16"/>
          <w:color w:val="auto"/>
        </w:rPr>
        <w:t>. If Buyer fails to pay Seller an amount owed under this Agreement by the invoice due date, then Buyer</w:t>
      </w:r>
      <w:r>
        <w:rPr>
          <w:rFonts w:ascii="Arial" w:cs="Arial" w:eastAsia="Arial" w:hAnsi="Arial"/>
          <w:sz w:val="16"/>
          <w:szCs w:val="16"/>
          <w:b w:val="1"/>
          <w:bCs w:val="1"/>
          <w:color w:val="auto"/>
        </w:rPr>
        <w:t xml:space="preserve"> </w:t>
      </w:r>
      <w:r>
        <w:rPr>
          <w:rFonts w:ascii="Arial" w:cs="Arial" w:eastAsia="Arial" w:hAnsi="Arial"/>
          <w:sz w:val="16"/>
          <w:szCs w:val="16"/>
          <w:color w:val="auto"/>
        </w:rPr>
        <w:t>will owe Seller: (i) the delinquent amount; and (ii) a late payment fee equal to two percent (2%) of the delinquent amount for each full or partial calendar month past the invoice due date that the delinquent amount remains unpaid. In addition, if Seller has to file</w:t>
      </w:r>
    </w:p>
    <w:p>
      <w:pPr>
        <w:sectPr>
          <w:pgSz w:w="11900" w:h="16838" w:orient="portrait"/>
          <w:cols w:equalWidth="0" w:num="1">
            <w:col w:w="11016"/>
          </w:cols>
          <w:pgMar w:left="444" w:top="269" w:right="439" w:bottom="1440" w:gutter="0" w:footer="0" w:header="0"/>
        </w:sectPr>
      </w:pPr>
    </w:p>
    <w:bookmarkStart w:id="437" w:name="page438"/>
    <w:bookmarkEnd w:id="437"/>
    <w:p>
      <w:pPr>
        <w:ind w:left="976"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 to collect the amount owed and Seller prevails in the litigation, Buyer will reimburse Seller for actual, reasonable, substantiated out-of-pocket expenses incurred by Seller in collecting the delinquent amount and accrued late payment fees on the delinquent amount. Under no circumstance will the late payment fee payable to Seller exceed the amount that a creditor may lawfully impose on a debtor on a delinquent amount under Applicable Law.</w:t>
      </w:r>
    </w:p>
    <w:p>
      <w:pPr>
        <w:spacing w:after="0" w:line="291" w:lineRule="exact"/>
        <w:rPr>
          <w:sz w:val="20"/>
          <w:szCs w:val="20"/>
          <w:color w:val="auto"/>
        </w:rPr>
      </w:pPr>
    </w:p>
    <w:p>
      <w:pPr>
        <w:ind w:left="396" w:hanging="396"/>
        <w:spacing w:after="0"/>
        <w:tabs>
          <w:tab w:leader="none" w:pos="396"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76" w:right="80" w:hanging="544"/>
        <w:spacing w:after="0" w:line="273" w:lineRule="auto"/>
        <w:tabs>
          <w:tab w:leader="none" w:pos="976" w:val="left"/>
        </w:tabs>
        <w:numPr>
          <w:ilvl w:val="1"/>
          <w:numId w:val="3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Entire Agreement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including its appended Exhibits and Purchase Schedules entered into during the Term, constitutes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entire agreement between the Parties with respect to the sale of products by Seller to Buyer and the purchase of products by Buyer from Seller. This Agreement supersedes all prior and simultaneous representations, discussions, negotiations, letters, proposals, agreements and understandings, whether written or oral, with respect to this subject matter. This Agreement will not be binding on either Party unless and until signed by the chief executive officers of each Party. No handwritten or other addition, deletion or other modification to the printed portions of this Agreement will be binding upon either Party to this Agreement.</w:t>
      </w:r>
    </w:p>
    <w:p>
      <w:pPr>
        <w:spacing w:after="0" w:line="83" w:lineRule="exact"/>
        <w:rPr>
          <w:rFonts w:ascii="Arial" w:cs="Arial" w:eastAsia="Arial" w:hAnsi="Arial"/>
          <w:sz w:val="17"/>
          <w:szCs w:val="17"/>
          <w:b w:val="1"/>
          <w:bCs w:val="1"/>
          <w:color w:val="auto"/>
        </w:rPr>
      </w:pPr>
    </w:p>
    <w:p>
      <w:pPr>
        <w:ind w:left="976" w:right="80" w:hanging="544"/>
        <w:spacing w:after="0" w:line="273" w:lineRule="auto"/>
        <w:tabs>
          <w:tab w:leader="none" w:pos="976" w:val="left"/>
        </w:tabs>
        <w:numPr>
          <w:ilvl w:val="1"/>
          <w:numId w:val="3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Amendments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Party may not amend nor supplement the terms and conditions in this Agreement through the inclusion of additional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terms and conditions in any quotation, purchase order, invoice, bill of lading, letter, email or other document or communication. This Section does not prevent the reliance on the descriptive information in transaction documents identifying the ordered Products (e.g., the type and quantity of ordered products and scheduled date and location for delivery). No amendment of this Agreement will be valid or effective unless made in writing and signed and exchanged by the chief executive officers of the Parties. A Party may approve or reject a request for an amendment in its sole and absolute discretion.</w:t>
      </w:r>
    </w:p>
    <w:p>
      <w:pPr>
        <w:spacing w:after="0" w:line="79" w:lineRule="exact"/>
        <w:rPr>
          <w:rFonts w:ascii="Arial" w:cs="Arial" w:eastAsia="Arial" w:hAnsi="Arial"/>
          <w:sz w:val="17"/>
          <w:szCs w:val="17"/>
          <w:b w:val="1"/>
          <w:bCs w:val="1"/>
          <w:color w:val="auto"/>
        </w:rPr>
      </w:pPr>
    </w:p>
    <w:p>
      <w:pPr>
        <w:ind w:left="976" w:hanging="544"/>
        <w:spacing w:after="0" w:line="258" w:lineRule="auto"/>
        <w:tabs>
          <w:tab w:leader="none" w:pos="976"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failure of either party to insist in any one or more instances upon strict performance of any of the provisions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to take advantage of any of its rights shall not operate as a continuing waiver of such rights. No right or obligation under this Agreement will be considered to have been waived by a Party unless such waiver is in writing and is signed by an officer of the waiving Party and delivered to the other Party. No consent to or waiver of a breach by either Party will constitute a consent to, waiver of, or excuse for any other, different, or subsequent breach by such Party.</w:t>
      </w:r>
    </w:p>
    <w:p>
      <w:pPr>
        <w:spacing w:after="0" w:line="89" w:lineRule="exact"/>
        <w:rPr>
          <w:rFonts w:ascii="Arial" w:cs="Arial" w:eastAsia="Arial" w:hAnsi="Arial"/>
          <w:sz w:val="18"/>
          <w:szCs w:val="18"/>
          <w:b w:val="1"/>
          <w:bCs w:val="1"/>
          <w:color w:val="auto"/>
        </w:rPr>
      </w:pPr>
    </w:p>
    <w:p>
      <w:pPr>
        <w:ind w:left="976" w:right="100" w:hanging="544"/>
        <w:spacing w:after="0" w:line="261" w:lineRule="auto"/>
        <w:tabs>
          <w:tab w:leader="none" w:pos="976"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all claims or causes of action arising out of or related to this Agreement shall be governed in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respects, including as to validity, interpretation and effect, by the laws of the State of Illinois and the United States of America, without giving effect to its principles or rules of conflict of laws. The United Nations Convention on Contracts for the International Sale of Goods will not govern or otherwise be applicable to this Agreement.</w:t>
      </w:r>
    </w:p>
    <w:p>
      <w:pPr>
        <w:spacing w:after="0" w:line="89" w:lineRule="exact"/>
        <w:rPr>
          <w:rFonts w:ascii="Arial" w:cs="Arial" w:eastAsia="Arial" w:hAnsi="Arial"/>
          <w:sz w:val="18"/>
          <w:szCs w:val="18"/>
          <w:b w:val="1"/>
          <w:bCs w:val="1"/>
          <w:color w:val="auto"/>
        </w:rPr>
      </w:pPr>
    </w:p>
    <w:p>
      <w:pPr>
        <w:ind w:left="976" w:right="280" w:hanging="544"/>
        <w:spacing w:after="0" w:line="264" w:lineRule="auto"/>
        <w:tabs>
          <w:tab w:leader="none" w:pos="976"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term of provision of this Agreement, or the application thereof shall be found invalid, void or unenforceable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or governmental organization having jurisdiction over the subject matter, the remaining provisions, and any application thereof, shall nevertheless continue in full force and effect.</w:t>
      </w:r>
    </w:p>
    <w:p>
      <w:pPr>
        <w:spacing w:after="0" w:line="86" w:lineRule="exact"/>
        <w:rPr>
          <w:rFonts w:ascii="Arial" w:cs="Arial" w:eastAsia="Arial" w:hAnsi="Arial"/>
          <w:sz w:val="18"/>
          <w:szCs w:val="18"/>
          <w:b w:val="1"/>
          <w:bCs w:val="1"/>
          <w:color w:val="auto"/>
        </w:rPr>
      </w:pPr>
    </w:p>
    <w:p>
      <w:pPr>
        <w:ind w:left="976" w:right="60" w:hanging="544"/>
        <w:spacing w:after="0" w:line="293" w:lineRule="auto"/>
        <w:tabs>
          <w:tab w:leader="none" w:pos="976" w:val="left"/>
        </w:tabs>
        <w:numPr>
          <w:ilvl w:val="1"/>
          <w:numId w:val="3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Assignment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its rights and obligations, is not assignable or transferable by either Party, in whole or in part, except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 written consent of the other Party, which consent will not be unreasonably withheld, conditioned or delayed. Notwithstanding the foregoing, either Party may transfer and assign this Agreement to any of its affiliates or in connection with any merger, consolidation or sale of assets without the other Party’s prior consent provided (a) that any such assignment will not result in the assigning Party being released or discharged from any liability under this Agreement, and (b) the purchaser/assignee will expressly assume all obligations of the assigning Party under this Agreement. The assigning Party will provide the other Party with written</w:t>
      </w:r>
    </w:p>
    <w:p>
      <w:pPr>
        <w:sectPr>
          <w:pgSz w:w="11900" w:h="16838" w:orient="portrait"/>
          <w:cols w:equalWidth="0" w:num="1">
            <w:col w:w="10996"/>
          </w:cols>
          <w:pgMar w:left="444" w:top="274" w:right="459" w:bottom="1440" w:gutter="0" w:footer="0" w:header="0"/>
        </w:sectPr>
      </w:pPr>
    </w:p>
    <w:bookmarkStart w:id="438" w:name="page439"/>
    <w:bookmarkEnd w:id="438"/>
    <w:p>
      <w:pPr>
        <w:ind w:left="544"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such assignment prior to or promptly following the effective date of such assignment. A change of control shall be deemed an assignment requiring consent hereunder provided that any transfer or assignment that results in Seller’s and Buyer’s current common parent, Reynolds Group Holdings Limited, ceasing to control either party shall not require consent of the other party. The restrictions in this Section will not preclude a Party for authorizing an Affiliate to purchase or sell a product on behalf of a Party under this Agreement. Subject to the foregoing, all of the terms, conditions and provisions of this Agreement shall be binding upon and shall inure to the benefit of the successors and assignees of the respective Parties.</w:t>
      </w:r>
    </w:p>
    <w:p>
      <w:pPr>
        <w:spacing w:after="0" w:line="84" w:lineRule="exact"/>
        <w:rPr>
          <w:sz w:val="20"/>
          <w:szCs w:val="20"/>
          <w:color w:val="auto"/>
        </w:rPr>
      </w:pPr>
    </w:p>
    <w:p>
      <w:pPr>
        <w:ind w:left="544" w:right="320" w:hanging="544"/>
        <w:spacing w:after="0" w:line="277" w:lineRule="auto"/>
        <w:tabs>
          <w:tab w:leader="none" w:pos="54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Third Party Beneficiaries</w:t>
      </w:r>
      <w:r>
        <w:rPr>
          <w:rFonts w:ascii="Arial" w:cs="Arial" w:eastAsia="Arial" w:hAnsi="Arial"/>
          <w:sz w:val="18"/>
          <w:szCs w:val="18"/>
          <w:color w:val="auto"/>
        </w:rPr>
        <w:t>. Except as otherwise provided in a Purchase Schedule, there are no intended third-party beneficiaries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75" w:lineRule="exact"/>
        <w:rPr>
          <w:rFonts w:ascii="Arial" w:cs="Arial" w:eastAsia="Arial" w:hAnsi="Arial"/>
          <w:sz w:val="18"/>
          <w:szCs w:val="18"/>
          <w:b w:val="1"/>
          <w:bCs w:val="1"/>
          <w:color w:val="auto"/>
        </w:rPr>
      </w:pPr>
    </w:p>
    <w:p>
      <w:pPr>
        <w:ind w:left="544" w:right="160" w:hanging="544"/>
        <w:spacing w:after="0" w:line="297" w:lineRule="auto"/>
        <w:tabs>
          <w:tab w:leader="none" w:pos="544" w:val="left"/>
        </w:tabs>
        <w:numPr>
          <w:ilvl w:val="0"/>
          <w:numId w:val="3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Good Faith and Cooperation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where this Agreement states that a Party may expressly exercise a right or render a decision in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“sole and absolute discretion”, a Party will exercise its rights under this Agreement in its good faith business judgment. A Party will perform its obligations under this Agreement in a commercially reasonable manner consistent with industry practices and in compliance with Applicable Law. A Party will promptly take such actions, provide such information and sign such documents as the other Party may reasonably request to obtain the benefits and exercise the rights granted, and to perform the obligations imposed, under this Agreement.</w:t>
      </w:r>
    </w:p>
    <w:p>
      <w:pPr>
        <w:spacing w:after="0" w:line="63" w:lineRule="exact"/>
        <w:rPr>
          <w:rFonts w:ascii="Arial" w:cs="Arial" w:eastAsia="Arial" w:hAnsi="Arial"/>
          <w:sz w:val="16"/>
          <w:szCs w:val="16"/>
          <w:b w:val="1"/>
          <w:bCs w:val="1"/>
          <w:color w:val="auto"/>
        </w:rPr>
      </w:pPr>
    </w:p>
    <w:p>
      <w:pPr>
        <w:ind w:left="544" w:hanging="544"/>
        <w:spacing w:after="0" w:line="255" w:lineRule="auto"/>
        <w:tabs>
          <w:tab w:leader="none" w:pos="54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required or permitted to be provided by a Party under this Agreement will be made to the notice address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receiving Party set forth below or to an alternate notice address later designated by the receiving Party in accordance with this Subsection. Notices will be effective upon actual receipt by the receiving Party. An emailed notice will be effective against a receiving Party only if the Receiving Party acknowledge receipt of the emailed notice in a return notice to the notifying Party. A receiving Party agrees to acknowledge receipt of an email notice in good faith promptly following receipt. A Party may change its address for notice by giving notice to the other party Pursuant to this Subsection.</w:t>
      </w:r>
    </w:p>
    <w:p>
      <w:pPr>
        <w:spacing w:after="0" w:line="19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Address for notice to Buyer:</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West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Attn: John McGrath, Chief Executive Officer</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jmcgrath@pactiv.com</w:t>
      </w:r>
    </w:p>
    <w:p>
      <w:pPr>
        <w:spacing w:after="0" w:line="211"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For any notice concerning default or termination, with a copy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West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Attn: Steven R. Karl, General Counsel</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skarl@pactiv.com</w:t>
      </w:r>
    </w:p>
    <w:p>
      <w:pPr>
        <w:spacing w:after="0" w:line="211"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Address for notices to Seller:</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Reynolds Consumer Products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Lance Mitchell, Chief Executive Officer</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Email: Lance.Mitchell@</w:t>
      </w:r>
      <w:r>
        <w:rPr>
          <w:rFonts w:ascii="Arial" w:cs="Arial" w:eastAsia="Arial" w:hAnsi="Arial"/>
          <w:sz w:val="18"/>
          <w:szCs w:val="18"/>
          <w:u w:val="single" w:color="auto"/>
          <w:color w:val="auto"/>
        </w:rPr>
        <w:t>@ReynoldsBrands.com</w:t>
      </w:r>
    </w:p>
    <w:p>
      <w:pPr>
        <w:sectPr>
          <w:pgSz w:w="11900" w:h="16838" w:orient="portrait"/>
          <w:cols w:equalWidth="0" w:num="1">
            <w:col w:w="10564"/>
          </w:cols>
          <w:pgMar w:left="876" w:top="274" w:right="459" w:bottom="1440" w:gutter="0" w:footer="0" w:header="0"/>
        </w:sectPr>
      </w:pPr>
    </w:p>
    <w:bookmarkStart w:id="439" w:name="page440"/>
    <w:bookmarkEnd w:id="439"/>
    <w:p>
      <w:pPr>
        <w:ind w:left="13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notice concerning default or termination, with a copy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Reynolds Consumer Products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David Watson, General Counsel</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David.Watson@ReynoldsBrands.com</w:t>
      </w:r>
    </w:p>
    <w:p>
      <w:pPr>
        <w:spacing w:after="0" w:line="116" w:lineRule="exact"/>
        <w:rPr>
          <w:sz w:val="20"/>
          <w:szCs w:val="20"/>
          <w:color w:val="auto"/>
        </w:rPr>
      </w:pPr>
    </w:p>
    <w:p>
      <w:pPr>
        <w:ind w:left="544" w:right="40" w:hanging="544"/>
        <w:spacing w:after="0" w:line="288" w:lineRule="auto"/>
        <w:tabs>
          <w:tab w:leader="none" w:pos="544"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Contractors</w:t>
      </w:r>
      <w:r>
        <w:rPr>
          <w:rFonts w:ascii="Arial" w:cs="Arial" w:eastAsia="Arial" w:hAnsi="Arial"/>
          <w:sz w:val="16"/>
          <w:szCs w:val="16"/>
          <w:color w:val="auto"/>
        </w:rPr>
        <w:t>. The relationship of the Parties established by this Agreement is that of independent contractors, and nothing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in this Agreement shall be construed to: (a) give either Party the power to direct and control the day-to-day activities of the other Party, (b) establish the Parties as partners, joint ventures, co-owners or otherwise as participants in a joint or common undertaking, or</w:t>
      </w:r>
    </w:p>
    <w:p>
      <w:pPr>
        <w:ind w:left="544" w:right="2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(c) allow a Party to bind the other Party in any manner or otherwise create or assume any obligation on behalf of the other Party for any purpose whatsoever. A Party will not be considered an agent of the other Party.</w:t>
      </w:r>
    </w:p>
    <w:p>
      <w:pPr>
        <w:spacing w:after="0" w:line="89" w:lineRule="exact"/>
        <w:rPr>
          <w:rFonts w:ascii="Arial" w:cs="Arial" w:eastAsia="Arial" w:hAnsi="Arial"/>
          <w:sz w:val="16"/>
          <w:szCs w:val="16"/>
          <w:b w:val="1"/>
          <w:bCs w:val="1"/>
          <w:color w:val="auto"/>
        </w:rPr>
      </w:pPr>
    </w:p>
    <w:p>
      <w:pPr>
        <w:ind w:left="544" w:right="340" w:hanging="544"/>
        <w:spacing w:after="0" w:line="302" w:lineRule="auto"/>
        <w:tabs>
          <w:tab w:leader="none" w:pos="544"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Non-Exclusive Supply Relationship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provided in a Purchase Schedule, the Agreement is not evidence of, nor does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any form of exclusive supply relationship between the Parties concerning the purchase and sale of products. Except as may be provided in a Purchase Schedule and for the types and quantities of products in an accepted purchase order, nothing in the Agreement obligates a Party to sell or purchase any specified volume, market share or other minimum level of products during the Term.</w:t>
      </w:r>
    </w:p>
    <w:p>
      <w:pPr>
        <w:spacing w:after="0" w:line="59" w:lineRule="exact"/>
        <w:rPr>
          <w:rFonts w:ascii="Arial" w:cs="Arial" w:eastAsia="Arial" w:hAnsi="Arial"/>
          <w:sz w:val="16"/>
          <w:szCs w:val="16"/>
          <w:b w:val="1"/>
          <w:bCs w:val="1"/>
          <w:color w:val="auto"/>
        </w:rPr>
      </w:pPr>
    </w:p>
    <w:p>
      <w:pPr>
        <w:ind w:left="544" w:right="480" w:hanging="544"/>
        <w:spacing w:after="0" w:line="291" w:lineRule="auto"/>
        <w:tabs>
          <w:tab w:leader="none" w:pos="544"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Construction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the context otherwise requires, the following rules of construction will be applied to in the interpretation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(1) Headings are for convenience only and do not affect interpretation; (2) Singular includes the plural and vice-versa;</w:t>
      </w:r>
    </w:p>
    <w:p>
      <w:pPr>
        <w:ind w:left="544"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(3) Gender includes all genders; (4) If a word or phrase is defined, its other grammatical forms have a corresponding meaning; (5) The meaning of general words is not limited by specific examples introduced by “includes”, “including” or “for example” or similar expressions; (6) The word “person” includes an individual, corporation, company, trust, partnership, limited partnership, unincorporated body, joint venture, consortium or other legal entity; (7) A reference in any Purchase Schedule or Exhibit to an Article, Section, Subsection or Clause is a reference to an Article, Section, Subsection or Clause in that Purchase Schedule or Exhibit unless otherwise identified;</w:t>
      </w:r>
    </w:p>
    <w:p>
      <w:pPr>
        <w:spacing w:after="0" w:line="3" w:lineRule="exact"/>
        <w:rPr>
          <w:rFonts w:ascii="Arial" w:cs="Arial" w:eastAsia="Arial" w:hAnsi="Arial"/>
          <w:sz w:val="16"/>
          <w:szCs w:val="16"/>
          <w:b w:val="1"/>
          <w:bCs w:val="1"/>
          <w:color w:val="auto"/>
        </w:rPr>
      </w:pPr>
    </w:p>
    <w:p>
      <w:pPr>
        <w:ind w:left="544" w:right="26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(8) Reference to a Purchase Schedule or Exhibit is a reference to a Schedule, Exhibit described, appended or otherwise identified in this Agreement; (9) A reference to conduct includes, without limitation, an omission, statement or undertaking, whether or not in writing;</w:t>
      </w:r>
    </w:p>
    <w:p>
      <w:pPr>
        <w:spacing w:after="0" w:line="1" w:lineRule="exact"/>
        <w:rPr>
          <w:rFonts w:ascii="Arial" w:cs="Arial" w:eastAsia="Arial" w:hAnsi="Arial"/>
          <w:sz w:val="16"/>
          <w:szCs w:val="16"/>
          <w:b w:val="1"/>
          <w:bCs w:val="1"/>
          <w:color w:val="auto"/>
        </w:rPr>
      </w:pPr>
    </w:p>
    <w:p>
      <w:pPr>
        <w:ind w:left="544"/>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(10) A reference to a third-party is a reference to a person who is not a Party to this Agreement; (11) Where a period of time is specified for the performance of any act and dates from a given day or the day of an act or event, the period shall be exclusive of that date; and (12) the Parties agree that the Agreement is the product of negotiation between sophisticated parties and individuals, all of whom were or have been given the opportunity to be represented by counsel, and each of whom had an opportunity to participate in, and did participate in, negotiation of the terms hereof. Accordingly, the Parties acknowledge and agree that the Agreement is not a contract of adhesion and that ambiguities in the Agreement, if any, shall not be construed strictly or in favor of or against either Party, but rather shall be given a fair and reasonable construction.</w:t>
      </w:r>
    </w:p>
    <w:p>
      <w:pPr>
        <w:spacing w:after="0" w:line="98" w:lineRule="exact"/>
        <w:rPr>
          <w:rFonts w:ascii="Arial" w:cs="Arial" w:eastAsia="Arial" w:hAnsi="Arial"/>
          <w:sz w:val="16"/>
          <w:szCs w:val="16"/>
          <w:b w:val="1"/>
          <w:bCs w:val="1"/>
          <w:color w:val="auto"/>
        </w:rPr>
      </w:pPr>
    </w:p>
    <w:p>
      <w:pPr>
        <w:ind w:left="544" w:hanging="544"/>
        <w:spacing w:after="0" w:line="259" w:lineRule="auto"/>
        <w:tabs>
          <w:tab w:leader="none" w:pos="544"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Execution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be executed in any number of counterparts, each of which shall be deemed an original as against the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signature appears thereon, but all of which taken together shall constitute but one and the same instrument. Acceptance of this Agreement may be made by e-mail, mail or other commercially reasonable means showing the signatures of the chief executive officers of the Parties.</w:t>
      </w:r>
    </w:p>
    <w:p>
      <w:pPr>
        <w:sectPr>
          <w:pgSz w:w="11900" w:h="16838" w:orient="portrait"/>
          <w:cols w:equalWidth="0" w:num="1">
            <w:col w:w="10584"/>
          </w:cols>
          <w:pgMar w:left="876" w:top="274" w:right="439" w:bottom="1440" w:gutter="0" w:footer="0" w:header="0"/>
        </w:sectPr>
      </w:pPr>
    </w:p>
    <w:bookmarkStart w:id="440" w:name="page441"/>
    <w:bookmarkEnd w:id="4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Seller and Buyer have executed this Master Supply Agreement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REYNOLDS CONSUMER PRODUCTS LLC</w:t>
      </w:r>
      <w:r>
        <w:rPr>
          <w:rFonts w:ascii="Arial" w:cs="Arial" w:eastAsia="Arial" w:hAnsi="Arial"/>
          <w:sz w:val="18"/>
          <w:szCs w:val="18"/>
          <w:color w:val="auto"/>
        </w:rPr>
        <w:t>, as Seller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Lance Mitchell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Lance Mitchell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PACTIV LLC</w:t>
      </w:r>
      <w:r>
        <w:rPr>
          <w:rFonts w:ascii="Arial" w:cs="Arial" w:eastAsia="Arial" w:hAnsi="Arial"/>
          <w:sz w:val="18"/>
          <w:szCs w:val="18"/>
          <w:color w:val="auto"/>
        </w:rPr>
        <w:t>, as Buyer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McGrath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McGrath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019"/>
          </w:cols>
          <w:pgMar w:left="440" w:top="273" w:right="1440"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SUPPLY AGREEMENT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MASTER SUPPLY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November 1,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REYNOLDS CONSUMER PRODUCTS LLC</w:t>
      </w:r>
      <w:r>
        <w:rPr>
          <w:rFonts w:ascii="Arial" w:cs="Arial" w:eastAsia="Arial" w:hAnsi="Arial"/>
          <w:sz w:val="18"/>
          <w:szCs w:val="18"/>
          <w:color w:val="auto"/>
        </w:rPr>
        <w:t>, a Delaware limited liability company with its headquarters at 1900 West Field Court, Lake Forest, IL 60045 (“</w:t>
      </w:r>
      <w:r>
        <w:rPr>
          <w:rFonts w:ascii="Arial" w:cs="Arial" w:eastAsia="Arial" w:hAnsi="Arial"/>
          <w:sz w:val="18"/>
          <w:szCs w:val="18"/>
          <w:u w:val="single" w:color="auto"/>
          <w:color w:val="auto"/>
        </w:rPr>
        <w:t>Buyer</w:t>
      </w:r>
      <w:r>
        <w:rPr>
          <w:rFonts w:ascii="Arial" w:cs="Arial" w:eastAsia="Arial" w:hAnsi="Arial"/>
          <w:sz w:val="18"/>
          <w:szCs w:val="18"/>
          <w:color w:val="auto"/>
        </w:rPr>
        <w:t>”), and</w:t>
      </w:r>
      <w:r>
        <w:rPr>
          <w:rFonts w:ascii="Arial" w:cs="Arial" w:eastAsia="Arial" w:hAnsi="Arial"/>
          <w:sz w:val="18"/>
          <w:szCs w:val="18"/>
          <w:b w:val="1"/>
          <w:bCs w:val="1"/>
          <w:color w:val="auto"/>
        </w:rPr>
        <w:t xml:space="preserve"> PACTIV LLC</w:t>
      </w:r>
      <w:r>
        <w:rPr>
          <w:rFonts w:ascii="Arial" w:cs="Arial" w:eastAsia="Arial" w:hAnsi="Arial"/>
          <w:sz w:val="18"/>
          <w:szCs w:val="18"/>
          <w:color w:val="auto"/>
        </w:rPr>
        <w:t>, a Delaware limited liability company with its headquarters at 1900 West Field Court, Lake Forest, IL 60045 (“</w:t>
      </w:r>
      <w:r>
        <w:rPr>
          <w:rFonts w:ascii="Arial" w:cs="Arial" w:eastAsia="Arial" w:hAnsi="Arial"/>
          <w:sz w:val="18"/>
          <w:szCs w:val="18"/>
          <w:u w:val="single" w:color="auto"/>
          <w:color w:val="auto"/>
        </w:rPr>
        <w:t>Seller</w:t>
      </w:r>
      <w:r>
        <w:rPr>
          <w:rFonts w:ascii="Arial" w:cs="Arial" w:eastAsia="Arial" w:hAnsi="Arial"/>
          <w:sz w:val="18"/>
          <w:szCs w:val="18"/>
          <w:color w:val="auto"/>
        </w:rPr>
        <w:t>”). Seller and Buyer</w:t>
      </w:r>
      <w:r>
        <w:rPr>
          <w:rFonts w:ascii="Arial" w:cs="Arial" w:eastAsia="Arial" w:hAnsi="Arial"/>
          <w:sz w:val="18"/>
          <w:szCs w:val="18"/>
          <w:b w:val="1"/>
          <w:bCs w:val="1"/>
          <w:color w:val="auto"/>
        </w:rPr>
        <w:t xml:space="preserve"> </w:t>
      </w:r>
      <w:r>
        <w:rPr>
          <w:rFonts w:ascii="Arial" w:cs="Arial" w:eastAsia="Arial" w:hAnsi="Arial"/>
          <w:sz w:val="18"/>
          <w:szCs w:val="18"/>
          <w:color w:val="auto"/>
        </w:rPr>
        <w:t>are referred to individually at times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at times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left="360" w:hanging="356"/>
        <w:spacing w:after="0"/>
        <w:tabs>
          <w:tab w:leader="none" w:pos="360"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Seller sells various types of products used in the consumer and food service markets.</w:t>
      </w:r>
    </w:p>
    <w:p>
      <w:pPr>
        <w:spacing w:after="0" w:line="225" w:lineRule="exact"/>
        <w:rPr>
          <w:rFonts w:ascii="Arial" w:cs="Arial" w:eastAsia="Arial" w:hAnsi="Arial"/>
          <w:sz w:val="18"/>
          <w:szCs w:val="18"/>
          <w:b w:val="1"/>
          <w:bCs w:val="1"/>
          <w:color w:val="auto"/>
        </w:rPr>
      </w:pPr>
    </w:p>
    <w:p>
      <w:pPr>
        <w:ind w:left="340" w:hanging="336"/>
        <w:spacing w:after="0"/>
        <w:tabs>
          <w:tab w:leader="none" w:pos="340"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Buyer sells various types of products, including certain products of the type made by Seller, to its customers.</w:t>
      </w:r>
    </w:p>
    <w:p>
      <w:pPr>
        <w:spacing w:after="0" w:line="225" w:lineRule="exact"/>
        <w:rPr>
          <w:rFonts w:ascii="Arial" w:cs="Arial" w:eastAsia="Arial" w:hAnsi="Arial"/>
          <w:sz w:val="18"/>
          <w:szCs w:val="18"/>
          <w:b w:val="1"/>
          <w:bCs w:val="1"/>
          <w:color w:val="auto"/>
        </w:rPr>
      </w:pPr>
    </w:p>
    <w:p>
      <w:pPr>
        <w:ind w:right="160" w:firstLine="4"/>
        <w:spacing w:after="0" w:line="277" w:lineRule="auto"/>
        <w:tabs>
          <w:tab w:leader="none" w:pos="352"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The Parties are entering into this Agreement to establish the terms and conditions under which Seller may agree to sell specific products to Buyer, and Buyer may agree to purchase specific products from Seller for later resale by Buyer to its business customers.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firstLine="4"/>
        <w:spacing w:after="0" w:line="289" w:lineRule="auto"/>
        <w:tabs>
          <w:tab w:leader="none" w:pos="315"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w:t>
      </w:r>
      <w:r>
        <w:rPr>
          <w:rFonts w:ascii="Arial" w:cs="Arial" w:eastAsia="Arial" w:hAnsi="Arial"/>
          <w:sz w:val="16"/>
          <w:szCs w:val="16"/>
          <w:u w:val="single" w:color="auto"/>
          <w:color w:val="auto"/>
        </w:rPr>
        <w:t>Term</w:t>
      </w:r>
      <w:r>
        <w:rPr>
          <w:rFonts w:ascii="Arial" w:cs="Arial" w:eastAsia="Arial" w:hAnsi="Arial"/>
          <w:sz w:val="16"/>
          <w:szCs w:val="16"/>
          <w:color w:val="auto"/>
        </w:rPr>
        <w:t>” of this Agreement will commence on the Effective Date and will end on the earlier of: (a) the first anniversary of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the last Purchase Schedule (as defined in this next Section); (b) a termination date elected by a Party in a written notice delivered to the other Party any time after the expiration of the last Purchase Schedule; or (c) a termination date elected by a Party in a written notice delivered to the other Party as provided in </w:t>
      </w:r>
      <w:r>
        <w:rPr>
          <w:rFonts w:ascii="Arial" w:cs="Arial" w:eastAsia="Arial" w:hAnsi="Arial"/>
          <w:sz w:val="16"/>
          <w:szCs w:val="16"/>
          <w:u w:val="single" w:color="auto"/>
          <w:color w:val="auto"/>
        </w:rPr>
        <w:t>Subsection 11(d)</w:t>
      </w:r>
      <w:r>
        <w:rPr>
          <w:rFonts w:ascii="Arial" w:cs="Arial" w:eastAsia="Arial" w:hAnsi="Arial"/>
          <w:sz w:val="16"/>
          <w:szCs w:val="16"/>
          <w:color w:val="auto"/>
        </w:rPr>
        <w:t xml:space="preserve"> of this Agreement. The rights and obligations of the Parties under this Agreement will survive the expiration or earlier termination of this Agreement with respect to any (i) products purchased and sold under this Agreement during the Term and products sold after the Term for orders accepted during the Term; (ii) Confidential Information (as defined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disclosed or received by a Party during the Term; (iii) breach of this Agreement by a Party; (iv) any other statement, decision, act or omission of a Party concerning or related to this Agreement; (v) any Dispute (as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this Agreement) between the Parties concerning or related to this Agreement; (vi) products and other materials manufactured or maintained by Seller in inventory for sale to Buyer that Buyer is obligated to purchase under a Purchase Schedule; and (vii) any provision that expressly states that it will survive the expiration or earlier termination of this Agreement.</w:t>
      </w:r>
    </w:p>
    <w:p>
      <w:pPr>
        <w:spacing w:after="0" w:line="161" w:lineRule="exact"/>
        <w:rPr>
          <w:rFonts w:ascii="Arial" w:cs="Arial" w:eastAsia="Arial" w:hAnsi="Arial"/>
          <w:sz w:val="16"/>
          <w:szCs w:val="16"/>
          <w:b w:val="1"/>
          <w:bCs w:val="1"/>
          <w:color w:val="auto"/>
        </w:rPr>
      </w:pPr>
    </w:p>
    <w:p>
      <w:pPr>
        <w:ind w:right="20" w:firstLine="4"/>
        <w:spacing w:after="0" w:line="269" w:lineRule="auto"/>
        <w:tabs>
          <w:tab w:leader="none" w:pos="315"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Scope</w:t>
      </w:r>
      <w:r>
        <w:rPr>
          <w:rFonts w:ascii="Arial" w:cs="Arial" w:eastAsia="Arial" w:hAnsi="Arial"/>
          <w:sz w:val="17"/>
          <w:szCs w:val="17"/>
          <w:color w:val="auto"/>
        </w:rPr>
        <w:t>. This Agreement will apply to all products sold by Seller to Buyer, and all products purchased by Buyer from Seller, during the Term unless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expressly agree that this Agreement will not apply to a particular type of transaction in a separate written document signed by an officer of each Party. This Agreement will not require Seller to sell any type or quantity of a product to Buyer, nor will this Agreement required Buyer to purchase any type or quantity of a product from Seller, except as expressly provided by the Parties in a Purchase Schedule. The phrase “</w:t>
      </w:r>
      <w:r>
        <w:rPr>
          <w:rFonts w:ascii="Arial" w:cs="Arial" w:eastAsia="Arial" w:hAnsi="Arial"/>
          <w:sz w:val="17"/>
          <w:szCs w:val="17"/>
          <w:u w:val="single" w:color="auto"/>
          <w:color w:val="auto"/>
        </w:rPr>
        <w:t>Purchase Schedule</w:t>
      </w:r>
      <w:r>
        <w:rPr>
          <w:rFonts w:ascii="Arial" w:cs="Arial" w:eastAsia="Arial" w:hAnsi="Arial"/>
          <w:sz w:val="17"/>
          <w:szCs w:val="17"/>
          <w:color w:val="auto"/>
        </w:rPr>
        <w:t>” will mean a written supplement to this Agreement signed by an officer of each Party which references this Agreement and which identities, among other terms and conditions, the specific types and quantities of products that will be purchased and sold by the Parties on terms and conditions in the schedule, the specifications for the identified products, the duration of the commitment period during which the Parties will be obligated to purchase and sell the identified products on the terms and conditions in the schedule, the prices of the identified products, any mechanisms for adjusting the prices of the identified products over the commitment period, and the facilities at which the identified products will be manufactured, stored and delivered by Seller. The Parties may add terms and conditions to, and amend the terms and conditions of, this Agreement in a Purchase Schedule, but any additional and amended terms and conditions in a Purchase Schedule supplementing and modifying this Agreement will only apply the specific products identified in that Purchase Schedule for its duration.</w:t>
      </w:r>
    </w:p>
    <w:p>
      <w:pPr>
        <w:sectPr>
          <w:pgSz w:w="11900" w:h="16838" w:orient="portrait"/>
          <w:cols w:equalWidth="0" w:num="1">
            <w:col w:w="11020"/>
          </w:cols>
          <w:pgMar w:left="440" w:top="121" w:right="439" w:bottom="1440" w:gutter="0" w:footer="0" w:header="0"/>
        </w:sectPr>
      </w:pPr>
    </w:p>
    <w:bookmarkStart w:id="442" w:name="page443"/>
    <w:bookmarkEnd w:id="442"/>
    <w:p>
      <w:pPr>
        <w:ind w:right="20" w:firstLine="4"/>
        <w:spacing w:after="0" w:line="270" w:lineRule="auto"/>
        <w:tabs>
          <w:tab w:leader="none" w:pos="315"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Operating Procedures</w:t>
      </w:r>
      <w:r>
        <w:rPr>
          <w:rFonts w:ascii="Arial" w:cs="Arial" w:eastAsia="Arial" w:hAnsi="Arial"/>
          <w:sz w:val="17"/>
          <w:szCs w:val="17"/>
          <w:color w:val="auto"/>
        </w:rPr>
        <w:t>. Over approximately the past eight years, the Parties have been supplying select Products to one another for use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operation of their respective businesses within the United States of America, Canada and Mexico. The Parties developed and been following certain standard operating procedures in connecting with, among other topics, forecasting, production planning, ordering, delivering and resolving claims on the Products supplied to one another (the “</w:t>
      </w:r>
      <w:r>
        <w:rPr>
          <w:rFonts w:ascii="Arial" w:cs="Arial" w:eastAsia="Arial" w:hAnsi="Arial"/>
          <w:sz w:val="17"/>
          <w:szCs w:val="17"/>
          <w:u w:val="single" w:color="auto"/>
          <w:color w:val="auto"/>
        </w:rPr>
        <w:t>Current SOPs</w:t>
      </w:r>
      <w:r>
        <w:rPr>
          <w:rFonts w:ascii="Arial" w:cs="Arial" w:eastAsia="Arial" w:hAnsi="Arial"/>
          <w:sz w:val="17"/>
          <w:szCs w:val="17"/>
          <w:color w:val="auto"/>
        </w:rPr>
        <w:t>”). The Parties will be updating their respective business systems over the next six months, and the updates to these business systems will require the Parties to modify the Current SOPs. Once the Parties have completed the updates to the business systems and agreed on the necessary modifications to the Current SOPs, the Parties will sign a written amendment to this Agreement appending the updated standard operating procedures (the “</w:t>
      </w:r>
      <w:r>
        <w:rPr>
          <w:rFonts w:ascii="Arial" w:cs="Arial" w:eastAsia="Arial" w:hAnsi="Arial"/>
          <w:sz w:val="17"/>
          <w:szCs w:val="17"/>
          <w:u w:val="single" w:color="auto"/>
          <w:color w:val="auto"/>
        </w:rPr>
        <w:t>Updated SOPs</w:t>
      </w:r>
      <w:r>
        <w:rPr>
          <w:rFonts w:ascii="Arial" w:cs="Arial" w:eastAsia="Arial" w:hAnsi="Arial"/>
          <w:sz w:val="17"/>
          <w:szCs w:val="17"/>
          <w:color w:val="auto"/>
        </w:rPr>
        <w:t>”). Until the Parties have signed a written amendment appending the Updated SOPs, the parties will continue to follow the Current SOPs. The Parties will comply with the applicable SOPs in connection with the purchase and sale of products identified in a Purchase Schedule. The Parties may add terms and conditions to, and amend the terms and conditions of, the SOP in a Purchase Schedule, but any additional and amended terms and conditions in a Purchase Schedule supplementing and modifying the SOP will only apply the specific products identified in that Purchase Schedule for its duration.</w:t>
      </w:r>
    </w:p>
    <w:p>
      <w:pPr>
        <w:spacing w:after="0" w:line="174" w:lineRule="exact"/>
        <w:rPr>
          <w:rFonts w:ascii="Arial" w:cs="Arial" w:eastAsia="Arial" w:hAnsi="Arial"/>
          <w:sz w:val="17"/>
          <w:szCs w:val="17"/>
          <w:b w:val="1"/>
          <w:bCs w:val="1"/>
          <w:color w:val="auto"/>
        </w:rPr>
      </w:pPr>
    </w:p>
    <w:p>
      <w:pPr>
        <w:ind w:right="20" w:firstLine="4"/>
        <w:spacing w:after="0" w:line="258" w:lineRule="auto"/>
        <w:tabs>
          <w:tab w:leader="none" w:pos="315"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and Priority of Interpretation</w:t>
      </w:r>
      <w:r>
        <w:rPr>
          <w:rFonts w:ascii="Arial" w:cs="Arial" w:eastAsia="Arial" w:hAnsi="Arial"/>
          <w:sz w:val="18"/>
          <w:szCs w:val="18"/>
          <w:color w:val="auto"/>
        </w:rPr>
        <w:t>. In the event of any conflict, inconsistency or ambiguity between two or more provisions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provisions in its Exhibits and Purchase Schedules, the provisions in the documents will govern, supersede and control over one another in the following order of priority: (1</w:t>
      </w:r>
      <w:r>
        <w:rPr>
          <w:rFonts w:ascii="Arial" w:cs="Arial" w:eastAsia="Arial" w:hAnsi="Arial"/>
          <w:sz w:val="15"/>
          <w:szCs w:val="15"/>
          <w:color w:val="auto"/>
        </w:rPr>
        <w:t>st</w:t>
      </w:r>
      <w:r>
        <w:rPr>
          <w:rFonts w:ascii="Arial" w:cs="Arial" w:eastAsia="Arial" w:hAnsi="Arial"/>
          <w:sz w:val="18"/>
          <w:szCs w:val="18"/>
          <w:color w:val="auto"/>
        </w:rPr>
        <w:t>) a Purchase Schedule with regards to the purchase and sale of the specific products identified in that Purchase Schedule for its duration; (2</w:t>
      </w:r>
      <w:r>
        <w:rPr>
          <w:rFonts w:ascii="Arial" w:cs="Arial" w:eastAsia="Arial" w:hAnsi="Arial"/>
          <w:sz w:val="15"/>
          <w:szCs w:val="15"/>
          <w:color w:val="auto"/>
        </w:rPr>
        <w:t>nd</w:t>
      </w:r>
      <w:r>
        <w:rPr>
          <w:rFonts w:ascii="Arial" w:cs="Arial" w:eastAsia="Arial" w:hAnsi="Arial"/>
          <w:sz w:val="18"/>
          <w:szCs w:val="18"/>
          <w:color w:val="auto"/>
        </w:rPr>
        <w:t>) the SOP; (3</w:t>
      </w:r>
      <w:r>
        <w:rPr>
          <w:rFonts w:ascii="Arial" w:cs="Arial" w:eastAsia="Arial" w:hAnsi="Arial"/>
          <w:sz w:val="15"/>
          <w:szCs w:val="15"/>
          <w:color w:val="auto"/>
        </w:rPr>
        <w:t>rd</w:t>
      </w:r>
      <w:r>
        <w:rPr>
          <w:rFonts w:ascii="Arial" w:cs="Arial" w:eastAsia="Arial" w:hAnsi="Arial"/>
          <w:sz w:val="18"/>
          <w:szCs w:val="18"/>
          <w:color w:val="auto"/>
        </w:rPr>
        <w:t>) any Exhibit to this Agreement but only with regards to specific subject matter of the Exhibit; and (4</w:t>
      </w:r>
      <w:r>
        <w:rPr>
          <w:rFonts w:ascii="Arial" w:cs="Arial" w:eastAsia="Arial" w:hAnsi="Arial"/>
          <w:sz w:val="15"/>
          <w:szCs w:val="15"/>
          <w:color w:val="auto"/>
        </w:rPr>
        <w:t>th</w:t>
      </w:r>
      <w:r>
        <w:rPr>
          <w:rFonts w:ascii="Arial" w:cs="Arial" w:eastAsia="Arial" w:hAnsi="Arial"/>
          <w:sz w:val="18"/>
          <w:szCs w:val="18"/>
          <w:color w:val="auto"/>
        </w:rPr>
        <w:t>) the main body of this Agreement prior to the signature page.</w:t>
      </w:r>
    </w:p>
    <w:p>
      <w:pPr>
        <w:spacing w:after="0" w:line="183" w:lineRule="exact"/>
        <w:rPr>
          <w:rFonts w:ascii="Arial" w:cs="Arial" w:eastAsia="Arial" w:hAnsi="Arial"/>
          <w:sz w:val="18"/>
          <w:szCs w:val="18"/>
          <w:b w:val="1"/>
          <w:bCs w:val="1"/>
          <w:color w:val="auto"/>
        </w:rPr>
      </w:pPr>
    </w:p>
    <w:p>
      <w:pPr>
        <w:ind w:firstLine="4"/>
        <w:spacing w:after="0" w:line="282" w:lineRule="auto"/>
        <w:tabs>
          <w:tab w:leader="none" w:pos="315"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Representations, Warranties and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 Party represents, warrant and covenants on the Effective Date and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that:</w:t>
      </w:r>
    </w:p>
    <w:p>
      <w:pPr>
        <w:spacing w:after="0" w:line="71" w:lineRule="exact"/>
        <w:rPr>
          <w:rFonts w:ascii="Arial" w:cs="Arial" w:eastAsia="Arial" w:hAnsi="Arial"/>
          <w:sz w:val="18"/>
          <w:szCs w:val="18"/>
          <w:b w:val="1"/>
          <w:bCs w:val="1"/>
          <w:color w:val="auto"/>
        </w:rPr>
      </w:pPr>
    </w:p>
    <w:p>
      <w:pPr>
        <w:ind w:left="980" w:right="120" w:hanging="544"/>
        <w:spacing w:after="0" w:line="308" w:lineRule="auto"/>
        <w:tabs>
          <w:tab w:leader="none" w:pos="980" w:val="left"/>
        </w:tabs>
        <w:numPr>
          <w:ilvl w:val="1"/>
          <w:numId w:val="364"/>
        </w:numPr>
        <w:rPr>
          <w:rFonts w:ascii="Arial" w:cs="Arial" w:eastAsia="Arial" w:hAnsi="Arial"/>
          <w:sz w:val="17"/>
          <w:szCs w:val="17"/>
          <w:b w:val="1"/>
          <w:bCs w:val="1"/>
          <w:color w:val="auto"/>
        </w:rPr>
      </w:pPr>
      <w:r>
        <w:rPr>
          <w:rFonts w:ascii="Arial" w:cs="Arial" w:eastAsia="Arial" w:hAnsi="Arial"/>
          <w:sz w:val="17"/>
          <w:szCs w:val="17"/>
          <w:color w:val="auto"/>
        </w:rPr>
        <w:t>The Party is formed, registered, licensed and operating its business in compliance with the laws of the United States of America, its states and territories, and any districts, municipalities and other political subdivisions of the foregoing (“</w:t>
      </w:r>
      <w:r>
        <w:rPr>
          <w:rFonts w:ascii="Arial" w:cs="Arial" w:eastAsia="Arial" w:hAnsi="Arial"/>
          <w:sz w:val="17"/>
          <w:szCs w:val="17"/>
          <w:u w:val="single" w:color="auto"/>
          <w:color w:val="auto"/>
        </w:rPr>
        <w:t>Applicable Laws</w:t>
      </w:r>
      <w:r>
        <w:rPr>
          <w:rFonts w:ascii="Arial" w:cs="Arial" w:eastAsia="Arial" w:hAnsi="Arial"/>
          <w:sz w:val="17"/>
          <w:szCs w:val="17"/>
          <w:color w:val="auto"/>
        </w:rPr>
        <w:t>”).</w:t>
      </w:r>
    </w:p>
    <w:p>
      <w:pPr>
        <w:spacing w:after="0" w:line="51" w:lineRule="exact"/>
        <w:rPr>
          <w:rFonts w:ascii="Arial" w:cs="Arial" w:eastAsia="Arial" w:hAnsi="Arial"/>
          <w:sz w:val="17"/>
          <w:szCs w:val="17"/>
          <w:b w:val="1"/>
          <w:bCs w:val="1"/>
          <w:color w:val="auto"/>
        </w:rPr>
      </w:pPr>
    </w:p>
    <w:p>
      <w:pPr>
        <w:ind w:left="980" w:hanging="544"/>
        <w:spacing w:after="0"/>
        <w:tabs>
          <w:tab w:leader="none" w:pos="980"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Party is operating its business in compliance with a commercially reasonable code of ethics adopted by such Party.</w:t>
      </w:r>
    </w:p>
    <w:p>
      <w:pPr>
        <w:spacing w:after="0" w:line="130" w:lineRule="exact"/>
        <w:rPr>
          <w:rFonts w:ascii="Arial" w:cs="Arial" w:eastAsia="Arial" w:hAnsi="Arial"/>
          <w:sz w:val="18"/>
          <w:szCs w:val="18"/>
          <w:b w:val="1"/>
          <w:bCs w:val="1"/>
          <w:color w:val="auto"/>
        </w:rPr>
      </w:pPr>
    </w:p>
    <w:p>
      <w:pPr>
        <w:ind w:left="980" w:right="540" w:hanging="544"/>
        <w:spacing w:after="0" w:line="277" w:lineRule="auto"/>
        <w:tabs>
          <w:tab w:leader="none" w:pos="980"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Party may enter into and perform its obligations under this Agreement without being in conflict with, or in breach of, any other agreement of the Party.</w:t>
      </w:r>
    </w:p>
    <w:p>
      <w:pPr>
        <w:spacing w:after="0" w:line="75" w:lineRule="exact"/>
        <w:rPr>
          <w:rFonts w:ascii="Arial" w:cs="Arial" w:eastAsia="Arial" w:hAnsi="Arial"/>
          <w:sz w:val="18"/>
          <w:szCs w:val="18"/>
          <w:b w:val="1"/>
          <w:bCs w:val="1"/>
          <w:color w:val="auto"/>
        </w:rPr>
      </w:pPr>
    </w:p>
    <w:p>
      <w:pPr>
        <w:ind w:left="980" w:hanging="544"/>
        <w:spacing w:after="0"/>
        <w:tabs>
          <w:tab w:leader="none" w:pos="980"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Party is solvent, is capable of paying its debts as and when they become due and is paying its debts as and when due.</w:t>
      </w:r>
    </w:p>
    <w:p>
      <w:pPr>
        <w:spacing w:after="0" w:line="130" w:lineRule="exact"/>
        <w:rPr>
          <w:rFonts w:ascii="Arial" w:cs="Arial" w:eastAsia="Arial" w:hAnsi="Arial"/>
          <w:sz w:val="18"/>
          <w:szCs w:val="18"/>
          <w:b w:val="1"/>
          <w:bCs w:val="1"/>
          <w:color w:val="auto"/>
        </w:rPr>
      </w:pPr>
    </w:p>
    <w:p>
      <w:pPr>
        <w:jc w:val="both"/>
        <w:ind w:left="980" w:right="180" w:hanging="544"/>
        <w:spacing w:after="0" w:line="264" w:lineRule="auto"/>
        <w:tabs>
          <w:tab w:leader="none" w:pos="980"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The Party is not the subject of a criminal investigation nor a defendant in any criminal indictment, petition, complaint or proceeding that carries a potential sentence involving incarceration in excess of one year for any director or executive officer of the Party involved in the alleged criminal misconduct or a fine in excess of $100,000 USD.</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Party will promptly notify the other Party of any change in circumstance during the Term in which the Party is no longer in compliance with the foregoing general representations, warranties and covenants. An incident of actual, alleged or suspected non-compliance by a Party with a warranty under this Section being investigated, contested or corrected in good faith by the Party and which, regardless of outcome, will have no material adverse effect on the Party or its performance under this Agreement or on the other Party, will not be considered a breach of this clause. An incident of actual, alleged or suspected non-compliance by a Party of this Section or any other Section of this Agreement will be grounds for the other Party to demand adequate assurances of performance as provided by Section 2-609 of the Illinois Uniform Commercial Code. A Party will have ten (10) days to provide adequate assurances of performance to the other Party in a form acceptable to the other Party in its good faith discretion.</w:t>
      </w:r>
    </w:p>
    <w:p>
      <w:pPr>
        <w:sectPr>
          <w:pgSz w:w="11900" w:h="16838" w:orient="portrait"/>
          <w:cols w:equalWidth="0" w:num="1">
            <w:col w:w="11000"/>
          </w:cols>
          <w:pgMar w:left="440" w:top="270" w:right="459" w:bottom="1440" w:gutter="0" w:footer="0" w:header="0"/>
        </w:sectPr>
      </w:pPr>
    </w:p>
    <w:bookmarkStart w:id="443" w:name="page444"/>
    <w:bookmarkEnd w:id="443"/>
    <w:p>
      <w:pPr>
        <w:ind w:right="200" w:firstLine="4"/>
        <w:spacing w:after="0" w:line="282" w:lineRule="auto"/>
        <w:tabs>
          <w:tab w:leader="none" w:pos="315"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Product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represents and warrants to Buyer that each product sold under this Agreement will at the time of delivery to</w:t>
      </w:r>
      <w:r>
        <w:rPr>
          <w:rFonts w:ascii="Arial" w:cs="Arial" w:eastAsia="Arial" w:hAnsi="Arial"/>
          <w:sz w:val="18"/>
          <w:szCs w:val="18"/>
          <w:b w:val="1"/>
          <w:bCs w:val="1"/>
          <w:color w:val="auto"/>
        </w:rPr>
        <w:t xml:space="preserve"> </w:t>
      </w:r>
      <w:r>
        <w:rPr>
          <w:rFonts w:ascii="Arial" w:cs="Arial" w:eastAsia="Arial" w:hAnsi="Arial"/>
          <w:sz w:val="18"/>
          <w:szCs w:val="18"/>
          <w:color w:val="auto"/>
        </w:rPr>
        <w:t>Buyer:</w:t>
      </w:r>
    </w:p>
    <w:p>
      <w:pPr>
        <w:spacing w:after="0" w:line="71" w:lineRule="exact"/>
        <w:rPr>
          <w:rFonts w:ascii="Arial" w:cs="Arial" w:eastAsia="Arial" w:hAnsi="Arial"/>
          <w:sz w:val="18"/>
          <w:szCs w:val="18"/>
          <w:b w:val="1"/>
          <w:bCs w:val="1"/>
          <w:color w:val="auto"/>
        </w:rPr>
      </w:pPr>
    </w:p>
    <w:p>
      <w:pPr>
        <w:ind w:left="980" w:right="340" w:hanging="544"/>
        <w:spacing w:after="0" w:line="259" w:lineRule="auto"/>
        <w:tabs>
          <w:tab w:leader="none" w:pos="98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Be in new, undamaged and unadulterated condition free of any defects in design, materials and manufacture. Seller is not making any representation or warranty under this clause with regards to the design of a product to the extent the design constitutes, incorporates or otherwise embodies intellectual property that Buyer has represented and warranted to Seller is owned by Buyer and which Buyer has licensed to Seller to manufacture the product for Buyer.</w:t>
      </w:r>
    </w:p>
    <w:p>
      <w:pPr>
        <w:spacing w:after="0" w:line="92" w:lineRule="exact"/>
        <w:rPr>
          <w:rFonts w:ascii="Arial" w:cs="Arial" w:eastAsia="Arial" w:hAnsi="Arial"/>
          <w:sz w:val="18"/>
          <w:szCs w:val="18"/>
          <w:b w:val="1"/>
          <w:bCs w:val="1"/>
          <w:color w:val="auto"/>
        </w:rPr>
      </w:pPr>
    </w:p>
    <w:p>
      <w:pPr>
        <w:ind w:left="980" w:right="100" w:hanging="544"/>
        <w:spacing w:after="0" w:line="277" w:lineRule="auto"/>
        <w:tabs>
          <w:tab w:leader="none" w:pos="98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Have been manufactured and stored by Seller at a plant (and, if applicable under a Purchase Schedule, a warehouse) of Seller approved in the applicable Purchase Schedule prior to its delivery to Buyer.</w:t>
      </w:r>
    </w:p>
    <w:p>
      <w:pPr>
        <w:spacing w:after="0" w:line="75" w:lineRule="exact"/>
        <w:rPr>
          <w:rFonts w:ascii="Arial" w:cs="Arial" w:eastAsia="Arial" w:hAnsi="Arial"/>
          <w:sz w:val="18"/>
          <w:szCs w:val="18"/>
          <w:b w:val="1"/>
          <w:bCs w:val="1"/>
          <w:color w:val="auto"/>
        </w:rPr>
      </w:pPr>
    </w:p>
    <w:p>
      <w:pPr>
        <w:ind w:left="980" w:hanging="544"/>
        <w:spacing w:after="0" w:line="302" w:lineRule="auto"/>
        <w:tabs>
          <w:tab w:leader="none" w:pos="980" w:val="left"/>
        </w:tabs>
        <w:numPr>
          <w:ilvl w:val="1"/>
          <w:numId w:val="365"/>
        </w:numPr>
        <w:rPr>
          <w:rFonts w:ascii="Arial" w:cs="Arial" w:eastAsia="Arial" w:hAnsi="Arial"/>
          <w:sz w:val="16"/>
          <w:szCs w:val="16"/>
          <w:b w:val="1"/>
          <w:bCs w:val="1"/>
          <w:color w:val="auto"/>
        </w:rPr>
      </w:pPr>
      <w:r>
        <w:rPr>
          <w:rFonts w:ascii="Arial" w:cs="Arial" w:eastAsia="Arial" w:hAnsi="Arial"/>
          <w:sz w:val="16"/>
          <w:szCs w:val="16"/>
          <w:color w:val="auto"/>
        </w:rPr>
        <w:t>Has been manufactured, packaged, labelled, sold and delivered by Seller, and may be sold by Buyer in interstate commerce, in compliance with Applicable Laws, including without limitation with food safety regulations issued by the United States Food and Drug Administration that are applicable to the product. Seller will not be in breach of this warranty because an Applicable Law prohibits, restricts or imposes a charge on a product in a district, municipality or other political subdivision of the United States of America or its states or territories.</w:t>
      </w:r>
    </w:p>
    <w:p>
      <w:pPr>
        <w:spacing w:after="0" w:line="59" w:lineRule="exact"/>
        <w:rPr>
          <w:rFonts w:ascii="Arial" w:cs="Arial" w:eastAsia="Arial" w:hAnsi="Arial"/>
          <w:sz w:val="16"/>
          <w:szCs w:val="16"/>
          <w:b w:val="1"/>
          <w:bCs w:val="1"/>
          <w:color w:val="auto"/>
        </w:rPr>
      </w:pPr>
    </w:p>
    <w:p>
      <w:pPr>
        <w:ind w:left="980" w:hanging="544"/>
        <w:spacing w:after="0"/>
        <w:tabs>
          <w:tab w:leader="none" w:pos="98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Comply with the written specifications for the product identified in the applicable Purchase Schedule.</w:t>
      </w:r>
    </w:p>
    <w:p>
      <w:pPr>
        <w:spacing w:after="0" w:line="130" w:lineRule="exact"/>
        <w:rPr>
          <w:rFonts w:ascii="Arial" w:cs="Arial" w:eastAsia="Arial" w:hAnsi="Arial"/>
          <w:sz w:val="18"/>
          <w:szCs w:val="18"/>
          <w:b w:val="1"/>
          <w:bCs w:val="1"/>
          <w:color w:val="auto"/>
        </w:rPr>
      </w:pPr>
    </w:p>
    <w:p>
      <w:pPr>
        <w:ind w:left="980" w:right="100" w:hanging="544"/>
        <w:spacing w:after="0" w:line="277" w:lineRule="auto"/>
        <w:tabs>
          <w:tab w:leader="none" w:pos="98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Be fit for the purpose of packaging, selling or use in consuming food subject to qualifications and instructions on the use of the product in the written specifications for the product identified in the applicable Purchase Schedule.</w:t>
      </w:r>
    </w:p>
    <w:p>
      <w:pPr>
        <w:spacing w:after="0" w:line="75" w:lineRule="exact"/>
        <w:rPr>
          <w:rFonts w:ascii="Arial" w:cs="Arial" w:eastAsia="Arial" w:hAnsi="Arial"/>
          <w:sz w:val="18"/>
          <w:szCs w:val="18"/>
          <w:b w:val="1"/>
          <w:bCs w:val="1"/>
          <w:color w:val="auto"/>
        </w:rPr>
      </w:pPr>
    </w:p>
    <w:p>
      <w:pPr>
        <w:ind w:left="980" w:right="120" w:hanging="544"/>
        <w:spacing w:after="0" w:line="277" w:lineRule="auto"/>
        <w:tabs>
          <w:tab w:leader="none" w:pos="980"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Be conveyed by Seller to Buyer with good and marketable title free and clear of all liens, encumbrances and claims arising by, through or under Seller.</w:t>
      </w:r>
    </w:p>
    <w:p>
      <w:pPr>
        <w:spacing w:after="0" w:line="75" w:lineRule="exact"/>
        <w:rPr>
          <w:rFonts w:ascii="Arial" w:cs="Arial" w:eastAsia="Arial" w:hAnsi="Arial"/>
          <w:sz w:val="18"/>
          <w:szCs w:val="18"/>
          <w:b w:val="1"/>
          <w:bCs w:val="1"/>
          <w:color w:val="auto"/>
        </w:rPr>
      </w:pPr>
    </w:p>
    <w:p>
      <w:pPr>
        <w:ind w:left="980" w:right="220" w:hanging="544"/>
        <w:spacing w:after="0" w:line="302" w:lineRule="auto"/>
        <w:tabs>
          <w:tab w:leader="none" w:pos="980" w:val="left"/>
        </w:tabs>
        <w:numPr>
          <w:ilvl w:val="1"/>
          <w:numId w:val="365"/>
        </w:numPr>
        <w:rPr>
          <w:rFonts w:ascii="Arial" w:cs="Arial" w:eastAsia="Arial" w:hAnsi="Arial"/>
          <w:sz w:val="16"/>
          <w:szCs w:val="16"/>
          <w:b w:val="1"/>
          <w:bCs w:val="1"/>
          <w:color w:val="auto"/>
        </w:rPr>
      </w:pPr>
      <w:r>
        <w:rPr>
          <w:rFonts w:ascii="Arial" w:cs="Arial" w:eastAsia="Arial" w:hAnsi="Arial"/>
          <w:sz w:val="16"/>
          <w:szCs w:val="16"/>
          <w:color w:val="auto"/>
        </w:rPr>
        <w:t>Not infringe on any patent, trademark, copyright, trade secret or other the intellectual property of any third-party registered or otherwise recognized and enforceable under Applicable Law. Seller is not making any representation or warranty under this clause with regards to the design of a product to the extent the design constitutes, incorporates or otherwise embodies intellectual property that Buyer has represented and warranted to Seller is owned by Buyer and which Buyer has licensed to Seller to manufacture the product for Buyer.</w:t>
      </w:r>
    </w:p>
    <w:p>
      <w:pPr>
        <w:spacing w:after="0" w:line="59" w:lineRule="exact"/>
        <w:rPr>
          <w:rFonts w:ascii="Arial" w:cs="Arial" w:eastAsia="Arial" w:hAnsi="Arial"/>
          <w:sz w:val="16"/>
          <w:szCs w:val="16"/>
          <w:b w:val="1"/>
          <w:bCs w:val="1"/>
          <w:color w:val="auto"/>
        </w:rPr>
      </w:pPr>
    </w:p>
    <w:p>
      <w:pPr>
        <w:ind w:left="980" w:hanging="544"/>
        <w:spacing w:after="0"/>
        <w:tabs>
          <w:tab w:leader="none" w:pos="980" w:val="left"/>
        </w:tabs>
        <w:numPr>
          <w:ilvl w:val="1"/>
          <w:numId w:val="365"/>
        </w:numPr>
        <w:rPr>
          <w:rFonts w:ascii="Arial" w:cs="Arial" w:eastAsia="Arial" w:hAnsi="Arial"/>
          <w:sz w:val="17"/>
          <w:szCs w:val="17"/>
          <w:b w:val="1"/>
          <w:bCs w:val="1"/>
          <w:color w:val="auto"/>
        </w:rPr>
      </w:pPr>
      <w:r>
        <w:rPr>
          <w:rFonts w:ascii="Arial" w:cs="Arial" w:eastAsia="Arial" w:hAnsi="Arial"/>
          <w:sz w:val="17"/>
          <w:szCs w:val="17"/>
          <w:color w:val="auto"/>
        </w:rPr>
        <w:t>Comply with any additional representations and warranties of Seller regarding the product in the applicable Purchase Schedule.</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If a Buyer receives a product that fails to conform to these representations and warranties, the sole remedies of Buyer for the breach of warranty will be to: (1) reject and return the non-conforming product to Seller for a refund or credit, or a replacement conforming product, in the manner and time period provided in the SOP; (2) obtain reimbursement from Seller for actual, reasonable, substantiated out-of-pocket expenses incurred by Buyer in the recovery, return or disposal of a non-conforming product that is the subject of a mandatory product recall required under Applicable Laws or a voluntary withdrawal declared by Seller or approved by Seller (such approval not to be unreasonably withheld, conditioned or delayed); and (3) obtain indemnification from Seller for any Indemnified Claim arising from or related to the non-conforming product as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ectPr>
          <w:pgSz w:w="11900" w:h="16838" w:orient="portrait"/>
          <w:cols w:equalWidth="0" w:num="1">
            <w:col w:w="11000"/>
          </w:cols>
          <w:pgMar w:left="440" w:top="270" w:right="459" w:bottom="1440" w:gutter="0" w:footer="0" w:header="0"/>
        </w:sectPr>
      </w:pPr>
    </w:p>
    <w:bookmarkStart w:id="444" w:name="page445"/>
    <w:bookmarkEnd w:id="444"/>
    <w:p>
      <w:pPr>
        <w:ind w:left="316" w:hanging="316"/>
        <w:spacing w:after="0"/>
        <w:tabs>
          <w:tab w:leader="none" w:pos="316"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76" w:hanging="544"/>
        <w:spacing w:after="0" w:line="270" w:lineRule="auto"/>
        <w:tabs>
          <w:tab w:leader="none" w:pos="976" w:val="left"/>
        </w:tabs>
        <w:numPr>
          <w:ilvl w:val="1"/>
          <w:numId w:val="366"/>
        </w:numPr>
        <w:rPr>
          <w:rFonts w:ascii="Arial" w:cs="Arial" w:eastAsia="Arial" w:hAnsi="Arial"/>
          <w:sz w:val="17"/>
          <w:szCs w:val="17"/>
          <w:b w:val="1"/>
          <w:bCs w:val="1"/>
          <w:color w:val="auto"/>
        </w:rPr>
      </w:pPr>
      <w:r>
        <w:rPr>
          <w:rFonts w:ascii="Arial" w:cs="Arial" w:eastAsia="Arial" w:hAnsi="Arial"/>
          <w:sz w:val="17"/>
          <w:szCs w:val="17"/>
          <w:color w:val="auto"/>
        </w:rPr>
        <w:t>A claim that a Party (referred to at times in this Section as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defend and indemnify the other Party (referred to at times in this Section as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under this Agreement is referred to at times in this Section as an “</w:t>
      </w:r>
      <w:r>
        <w:rPr>
          <w:rFonts w:ascii="Arial" w:cs="Arial" w:eastAsia="Arial" w:hAnsi="Arial"/>
          <w:sz w:val="17"/>
          <w:szCs w:val="17"/>
          <w:u w:val="single" w:color="auto"/>
          <w:color w:val="auto"/>
        </w:rPr>
        <w:t>Indemnified Claim</w:t>
      </w:r>
      <w:r>
        <w:rPr>
          <w:rFonts w:ascii="Arial" w:cs="Arial" w:eastAsia="Arial" w:hAnsi="Arial"/>
          <w:sz w:val="17"/>
          <w:szCs w:val="17"/>
          <w:color w:val="auto"/>
        </w:rPr>
        <w:t>”. Defense and indemnification under this Section will include, without limitation, (1) paying or reimbursing the actual, reasonable, substantiated out-of-pocket expenses incurred in connection with the investigation, defense and settlement of any civil, criminal or administrative action, suit, arbitration, mediation, hearing, audit, investigation or other proceeding threatened or commenced against an Indemnified Party on an Indemnified Claim (e.g., fees and expenses of attorneys, accountants, auditors, investigators, consulting experts, testifying experts and other consultants; fees and expenses of an arbitrator or mediator; filing fees and costs imposed by any court, administrative agency or other tribunal; etc.), and (2) satisfying any judgment, award, order, lien, levy, fine, penalty or other sanction imposed against an Indemnified Party on an Indemnified Claim.</w:t>
      </w:r>
    </w:p>
    <w:p>
      <w:pPr>
        <w:spacing w:after="0" w:line="87" w:lineRule="exact"/>
        <w:rPr>
          <w:rFonts w:ascii="Arial" w:cs="Arial" w:eastAsia="Arial" w:hAnsi="Arial"/>
          <w:sz w:val="17"/>
          <w:szCs w:val="17"/>
          <w:b w:val="1"/>
          <w:bCs w:val="1"/>
          <w:color w:val="auto"/>
        </w:rPr>
      </w:pPr>
    </w:p>
    <w:p>
      <w:pPr>
        <w:ind w:left="976" w:right="20" w:hanging="544"/>
        <w:spacing w:after="0" w:line="269" w:lineRule="auto"/>
        <w:tabs>
          <w:tab w:leader="none" w:pos="976" w:val="left"/>
        </w:tabs>
        <w:numPr>
          <w:ilvl w:val="1"/>
          <w:numId w:val="366"/>
        </w:numPr>
        <w:rPr>
          <w:rFonts w:ascii="Arial" w:cs="Arial" w:eastAsia="Arial" w:hAnsi="Arial"/>
          <w:sz w:val="17"/>
          <w:szCs w:val="17"/>
          <w:b w:val="1"/>
          <w:bCs w:val="1"/>
          <w:color w:val="auto"/>
        </w:rPr>
      </w:pPr>
      <w:r>
        <w:rPr>
          <w:rFonts w:ascii="Arial" w:cs="Arial" w:eastAsia="Arial" w:hAnsi="Arial"/>
          <w:sz w:val="17"/>
          <w:szCs w:val="17"/>
          <w:color w:val="auto"/>
        </w:rPr>
        <w:t>Seller will defend and indemnify Buyer against: (1) any third-party claim for personal injury, damage to tangible property or other loss to the extent caused by any actual or alleged breach of this Agreement by Seller, including, without limitation, any product supplied by Seller which fails to conform to the representations and warranties in this Agreement; (2) any third-party claim for personal injury, damage to tangible property or other loss to the extent caused by any actual or alleged negligence or other legally culpable misconduct of Seller in the design, manufacture, storage, sale or delivery of any product sold by Seller under this Agreement or in the performance of other obligation of Seller under this Agreement; (3) any third-party claim for actual or alleged infringement of a product sold by Seller under this Agreement or its design, manufacture, storage, packaging, sale or delivery by Seller under this Agreement or in the performance of any other obligation of Seller under this Agreement (except to the extent that the infringement is based on intellectual property that that Buyer has represented and warranted to Seller that Buyer owns and that Buyer has licensed to Seller and that Seller has used in compliance with the license terms in supplying the product); (4) the threat or imposition of any fine, penalty or other sanction by a governmental authority on Buyer to the extent caused by any actual or alleged violation by Seller of Applicable Law; or (5) any other matter that Seller has agreed to defend and indemnify Buyer against under a Purchase Schedule.</w:t>
      </w:r>
    </w:p>
    <w:p>
      <w:pPr>
        <w:spacing w:after="0" w:line="85" w:lineRule="exact"/>
        <w:rPr>
          <w:rFonts w:ascii="Arial" w:cs="Arial" w:eastAsia="Arial" w:hAnsi="Arial"/>
          <w:sz w:val="17"/>
          <w:szCs w:val="17"/>
          <w:b w:val="1"/>
          <w:bCs w:val="1"/>
          <w:color w:val="auto"/>
        </w:rPr>
      </w:pPr>
    </w:p>
    <w:p>
      <w:pPr>
        <w:ind w:left="976" w:hanging="544"/>
        <w:spacing w:after="0" w:line="269" w:lineRule="auto"/>
        <w:tabs>
          <w:tab w:leader="none" w:pos="976" w:val="left"/>
        </w:tabs>
        <w:numPr>
          <w:ilvl w:val="1"/>
          <w:numId w:val="366"/>
        </w:numPr>
        <w:rPr>
          <w:rFonts w:ascii="Arial" w:cs="Arial" w:eastAsia="Arial" w:hAnsi="Arial"/>
          <w:sz w:val="17"/>
          <w:szCs w:val="17"/>
          <w:b w:val="1"/>
          <w:bCs w:val="1"/>
          <w:color w:val="auto"/>
        </w:rPr>
      </w:pPr>
      <w:r>
        <w:rPr>
          <w:rFonts w:ascii="Arial" w:cs="Arial" w:eastAsia="Arial" w:hAnsi="Arial"/>
          <w:sz w:val="17"/>
          <w:szCs w:val="17"/>
          <w:color w:val="auto"/>
        </w:rPr>
        <w:t>Buyer will defend and indemnify Seller against: (1) any third-party claim for personal injury, damage to tangible property or other loss to the extent caused by any actual or alleged breach of this Agreement by Buyer; (2) any third-party claim for personal injury, damage to tangible property or other loss to the extent caused by any actual or alleged negligence or other legally culpable misconduct of Buyer in the purchase, storage, repackaging, resale or delivery of any product purchased from Seller under this Agreement or in the performance of other obligation of Buyer under this Agreement; (3) any third-party claim for actual or alleged infringement of a product sold by Seller under this Agreement or its design, manufacture, storage, sale or delivery by Seller under this Agreement or in the performance of any other obligation of Seller under this Agreement to the extent based on intellectual property that that Buyer has represented and warranted to Seller that Buyer owns and that Buyer has licensed to Seller and that Seller has used in compliance with the license term in supplying the product; (4) the threat or imposition of any fine, penalty or other sanction by governmental authority on Seller to the extent caused by any actual or alleged violation by Buyer of Applicable Law; or (5) any other matter that Buyer has agreed to defend and indemnify Seller against under a Purchase Schedule.</w:t>
      </w:r>
    </w:p>
    <w:p>
      <w:pPr>
        <w:spacing w:after="0" w:line="88" w:lineRule="exact"/>
        <w:rPr>
          <w:rFonts w:ascii="Arial" w:cs="Arial" w:eastAsia="Arial" w:hAnsi="Arial"/>
          <w:sz w:val="17"/>
          <w:szCs w:val="17"/>
          <w:b w:val="1"/>
          <w:bCs w:val="1"/>
          <w:color w:val="auto"/>
        </w:rPr>
      </w:pPr>
    </w:p>
    <w:p>
      <w:pPr>
        <w:ind w:left="976" w:hanging="544"/>
        <w:spacing w:after="0"/>
        <w:tabs>
          <w:tab w:leader="none" w:pos="976" w:val="left"/>
        </w:tabs>
        <w:numPr>
          <w:ilvl w:val="1"/>
          <w:numId w:val="366"/>
        </w:numPr>
        <w:rPr>
          <w:rFonts w:ascii="Arial" w:cs="Arial" w:eastAsia="Arial" w:hAnsi="Arial"/>
          <w:sz w:val="17"/>
          <w:szCs w:val="17"/>
          <w:b w:val="1"/>
          <w:bCs w:val="1"/>
          <w:color w:val="auto"/>
        </w:rPr>
      </w:pPr>
      <w:r>
        <w:rPr>
          <w:rFonts w:ascii="Arial" w:cs="Arial" w:eastAsia="Arial" w:hAnsi="Arial"/>
          <w:sz w:val="17"/>
          <w:szCs w:val="17"/>
          <w:color w:val="auto"/>
        </w:rPr>
        <w:t>As a condition of receiving defense and indemnification under this Section for an Indemnified Claim, the Indemnified Party must:</w:t>
      </w:r>
    </w:p>
    <w:p>
      <w:pPr>
        <w:spacing w:after="0" w:line="142" w:lineRule="exact"/>
        <w:rPr>
          <w:rFonts w:ascii="Arial" w:cs="Arial" w:eastAsia="Arial" w:hAnsi="Arial"/>
          <w:sz w:val="17"/>
          <w:szCs w:val="17"/>
          <w:b w:val="1"/>
          <w:bCs w:val="1"/>
          <w:color w:val="auto"/>
        </w:rPr>
      </w:pPr>
    </w:p>
    <w:p>
      <w:pPr>
        <w:ind w:left="1976" w:right="40" w:hanging="545"/>
        <w:spacing w:after="0" w:line="277" w:lineRule="auto"/>
        <w:tabs>
          <w:tab w:leader="none" w:pos="1976" w:val="left"/>
        </w:tabs>
        <w:numPr>
          <w:ilvl w:val="2"/>
          <w:numId w:val="366"/>
        </w:numPr>
        <w:rPr>
          <w:rFonts w:ascii="Arial" w:cs="Arial" w:eastAsia="Arial" w:hAnsi="Arial"/>
          <w:sz w:val="18"/>
          <w:szCs w:val="18"/>
          <w:b w:val="1"/>
          <w:bCs w:val="1"/>
          <w:color w:val="auto"/>
        </w:rPr>
      </w:pPr>
      <w:r>
        <w:rPr>
          <w:rFonts w:ascii="Arial" w:cs="Arial" w:eastAsia="Arial" w:hAnsi="Arial"/>
          <w:sz w:val="18"/>
          <w:szCs w:val="18"/>
          <w:color w:val="auto"/>
        </w:rPr>
        <w:t>notify and tender the defense of an Indemnified Claim to the Indemnifying Party promptly after the Indemnified Party learns of the Indemnified Claim; and</w:t>
      </w:r>
    </w:p>
    <w:p>
      <w:pPr>
        <w:sectPr>
          <w:pgSz w:w="11900" w:h="16838" w:orient="portrait"/>
          <w:cols w:equalWidth="0" w:num="1">
            <w:col w:w="10996"/>
          </w:cols>
          <w:pgMar w:left="444" w:top="270" w:right="459" w:bottom="1440" w:gutter="0" w:footer="0" w:header="0"/>
        </w:sectPr>
      </w:pPr>
    </w:p>
    <w:bookmarkStart w:id="445" w:name="page446"/>
    <w:bookmarkEnd w:id="445"/>
    <w:p>
      <w:pPr>
        <w:ind w:left="1976" w:hanging="545"/>
        <w:spacing w:after="0" w:line="286" w:lineRule="auto"/>
        <w:tabs>
          <w:tab w:leader="none" w:pos="1976" w:val="left"/>
        </w:tabs>
        <w:numPr>
          <w:ilvl w:val="2"/>
          <w:numId w:val="36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information and cooperation reasonably requested by the Indemnifying Party in the investigation, defense, settlement and satisfaction of the Indemnified Claim. An Indemnifying Party will reimburse the Indemnified Party of any reasonable, actual, substantiated out-of-pocket expense incurred in providing the requested information or cooperation.</w:t>
      </w:r>
    </w:p>
    <w:p>
      <w:pPr>
        <w:spacing w:after="0" w:line="70" w:lineRule="exact"/>
        <w:rPr>
          <w:rFonts w:ascii="Arial" w:cs="Arial" w:eastAsia="Arial" w:hAnsi="Arial"/>
          <w:sz w:val="17"/>
          <w:szCs w:val="17"/>
          <w:b w:val="1"/>
          <w:bCs w:val="1"/>
          <w:color w:val="auto"/>
        </w:rPr>
      </w:pPr>
    </w:p>
    <w:p>
      <w:pPr>
        <w:ind w:left="976" w:hanging="544"/>
        <w:spacing w:after="0"/>
        <w:tabs>
          <w:tab w:leader="none" w:pos="976" w:val="left"/>
        </w:tabs>
        <w:numPr>
          <w:ilvl w:val="1"/>
          <w:numId w:val="368"/>
        </w:numPr>
        <w:rPr>
          <w:rFonts w:ascii="Arial" w:cs="Arial" w:eastAsia="Arial" w:hAnsi="Arial"/>
          <w:sz w:val="16"/>
          <w:szCs w:val="16"/>
          <w:b w:val="1"/>
          <w:bCs w:val="1"/>
          <w:color w:val="auto"/>
        </w:rPr>
      </w:pPr>
      <w:r>
        <w:rPr>
          <w:rFonts w:ascii="Arial" w:cs="Arial" w:eastAsia="Arial" w:hAnsi="Arial"/>
          <w:sz w:val="16"/>
          <w:szCs w:val="16"/>
          <w:color w:val="auto"/>
        </w:rPr>
        <w:t>If the Indemnifying Party accepts the tender of defense of an Indemnified Claim, with or without reservation, the Indemnifying Party will:</w:t>
      </w:r>
    </w:p>
    <w:p>
      <w:pPr>
        <w:spacing w:after="0" w:line="153" w:lineRule="exact"/>
        <w:rPr>
          <w:rFonts w:ascii="Arial" w:cs="Arial" w:eastAsia="Arial" w:hAnsi="Arial"/>
          <w:sz w:val="16"/>
          <w:szCs w:val="16"/>
          <w:b w:val="1"/>
          <w:bCs w:val="1"/>
          <w:color w:val="auto"/>
        </w:rPr>
      </w:pPr>
    </w:p>
    <w:p>
      <w:pPr>
        <w:ind w:left="1976" w:hanging="545"/>
        <w:spacing w:after="0"/>
        <w:tabs>
          <w:tab w:leader="none" w:pos="1976"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promptly notify the Indemnified Party of the acceptance of the tender of defense of the Indemnified Claim.</w:t>
      </w:r>
    </w:p>
    <w:p>
      <w:pPr>
        <w:spacing w:after="0" w:line="130" w:lineRule="exact"/>
        <w:rPr>
          <w:rFonts w:ascii="Arial" w:cs="Arial" w:eastAsia="Arial" w:hAnsi="Arial"/>
          <w:sz w:val="18"/>
          <w:szCs w:val="18"/>
          <w:b w:val="1"/>
          <w:bCs w:val="1"/>
          <w:color w:val="auto"/>
        </w:rPr>
      </w:pPr>
    </w:p>
    <w:p>
      <w:pPr>
        <w:ind w:left="1976" w:right="140" w:hanging="545"/>
        <w:spacing w:after="0" w:line="259" w:lineRule="auto"/>
        <w:tabs>
          <w:tab w:leader="none" w:pos="1976"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control the investigation, defense, settlement and satisfaction of the Indemnified Claim, including, without limitation, the selection of licensed, qualified and reputable attorneys and expert witnesses and all decisions over settlement and litigation strategy. The Indemnifying Party must act in good faith in exercising control over the investigation, defense, settlement and satisfaction of the Indemnified Claim.</w:t>
      </w:r>
    </w:p>
    <w:p>
      <w:pPr>
        <w:spacing w:after="0" w:line="92" w:lineRule="exact"/>
        <w:rPr>
          <w:rFonts w:ascii="Arial" w:cs="Arial" w:eastAsia="Arial" w:hAnsi="Arial"/>
          <w:sz w:val="18"/>
          <w:szCs w:val="18"/>
          <w:b w:val="1"/>
          <w:bCs w:val="1"/>
          <w:color w:val="auto"/>
        </w:rPr>
      </w:pPr>
    </w:p>
    <w:p>
      <w:pPr>
        <w:ind w:left="1976" w:right="440" w:hanging="545"/>
        <w:spacing w:after="0" w:line="277" w:lineRule="auto"/>
        <w:tabs>
          <w:tab w:leader="none" w:pos="1976"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Provide information reasonably requested by the Indemnified Party regarding the investigation, defense, settlement and satisfaction of the Indemnified Claim</w:t>
      </w:r>
    </w:p>
    <w:p>
      <w:pPr>
        <w:spacing w:after="0" w:line="75" w:lineRule="exact"/>
        <w:rPr>
          <w:rFonts w:ascii="Arial" w:cs="Arial" w:eastAsia="Arial" w:hAnsi="Arial"/>
          <w:sz w:val="18"/>
          <w:szCs w:val="18"/>
          <w:b w:val="1"/>
          <w:bCs w:val="1"/>
          <w:color w:val="auto"/>
        </w:rPr>
      </w:pPr>
    </w:p>
    <w:p>
      <w:pPr>
        <w:ind w:left="976" w:right="40" w:hanging="544"/>
        <w:spacing w:after="0" w:line="276" w:lineRule="auto"/>
        <w:tabs>
          <w:tab w:leader="none" w:pos="976" w:val="left"/>
        </w:tabs>
        <w:numPr>
          <w:ilvl w:val="1"/>
          <w:numId w:val="368"/>
        </w:numPr>
        <w:rPr>
          <w:rFonts w:ascii="Arial" w:cs="Arial" w:eastAsia="Arial" w:hAnsi="Arial"/>
          <w:sz w:val="17"/>
          <w:szCs w:val="17"/>
          <w:b w:val="1"/>
          <w:bCs w:val="1"/>
          <w:color w:val="auto"/>
        </w:rPr>
      </w:pPr>
      <w:r>
        <w:rPr>
          <w:rFonts w:ascii="Arial" w:cs="Arial" w:eastAsia="Arial" w:hAnsi="Arial"/>
          <w:sz w:val="17"/>
          <w:szCs w:val="17"/>
          <w:color w:val="auto"/>
        </w:rPr>
        <w:t>An Indemnifying Party, acting in good faith, may settle an Indemnified Claim for which it is responsible under this Agreement involving infringement on the intellectual property of a third-party by: (1) obtaining a license from the third-party allowing the required use of its intellectual property; (2) modifying a product, equipment or process in a manner which avoids infringing on the intellectual property of the third-party; or (3) voluntarily withdrawing the infringing product from the market and either refunding the amount paid by the Indemnified Party for the infringing product or replacing the infringing product with a non-infringing product.</w:t>
      </w:r>
    </w:p>
    <w:p>
      <w:pPr>
        <w:spacing w:after="0" w:line="77" w:lineRule="exact"/>
        <w:rPr>
          <w:rFonts w:ascii="Arial" w:cs="Arial" w:eastAsia="Arial" w:hAnsi="Arial"/>
          <w:sz w:val="17"/>
          <w:szCs w:val="17"/>
          <w:b w:val="1"/>
          <w:bCs w:val="1"/>
          <w:color w:val="auto"/>
        </w:rPr>
      </w:pPr>
    </w:p>
    <w:p>
      <w:pPr>
        <w:ind w:left="976" w:right="20" w:hanging="544"/>
        <w:spacing w:after="0" w:line="289" w:lineRule="auto"/>
        <w:tabs>
          <w:tab w:leader="none" w:pos="976" w:val="left"/>
        </w:tabs>
        <w:numPr>
          <w:ilvl w:val="1"/>
          <w:numId w:val="368"/>
        </w:numPr>
        <w:rPr>
          <w:rFonts w:ascii="Arial" w:cs="Arial" w:eastAsia="Arial" w:hAnsi="Arial"/>
          <w:sz w:val="16"/>
          <w:szCs w:val="16"/>
          <w:b w:val="1"/>
          <w:bCs w:val="1"/>
          <w:color w:val="auto"/>
        </w:rPr>
      </w:pPr>
      <w:r>
        <w:rPr>
          <w:rFonts w:ascii="Arial" w:cs="Arial" w:eastAsia="Arial" w:hAnsi="Arial"/>
          <w:sz w:val="16"/>
          <w:szCs w:val="16"/>
          <w:color w:val="auto"/>
        </w:rPr>
        <w:t>The Parties may disagree on whether a claim is an Indemnified Claim under this Agreement, which Party should be considered the Indemnifying Party and Indemnified Party for an Indemnified Claim or whether each Party is partially liable for an Indemnified Claim and how liability for such an Indemnified Claim should be allocated between them. In these and other circumstances in which an actual or potential conflict of interest exists or arises between the Parties with regards to an alleged or agreed upon Indemnified Claim that would preclude their joint representation by a single defense counsel, the Parties will endeavor in good faith to attempt to resolve the conflict. If the Parties are able to resolve the actual or potential conflict of interest, the Parties will memorialize the agreed upon resolution in a written joint defense agreement signed by officers of each Party and their joint defense counsel. If the Parties are unable to resolve the actual or potential conflict of interest, each Party may independently and separately investigate, defend, settle and satisfy the claim subject to their right to pursue payment or reimbursement for costs incurred in doing so from the other Party as provided in this Agreement.</w:t>
      </w:r>
    </w:p>
    <w:p>
      <w:pPr>
        <w:spacing w:after="0" w:line="162" w:lineRule="exact"/>
        <w:rPr>
          <w:rFonts w:ascii="Arial" w:cs="Arial" w:eastAsia="Arial" w:hAnsi="Arial"/>
          <w:sz w:val="16"/>
          <w:szCs w:val="16"/>
          <w:b w:val="1"/>
          <w:bCs w:val="1"/>
          <w:color w:val="auto"/>
        </w:rPr>
      </w:pPr>
    </w:p>
    <w:p>
      <w:pPr>
        <w:ind w:left="-4" w:right="180" w:firstLine="4"/>
        <w:spacing w:after="0" w:line="282" w:lineRule="auto"/>
        <w:tabs>
          <w:tab w:leader="none" w:pos="31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each Party will maintain the following minimum types and amounts of insurance coverage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w:t>
      </w:r>
    </w:p>
    <w:p>
      <w:pPr>
        <w:spacing w:after="0" w:line="71" w:lineRule="exact"/>
        <w:rPr>
          <w:rFonts w:ascii="Arial" w:cs="Arial" w:eastAsia="Arial" w:hAnsi="Arial"/>
          <w:sz w:val="18"/>
          <w:szCs w:val="18"/>
          <w:b w:val="1"/>
          <w:bCs w:val="1"/>
          <w:color w:val="auto"/>
        </w:rPr>
      </w:pPr>
    </w:p>
    <w:p>
      <w:pPr>
        <w:ind w:left="976" w:right="40" w:hanging="544"/>
        <w:spacing w:after="0" w:line="302" w:lineRule="auto"/>
        <w:tabs>
          <w:tab w:leader="none" w:pos="976" w:val="left"/>
        </w:tabs>
        <w:numPr>
          <w:ilvl w:val="1"/>
          <w:numId w:val="3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Commercial General Liability Insurance. </w:t>
      </w:r>
      <w:r>
        <w:rPr>
          <w:rFonts w:ascii="Arial" w:cs="Arial" w:eastAsia="Arial" w:hAnsi="Arial"/>
          <w:sz w:val="16"/>
          <w:szCs w:val="16"/>
          <w:color w:val="auto"/>
        </w:rPr>
        <w:t>Occurrence based coverage with a combined single limit of at least $10,000,000 per occurrence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in the aggregate for premises and operations; products and completed operations; contractual liability coverage for indemnities of a Party contained within this Agreement; broad form property damage (including completed operations); explosion, collapse and underground hazards; and personal injury. </w:t>
      </w:r>
      <w:r>
        <w:rPr>
          <w:rFonts w:ascii="Arial" w:cs="Arial" w:eastAsia="Arial" w:hAnsi="Arial"/>
          <w:sz w:val="16"/>
          <w:szCs w:val="16"/>
          <w:i w:val="1"/>
          <w:iCs w:val="1"/>
          <w:color w:val="auto"/>
        </w:rPr>
        <w:t>Requires additional insured endorsement and waiver of subrogation endorsement.</w:t>
      </w:r>
    </w:p>
    <w:p>
      <w:pPr>
        <w:sectPr>
          <w:pgSz w:w="11900" w:h="16838" w:orient="portrait"/>
          <w:cols w:equalWidth="0" w:num="1">
            <w:col w:w="11016"/>
          </w:cols>
          <w:pgMar w:left="444" w:top="273" w:right="439" w:bottom="1440" w:gutter="0" w:footer="0" w:header="0"/>
        </w:sectPr>
      </w:pPr>
    </w:p>
    <w:bookmarkStart w:id="446" w:name="page447"/>
    <w:bookmarkEnd w:id="446"/>
    <w:p>
      <w:pPr>
        <w:ind w:left="980" w:hanging="544"/>
        <w:spacing w:after="0" w:line="264" w:lineRule="auto"/>
        <w:tabs>
          <w:tab w:leader="none" w:pos="98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Automobile Liability Insurance. </w:t>
      </w:r>
      <w:r>
        <w:rPr>
          <w:rFonts w:ascii="Arial" w:cs="Arial" w:eastAsia="Arial" w:hAnsi="Arial"/>
          <w:sz w:val="18"/>
          <w:szCs w:val="18"/>
          <w:color w:val="auto"/>
        </w:rPr>
        <w:t>Occurrence based coverage with a combined single limit of at least $10,000,000 per occurrence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aggregate for owned, non-owned, and hired automotive equipment of the Party. </w:t>
      </w:r>
      <w:r>
        <w:rPr>
          <w:rFonts w:ascii="Arial" w:cs="Arial" w:eastAsia="Arial" w:hAnsi="Arial"/>
          <w:sz w:val="18"/>
          <w:szCs w:val="18"/>
          <w:i w:val="1"/>
          <w:iCs w:val="1"/>
          <w:color w:val="auto"/>
        </w:rPr>
        <w:t>Requires additional insured endorsement and waiver of</w:t>
      </w:r>
      <w:r>
        <w:rPr>
          <w:rFonts w:ascii="Arial" w:cs="Arial" w:eastAsia="Arial" w:hAnsi="Arial"/>
          <w:sz w:val="18"/>
          <w:szCs w:val="18"/>
          <w:color w:val="auto"/>
        </w:rPr>
        <w:t xml:space="preserve"> </w:t>
      </w:r>
      <w:r>
        <w:rPr>
          <w:rFonts w:ascii="Arial" w:cs="Arial" w:eastAsia="Arial" w:hAnsi="Arial"/>
          <w:sz w:val="18"/>
          <w:szCs w:val="18"/>
          <w:i w:val="1"/>
          <w:iCs w:val="1"/>
          <w:color w:val="auto"/>
        </w:rPr>
        <w:t>subrogation endorsement.</w:t>
      </w:r>
    </w:p>
    <w:p>
      <w:pPr>
        <w:spacing w:after="0" w:line="86" w:lineRule="exact"/>
        <w:rPr>
          <w:rFonts w:ascii="Arial" w:cs="Arial" w:eastAsia="Arial" w:hAnsi="Arial"/>
          <w:sz w:val="18"/>
          <w:szCs w:val="18"/>
          <w:b w:val="1"/>
          <w:bCs w:val="1"/>
          <w:color w:val="auto"/>
        </w:rPr>
      </w:pPr>
    </w:p>
    <w:p>
      <w:pPr>
        <w:ind w:left="980" w:right="180" w:hanging="544"/>
        <w:spacing w:after="0" w:line="279" w:lineRule="auto"/>
        <w:tabs>
          <w:tab w:leader="none" w:pos="980"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Workers’ Compensation Liability Insurance. </w:t>
      </w:r>
      <w:r>
        <w:rPr>
          <w:rFonts w:ascii="Arial" w:cs="Arial" w:eastAsia="Arial" w:hAnsi="Arial"/>
          <w:sz w:val="17"/>
          <w:szCs w:val="17"/>
          <w:color w:val="auto"/>
        </w:rPr>
        <w:t>Occurrence based coverage providing benefits in the minimal amount required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Applicable Law for workplace and work related injuries and illnesses to the employees of a Party, including, without limitation, Workers Compensation Acts of applicable U.S. States, the U.S. Longshoremen’s and Harbor Workers Compensation Act and the U.S. Jones Act. </w:t>
      </w:r>
      <w:r>
        <w:rPr>
          <w:rFonts w:ascii="Arial" w:cs="Arial" w:eastAsia="Arial" w:hAnsi="Arial"/>
          <w:sz w:val="17"/>
          <w:szCs w:val="17"/>
          <w:i w:val="1"/>
          <w:iCs w:val="1"/>
          <w:color w:val="auto"/>
        </w:rPr>
        <w:t>Requires alternate employer endorsement and waiver of subrogation endorsement.</w:t>
      </w:r>
    </w:p>
    <w:p>
      <w:pPr>
        <w:spacing w:after="0" w:line="76" w:lineRule="exact"/>
        <w:rPr>
          <w:rFonts w:ascii="Arial" w:cs="Arial" w:eastAsia="Arial" w:hAnsi="Arial"/>
          <w:sz w:val="17"/>
          <w:szCs w:val="17"/>
          <w:b w:val="1"/>
          <w:bCs w:val="1"/>
          <w:color w:val="auto"/>
        </w:rPr>
      </w:pPr>
    </w:p>
    <w:p>
      <w:pPr>
        <w:ind w:left="980" w:hanging="544"/>
        <w:spacing w:after="0" w:line="264" w:lineRule="auto"/>
        <w:tabs>
          <w:tab w:leader="none" w:pos="98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Employers’ Liability Insurance. </w:t>
      </w:r>
      <w:r>
        <w:rPr>
          <w:rFonts w:ascii="Arial" w:cs="Arial" w:eastAsia="Arial" w:hAnsi="Arial"/>
          <w:sz w:val="18"/>
          <w:szCs w:val="18"/>
          <w:color w:val="auto"/>
        </w:rPr>
        <w:t>Occurrence based coverage with a limit of at least $10,000,000 per occurrence or any greater limits 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Applicable Law workplace and work related injuries and illnesses to the employees of a Party. </w:t>
      </w:r>
      <w:r>
        <w:rPr>
          <w:rFonts w:ascii="Arial" w:cs="Arial" w:eastAsia="Arial" w:hAnsi="Arial"/>
          <w:sz w:val="18"/>
          <w:szCs w:val="18"/>
          <w:i w:val="1"/>
          <w:iCs w:val="1"/>
          <w:color w:val="auto"/>
        </w:rPr>
        <w:t>Requires waiver of alternate employer</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w:t>
      </w:r>
    </w:p>
    <w:p>
      <w:pPr>
        <w:spacing w:after="0" w:line="86" w:lineRule="exact"/>
        <w:rPr>
          <w:rFonts w:ascii="Arial" w:cs="Arial" w:eastAsia="Arial" w:hAnsi="Arial"/>
          <w:sz w:val="18"/>
          <w:szCs w:val="18"/>
          <w:b w:val="1"/>
          <w:bCs w:val="1"/>
          <w:color w:val="auto"/>
        </w:rPr>
      </w:pPr>
    </w:p>
    <w:p>
      <w:pPr>
        <w:ind w:left="980" w:right="340" w:hanging="544"/>
        <w:spacing w:after="0" w:line="259" w:lineRule="auto"/>
        <w:tabs>
          <w:tab w:leader="none" w:pos="98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Property Insurance. </w:t>
      </w:r>
      <w:r>
        <w:rPr>
          <w:rFonts w:ascii="Arial" w:cs="Arial" w:eastAsia="Arial" w:hAnsi="Arial"/>
          <w:sz w:val="18"/>
          <w:szCs w:val="18"/>
          <w:color w:val="auto"/>
        </w:rPr>
        <w:t>Coverage providing “</w:t>
      </w:r>
      <w:r>
        <w:rPr>
          <w:rFonts w:ascii="Arial" w:cs="Arial" w:eastAsia="Arial" w:hAnsi="Arial"/>
          <w:sz w:val="18"/>
          <w:szCs w:val="18"/>
          <w:i w:val="1"/>
          <w:iCs w:val="1"/>
          <w:color w:val="auto"/>
        </w:rPr>
        <w:t>all risk</w:t>
      </w:r>
      <w:r>
        <w:rPr>
          <w:rFonts w:ascii="Arial" w:cs="Arial" w:eastAsia="Arial" w:hAnsi="Arial"/>
          <w:sz w:val="18"/>
          <w:szCs w:val="18"/>
          <w:color w:val="auto"/>
        </w:rPr>
        <w:t>” property insurance at the replacement value of the machinery, equipment, fixtures,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tools, materials and other property of the Party. “</w:t>
      </w:r>
      <w:r>
        <w:rPr>
          <w:rFonts w:ascii="Arial" w:cs="Arial" w:eastAsia="Arial" w:hAnsi="Arial"/>
          <w:sz w:val="18"/>
          <w:szCs w:val="18"/>
          <w:i w:val="1"/>
          <w:iCs w:val="1"/>
          <w:color w:val="auto"/>
        </w:rPr>
        <w:t>All risk</w:t>
      </w:r>
      <w:r>
        <w:rPr>
          <w:rFonts w:ascii="Arial" w:cs="Arial" w:eastAsia="Arial" w:hAnsi="Arial"/>
          <w:sz w:val="18"/>
          <w:szCs w:val="18"/>
          <w:color w:val="auto"/>
        </w:rPr>
        <w:t xml:space="preserve">” coverage will include, by way of example and not limitation, loss or damage resulting from earthquakes, floods, wind, fire or other natural or weather-related phenomenon. </w:t>
      </w:r>
      <w:r>
        <w:rPr>
          <w:rFonts w:ascii="Arial" w:cs="Arial" w:eastAsia="Arial" w:hAnsi="Arial"/>
          <w:sz w:val="18"/>
          <w:szCs w:val="18"/>
          <w:i w:val="1"/>
          <w:iCs w:val="1"/>
          <w:color w:val="auto"/>
        </w:rPr>
        <w:t>Requires waiver of subrogation</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All insurers of a Party on such policies must have at all times an A.M. Best financial rating of at least “</w:t>
      </w:r>
      <w:r>
        <w:rPr>
          <w:rFonts w:ascii="Arial" w:cs="Arial" w:eastAsia="Arial" w:hAnsi="Arial"/>
          <w:sz w:val="18"/>
          <w:szCs w:val="18"/>
          <w:i w:val="1"/>
          <w:iCs w:val="1"/>
          <w:color w:val="auto"/>
        </w:rPr>
        <w:t>A-Minus VII</w:t>
      </w:r>
      <w:r>
        <w:rPr>
          <w:rFonts w:ascii="Arial" w:cs="Arial" w:eastAsia="Arial" w:hAnsi="Arial"/>
          <w:sz w:val="18"/>
          <w:szCs w:val="18"/>
          <w:color w:val="auto"/>
        </w:rPr>
        <w:t>”. An insuring Party may satisfy the required minimum amounts of insurance through a primary policy and one or more excess policies. All insurance of an insuring Party must be “</w:t>
      </w:r>
      <w:r>
        <w:rPr>
          <w:rFonts w:ascii="Arial" w:cs="Arial" w:eastAsia="Arial" w:hAnsi="Arial"/>
          <w:sz w:val="18"/>
          <w:szCs w:val="18"/>
          <w:i w:val="1"/>
          <w:iCs w:val="1"/>
          <w:color w:val="auto"/>
        </w:rPr>
        <w:t>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and non-contributory</w:t>
      </w:r>
      <w:r>
        <w:rPr>
          <w:rFonts w:ascii="Arial" w:cs="Arial" w:eastAsia="Arial" w:hAnsi="Arial"/>
          <w:sz w:val="18"/>
          <w:szCs w:val="18"/>
          <w:color w:val="auto"/>
        </w:rPr>
        <w:t>” with respect to any insurance that the other Party may maintain, but only with respect to the negligence or other legal liability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insuring Party.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insuring Party must deliver the following written evidence of the required insurance coverage to the other Party (Attention: Risk Management), or its designated insurance monitoring service, within ten (10) of written request and at least thirty (30) days in advance of the expiration of a then current policy term (if a declaration or endorsement is not available from an insurer at the time requested or required, an insuring Party will provide them as soon as the declaration or endorsement is available from the insurer):</w:t>
      </w:r>
    </w:p>
    <w:p>
      <w:pPr>
        <w:spacing w:after="0" w:line="92" w:lineRule="exact"/>
        <w:rPr>
          <w:sz w:val="20"/>
          <w:szCs w:val="20"/>
          <w:color w:val="auto"/>
        </w:rPr>
      </w:pPr>
    </w:p>
    <w:p>
      <w:pPr>
        <w:ind w:left="980" w:right="740" w:hanging="544"/>
        <w:spacing w:after="0" w:line="277" w:lineRule="auto"/>
        <w:tabs>
          <w:tab w:leader="none" w:pos="9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Certificate of insurance confirming that the required insurance coverage and minimal limits are met for the extended, renewed or replacement policy term.</w:t>
      </w:r>
    </w:p>
    <w:p>
      <w:pPr>
        <w:spacing w:after="0" w:line="75" w:lineRule="exact"/>
        <w:rPr>
          <w:rFonts w:ascii="Arial" w:cs="Arial" w:eastAsia="Arial" w:hAnsi="Arial"/>
          <w:sz w:val="18"/>
          <w:szCs w:val="18"/>
          <w:color w:val="auto"/>
        </w:rPr>
      </w:pPr>
    </w:p>
    <w:p>
      <w:pPr>
        <w:ind w:left="980" w:right="540" w:hanging="544"/>
        <w:spacing w:after="0" w:line="277" w:lineRule="auto"/>
        <w:tabs>
          <w:tab w:leader="none" w:pos="9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Declaration pages of insurance policy (or a copy of the binder until the declaration pages are available) confirming that the required insurance coverage and minimal limits are met for the extended, renewed or replacement policy term.</w:t>
      </w:r>
    </w:p>
    <w:p>
      <w:pPr>
        <w:spacing w:after="0" w:line="75" w:lineRule="exact"/>
        <w:rPr>
          <w:rFonts w:ascii="Arial" w:cs="Arial" w:eastAsia="Arial" w:hAnsi="Arial"/>
          <w:sz w:val="18"/>
          <w:szCs w:val="18"/>
          <w:color w:val="auto"/>
        </w:rPr>
      </w:pPr>
    </w:p>
    <w:p>
      <w:pPr>
        <w:ind w:left="980" w:right="200" w:hanging="544"/>
        <w:spacing w:after="0" w:line="264" w:lineRule="auto"/>
        <w:tabs>
          <w:tab w:leader="none" w:pos="9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Copies of additional insured endorsements required for applicable policies in the name and for the benefit of: “[NAME OF OTHER PARTY]</w:t>
      </w:r>
      <w:r>
        <w:rPr>
          <w:rFonts w:ascii="Arial" w:cs="Arial" w:eastAsia="Arial" w:hAnsi="Arial"/>
          <w:sz w:val="18"/>
          <w:szCs w:val="18"/>
          <w:i w:val="1"/>
          <w:iCs w:val="1"/>
          <w:color w:val="auto"/>
        </w:rPr>
        <w:t>, its parent, subsidiaries and affiliates; any lessors of the foregoing and any mortgagees, deed of trust beneficiaries and secured</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creditors of such lessors; and any successors and assignees of all of the foregoing.</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980" w:right="200" w:hanging="544"/>
        <w:spacing w:after="0" w:line="312" w:lineRule="auto"/>
        <w:tabs>
          <w:tab w:leader="none" w:pos="9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Copies of alternate employer endorsements and waiver of subrogation endorsements required for applicable policies in the name and for the benefit of: ““[NAME OF OTHER PARTY]</w:t>
      </w:r>
      <w:r>
        <w:rPr>
          <w:rFonts w:ascii="Arial" w:cs="Arial" w:eastAsia="Arial" w:hAnsi="Arial"/>
          <w:sz w:val="16"/>
          <w:szCs w:val="16"/>
          <w:i w:val="1"/>
          <w:iCs w:val="1"/>
          <w:color w:val="auto"/>
        </w:rPr>
        <w:t>, its parent, subsidiaries and affiliates; any lessors of the foregoing and any mortgagees,</w:t>
      </w:r>
      <w:r>
        <w:rPr>
          <w:rFonts w:ascii="Arial" w:cs="Arial" w:eastAsia="Arial" w:hAnsi="Arial"/>
          <w:sz w:val="16"/>
          <w:szCs w:val="16"/>
          <w:color w:val="auto"/>
        </w:rPr>
        <w:t xml:space="preserve"> </w:t>
      </w:r>
      <w:r>
        <w:rPr>
          <w:rFonts w:ascii="Arial" w:cs="Arial" w:eastAsia="Arial" w:hAnsi="Arial"/>
          <w:sz w:val="16"/>
          <w:szCs w:val="16"/>
          <w:i w:val="1"/>
          <w:iCs w:val="1"/>
          <w:color w:val="auto"/>
        </w:rPr>
        <w:t>deed of trust beneficiaries and secured creditors of such lessors; and any successors and assignees of all of the foregoing.</w:t>
      </w:r>
      <w:r>
        <w:rPr>
          <w:rFonts w:ascii="Arial" w:cs="Arial" w:eastAsia="Arial" w:hAnsi="Arial"/>
          <w:sz w:val="16"/>
          <w:szCs w:val="16"/>
          <w:color w:val="auto"/>
        </w:rPr>
        <w:t>”</w:t>
      </w:r>
    </w:p>
    <w:p>
      <w:pPr>
        <w:sectPr>
          <w:pgSz w:w="11900" w:h="16838" w:orient="portrait"/>
          <w:cols w:equalWidth="0" w:num="1">
            <w:col w:w="11000"/>
          </w:cols>
          <w:pgMar w:left="440" w:top="274" w:right="459" w:bottom="1440" w:gutter="0" w:footer="0" w:header="0"/>
        </w:sectPr>
      </w:pPr>
    </w:p>
    <w:bookmarkStart w:id="447" w:name="page448"/>
    <w:bookmarkEnd w:id="447"/>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Party may maintain any level of deductible on required insurance coverage allowed by Applicable Law. A Party may also self-insure any of the required insurance coverage, in whole or in part, if allowed by Applicable Law during any period that the Party maintains a tangible net worth in excess of $100 million USD and maintains a professionally managed and adequately reserved for and funded self-insurance program.</w:t>
      </w:r>
    </w:p>
    <w:p>
      <w:pPr>
        <w:spacing w:after="0" w:line="270" w:lineRule="exact"/>
        <w:rPr>
          <w:sz w:val="20"/>
          <w:szCs w:val="20"/>
          <w:color w:val="auto"/>
        </w:rPr>
      </w:pPr>
    </w:p>
    <w:p>
      <w:pPr>
        <w:ind w:left="320" w:hanging="316"/>
        <w:spacing w:after="0"/>
        <w:tabs>
          <w:tab w:leader="none" w:pos="32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Liability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80" w:right="20" w:hanging="544"/>
        <w:spacing w:after="0" w:line="268" w:lineRule="auto"/>
        <w:tabs>
          <w:tab w:leader="none" w:pos="980" w:val="left"/>
        </w:tabs>
        <w:numPr>
          <w:ilvl w:val="1"/>
          <w:numId w:val="3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Disclaimer of Representations and Warranties</w:t>
      </w:r>
      <w:r>
        <w:rPr>
          <w:rFonts w:ascii="Arial" w:cs="Arial" w:eastAsia="Arial" w:hAnsi="Arial"/>
          <w:sz w:val="17"/>
          <w:szCs w:val="17"/>
          <w:color w:val="auto"/>
        </w:rPr>
        <w:t>. Each Party: (1) disclaims all representations and warranties regarding its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supplied information or business, whether oral or written, express or implied, arising by operation of law or otherwise, including, without limitation, the implied warranty of merchantability and the implied warranty of fitness for a particular purpose, other than those express representations and warranties of the Party in this Agreement; (2) acknowledges that the Party has not relied on, and will not rely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and (3) waives any claim that the Party may have based, in whole or in part,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Notwithstanding the foregoing, Buyer is entitled to rely on (i) the descriptive information in transaction documents issued by either Party in the ordinary course of business during the Term identifying the ordered Products (e.g., the type and quantity of ordered products and scheduled date and location for delivery) and (ii) FDA guaranty letters and other similar written assurances in Seller’s standard forms certifying that a product complies with Applicable Laws issued by Seller to Buyers and other U.S. customers in the ordinance course of business during the Term.</w:t>
      </w:r>
    </w:p>
    <w:p>
      <w:pPr>
        <w:spacing w:after="0" w:line="90" w:lineRule="exact"/>
        <w:rPr>
          <w:rFonts w:ascii="Arial" w:cs="Arial" w:eastAsia="Arial" w:hAnsi="Arial"/>
          <w:sz w:val="17"/>
          <w:szCs w:val="17"/>
          <w:b w:val="1"/>
          <w:bCs w:val="1"/>
          <w:color w:val="auto"/>
        </w:rPr>
      </w:pPr>
    </w:p>
    <w:p>
      <w:pPr>
        <w:ind w:left="980" w:right="120" w:hanging="544"/>
        <w:spacing w:after="0" w:line="284" w:lineRule="auto"/>
        <w:tabs>
          <w:tab w:leader="none" w:pos="980" w:val="left"/>
        </w:tabs>
        <w:numPr>
          <w:ilvl w:val="1"/>
          <w:numId w:val="3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Exclusion of Indirect Damages; Waiver of Claim for Insured Damage or Loss. </w:t>
      </w:r>
      <w:r>
        <w:rPr>
          <w:rFonts w:ascii="Arial" w:cs="Arial" w:eastAsia="Arial" w:hAnsi="Arial"/>
          <w:sz w:val="16"/>
          <w:szCs w:val="16"/>
          <w:color w:val="auto"/>
        </w:rPr>
        <w:t>A Party that breaches this Agreement will only be 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other Party for direct damages arising from the breach. Each Party waives any right to recover consequential, incidental, indirect, exemplary, punitive or any other types of indirect damages from the other Party for a breach of this Agreement. Notwithstanding the preceding sentences, this Subsection will not limit the liability of a Party for any amount or type of damages for: (1) the defense and indemnification of an Indemnified Claim on which the Party is the Indemnifying Party; (2) infringement by the Party on the intellectual property of the other Party; (3) the unauthorized disclosure or use by the Party of the Confidential Information of the other Party;</w:t>
      </w:r>
    </w:p>
    <w:p>
      <w:pPr>
        <w:spacing w:after="0" w:line="4" w:lineRule="exact"/>
        <w:rPr>
          <w:rFonts w:ascii="Arial" w:cs="Arial" w:eastAsia="Arial" w:hAnsi="Arial"/>
          <w:sz w:val="16"/>
          <w:szCs w:val="16"/>
          <w:b w:val="1"/>
          <w:bCs w:val="1"/>
          <w:color w:val="auto"/>
        </w:rPr>
      </w:pPr>
    </w:p>
    <w:p>
      <w:pPr>
        <w:ind w:left="980" w:right="8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(4) payment or reimbursement of any amount expressly required to be paid or reimbursed by the Party under a provision of this Agreement; or (5) the intentional misconduct of the Party in violation of Applicable Laws.</w:t>
      </w:r>
    </w:p>
    <w:p>
      <w:pPr>
        <w:spacing w:after="0" w:line="89" w:lineRule="exact"/>
        <w:rPr>
          <w:rFonts w:ascii="Arial" w:cs="Arial" w:eastAsia="Arial" w:hAnsi="Arial"/>
          <w:sz w:val="16"/>
          <w:szCs w:val="16"/>
          <w:b w:val="1"/>
          <w:bCs w:val="1"/>
          <w:color w:val="auto"/>
        </w:rPr>
      </w:pPr>
    </w:p>
    <w:p>
      <w:pPr>
        <w:ind w:left="980" w:hanging="544"/>
        <w:spacing w:after="0" w:line="269" w:lineRule="auto"/>
        <w:tabs>
          <w:tab w:leader="none" w:pos="980" w:val="left"/>
        </w:tabs>
        <w:numPr>
          <w:ilvl w:val="1"/>
          <w:numId w:val="3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Force Majeure</w:t>
      </w:r>
      <w:r>
        <w:rPr>
          <w:rFonts w:ascii="Arial" w:cs="Arial" w:eastAsia="Arial" w:hAnsi="Arial"/>
          <w:sz w:val="17"/>
          <w:szCs w:val="17"/>
          <w:color w:val="auto"/>
        </w:rPr>
        <w:t>. A Party will not be considered in breach of this Agreement or liable to the other Party for any interruption or delay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under this Agreement to the extent caused by an event outside of the ability of the performing Party to foresee and avoid with the exercise of commercially reasonable efforts (such an event is referred to at times as an event of “</w:t>
      </w:r>
      <w:r>
        <w:rPr>
          <w:rFonts w:ascii="Arial" w:cs="Arial" w:eastAsia="Arial" w:hAnsi="Arial"/>
          <w:sz w:val="17"/>
          <w:szCs w:val="17"/>
          <w:u w:val="single" w:color="auto"/>
          <w:color w:val="auto"/>
        </w:rPr>
        <w:t>Force Majeure</w:t>
      </w:r>
      <w:r>
        <w:rPr>
          <w:rFonts w:ascii="Arial" w:cs="Arial" w:eastAsia="Arial" w:hAnsi="Arial"/>
          <w:sz w:val="17"/>
          <w:szCs w:val="17"/>
          <w:color w:val="auto"/>
        </w:rPr>
        <w:t>”). Examples of events of Force Majeure include, without limitation: natural disasters; war; acts of terrorism; government action; accident; strikes, slowdowns and other labor disputes; shortages in or inability to obtain material, equipment, transportation or labor; any breach, negligence, criminal misconduct or other act or omission of any third-party; fire or other insured or uninsured casualty. A Party whose performance is interrupted or delayed by an event of Force Majeure will be excused from the interruption or delay in performance during the event of Force Majeure and for a commercially reasonable period of additional time after the event of Force Majeure that the Party needs to recover from the event of Force Majeure and restore performance. Notwithstanding the foregoing, a Party will only be excused for an interruption or delay in performance under this Subsection for an event of Force Majeure only if the Party (1) promptly notifies the other Party of the event of Force Majeure and provides information reasonably requested by the other Party regarding the event of Force Majeure, the efforts undertaken by the</w:t>
      </w:r>
    </w:p>
    <w:p>
      <w:pPr>
        <w:sectPr>
          <w:pgSz w:w="11900" w:h="16838" w:orient="portrait"/>
          <w:cols w:equalWidth="0" w:num="1">
            <w:col w:w="11000"/>
          </w:cols>
          <w:pgMar w:left="440" w:top="274" w:right="459" w:bottom="1440" w:gutter="0" w:footer="0" w:header="0"/>
        </w:sectPr>
      </w:pPr>
    </w:p>
    <w:bookmarkStart w:id="448" w:name="page449"/>
    <w:bookmarkEnd w:id="448"/>
    <w:p>
      <w:pPr>
        <w:ind w:left="97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to foresee and avoid interruption or delay in its performance before the occurrence of the event, to mitigate interruption or delay in performance during the event, and to recover from and restore performance following the event; and (2) the Party exercises commercially reasonable efforts to mitigate, recover from and restore performance following the event of Force Majeure. During, and while recovering from and restoring performance following, an event of Force Majeure, Seller will act in good faith in allocating its available manufacturing capacity to supply products to Buyer under this Agreement and any products to other customers of Seller. If an event of Force Majeure interrupts or delays Seller from supplying a product to Buyer under this Agreement in the quantities and timetable required by Buyer, Buyer may cancel any unfilled orders for the product with Seller and procure the required quantities of the product from one or more other sources until Seller has recovered from and restored its ability to perform following the event of Force Majeure. If the interruption or delay in the supply of a product to Buyer under this Agreement caused by an event of Force Majeure has exceeded, or is reasonably likely to exceed, thirty (30) days, Buyer may enter into longer term supply agreements or make other arrangements to procure the required quantities of the product from one or more other sources for a duration and on terms acceptable to Buyer in its good faith discretion. In such a circumstance, Buyer will not have to resume purchasing the product from Seller under this Agreement until Seller has recovered from and restored its ability to perform following the event of Force Majeure and the longer term agreements or other arrangements have expired or Buyer is able to end them without liability. This Subsection will not excuse nor extend a deadline by which a Party must pay an amount owed under this Agreement or Applicable Law or by which a Party must exercise any right or remedy under this Agreement or Applicable Law.</w:t>
      </w:r>
    </w:p>
    <w:p>
      <w:pPr>
        <w:spacing w:after="0" w:line="285" w:lineRule="exact"/>
        <w:rPr>
          <w:sz w:val="20"/>
          <w:szCs w:val="20"/>
          <w:color w:val="auto"/>
        </w:rPr>
      </w:pPr>
    </w:p>
    <w:p>
      <w:pPr>
        <w:ind w:left="396" w:hanging="396"/>
        <w:spacing w:after="0"/>
        <w:tabs>
          <w:tab w:leader="none" w:pos="396"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Other Intellectual Property.</w:t>
      </w:r>
    </w:p>
    <w:p>
      <w:pPr>
        <w:spacing w:after="0" w:line="134" w:lineRule="exact"/>
        <w:rPr>
          <w:rFonts w:ascii="Arial" w:cs="Arial" w:eastAsia="Arial" w:hAnsi="Arial"/>
          <w:sz w:val="18"/>
          <w:szCs w:val="18"/>
          <w:b w:val="1"/>
          <w:bCs w:val="1"/>
          <w:color w:val="auto"/>
        </w:rPr>
      </w:pPr>
    </w:p>
    <w:p>
      <w:pPr>
        <w:ind w:left="976" w:right="80" w:hanging="544"/>
        <w:spacing w:after="0" w:line="259" w:lineRule="auto"/>
        <w:tabs>
          <w:tab w:leader="none" w:pos="976"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The Parties anticipate exchanging Confidential Information (as defined in in the next Subsection) over the Term of this Agreement for the purpose of negotiating and entering into Purchase Schedules and amendments to this Agreement, transacting business with one in accordance with this Agreement and exercising their rights and performing their obligations under this Agreement (collectively referred to as the “</w:t>
      </w:r>
      <w:r>
        <w:rPr>
          <w:rFonts w:ascii="Arial" w:cs="Arial" w:eastAsia="Arial" w:hAnsi="Arial"/>
          <w:sz w:val="18"/>
          <w:szCs w:val="18"/>
          <w:u w:val="single" w:color="auto"/>
          <w:color w:val="auto"/>
        </w:rPr>
        <w:t>Authorized Purpose</w:t>
      </w:r>
      <w:r>
        <w:rPr>
          <w:rFonts w:ascii="Arial" w:cs="Arial" w:eastAsia="Arial" w:hAnsi="Arial"/>
          <w:sz w:val="18"/>
          <w:szCs w:val="18"/>
          <w:color w:val="auto"/>
        </w:rPr>
        <w:t>”).</w:t>
      </w:r>
    </w:p>
    <w:p>
      <w:pPr>
        <w:spacing w:after="0" w:line="92" w:lineRule="exact"/>
        <w:rPr>
          <w:rFonts w:ascii="Arial" w:cs="Arial" w:eastAsia="Arial" w:hAnsi="Arial"/>
          <w:sz w:val="18"/>
          <w:szCs w:val="18"/>
          <w:b w:val="1"/>
          <w:bCs w:val="1"/>
          <w:color w:val="auto"/>
        </w:rPr>
      </w:pPr>
    </w:p>
    <w:p>
      <w:pPr>
        <w:ind w:left="976" w:hanging="544"/>
        <w:spacing w:after="0"/>
        <w:tabs>
          <w:tab w:leader="none" w:pos="976"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The phrase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meeting all of the following criteria:</w:t>
      </w:r>
    </w:p>
    <w:p>
      <w:pPr>
        <w:spacing w:after="0" w:line="130" w:lineRule="exact"/>
        <w:rPr>
          <w:rFonts w:ascii="Arial" w:cs="Arial" w:eastAsia="Arial" w:hAnsi="Arial"/>
          <w:sz w:val="18"/>
          <w:szCs w:val="18"/>
          <w:b w:val="1"/>
          <w:bCs w:val="1"/>
          <w:color w:val="auto"/>
        </w:rPr>
      </w:pPr>
    </w:p>
    <w:p>
      <w:pPr>
        <w:ind w:left="1976" w:right="420" w:hanging="545"/>
        <w:spacing w:after="0" w:line="342" w:lineRule="auto"/>
        <w:tabs>
          <w:tab w:leader="none" w:pos="1976" w:val="left"/>
        </w:tabs>
        <w:numPr>
          <w:ilvl w:val="2"/>
          <w:numId w:val="373"/>
        </w:numPr>
        <w:rPr>
          <w:rFonts w:ascii="Arial" w:cs="Arial" w:eastAsia="Arial" w:hAnsi="Arial"/>
          <w:sz w:val="16"/>
          <w:szCs w:val="16"/>
          <w:color w:val="auto"/>
        </w:rPr>
      </w:pPr>
      <w:r>
        <w:rPr>
          <w:rFonts w:ascii="Arial" w:cs="Arial" w:eastAsia="Arial" w:hAnsi="Arial"/>
          <w:sz w:val="16"/>
          <w:szCs w:val="16"/>
          <w:color w:val="auto"/>
        </w:rPr>
        <w:t>The information is a trade secret or other non-public, proprietary information owned by a Party or its direct and indirect subsidiaries under Applicable Law (this Party is referred to at times in this Section as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1976" w:right="120" w:hanging="545"/>
        <w:spacing w:after="0" w:line="264" w:lineRule="auto"/>
        <w:tabs>
          <w:tab w:leader="none" w:pos="1976" w:val="left"/>
        </w:tabs>
        <w:numPr>
          <w:ilvl w:val="2"/>
          <w:numId w:val="373"/>
        </w:numPr>
        <w:rPr>
          <w:rFonts w:ascii="Arial" w:cs="Arial" w:eastAsia="Arial" w:hAnsi="Arial"/>
          <w:sz w:val="18"/>
          <w:szCs w:val="18"/>
          <w:color w:val="auto"/>
        </w:rPr>
      </w:pPr>
      <w:r>
        <w:rPr>
          <w:rFonts w:ascii="Arial" w:cs="Arial" w:eastAsia="Arial" w:hAnsi="Arial"/>
          <w:sz w:val="18"/>
          <w:szCs w:val="18"/>
          <w:color w:val="auto"/>
        </w:rPr>
        <w:t>The other Party (referred to at times in this Section as the “</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requests such information from the Disclosing Party for the Authorized Purpose during the Term (i.e., neither Party wants </w:t>
      </w:r>
      <w:r>
        <w:rPr>
          <w:rFonts w:ascii="Arial" w:cs="Arial" w:eastAsia="Arial" w:hAnsi="Arial"/>
          <w:sz w:val="18"/>
          <w:szCs w:val="18"/>
          <w:i w:val="1"/>
          <w:iCs w:val="1"/>
          <w:color w:val="auto"/>
        </w:rPr>
        <w:t>unsolicited</w:t>
      </w:r>
      <w:r>
        <w:rPr>
          <w:rFonts w:ascii="Arial" w:cs="Arial" w:eastAsia="Arial" w:hAnsi="Arial"/>
          <w:sz w:val="18"/>
          <w:szCs w:val="18"/>
          <w:color w:val="auto"/>
        </w:rPr>
        <w:t xml:space="preserve"> Confidential Information from the other Party); and</w:t>
      </w:r>
    </w:p>
    <w:p>
      <w:pPr>
        <w:spacing w:after="0" w:line="86" w:lineRule="exact"/>
        <w:rPr>
          <w:rFonts w:ascii="Arial" w:cs="Arial" w:eastAsia="Arial" w:hAnsi="Arial"/>
          <w:sz w:val="18"/>
          <w:szCs w:val="18"/>
          <w:color w:val="auto"/>
        </w:rPr>
      </w:pPr>
    </w:p>
    <w:p>
      <w:pPr>
        <w:ind w:left="1976" w:right="40" w:hanging="545"/>
        <w:spacing w:after="0" w:line="291" w:lineRule="auto"/>
        <w:tabs>
          <w:tab w:leader="none" w:pos="1976" w:val="left"/>
        </w:tabs>
        <w:numPr>
          <w:ilvl w:val="2"/>
          <w:numId w:val="373"/>
        </w:numPr>
        <w:rPr>
          <w:rFonts w:ascii="Arial" w:cs="Arial" w:eastAsia="Arial" w:hAnsi="Arial"/>
          <w:sz w:val="16"/>
          <w:szCs w:val="16"/>
          <w:color w:val="auto"/>
        </w:rPr>
      </w:pPr>
      <w:r>
        <w:rPr>
          <w:rFonts w:ascii="Arial" w:cs="Arial" w:eastAsia="Arial" w:hAnsi="Arial"/>
          <w:sz w:val="16"/>
          <w:szCs w:val="16"/>
          <w:color w:val="auto"/>
        </w:rPr>
        <w:t>The Disclosing Party discloses such requested information to the Receiving Party during the Term either labelled as “Confidential” or words of similar intent, or describes the disclosed information in reasonable detail in a written notice to the Receiving Party delivered, either at the time of disclosure or within five (5) days of disclosure. If a Disclosing Party neglects to label or deliver timely written notice to the Receiving Party identifying the disclosed information as confidential in nature, the disclosed information will only be treated as Confidential Information under this Agreement if the Disclosing Party is able to demonstrate by clear and convincing evidence that the Receiving Party knew that the disclosed information was a trade secret or other non-public, proprietary information of the Disclosing Party at the time of disclosure.</w:t>
      </w:r>
    </w:p>
    <w:p>
      <w:pPr>
        <w:sectPr>
          <w:pgSz w:w="11900" w:h="16838" w:orient="portrait"/>
          <w:cols w:equalWidth="0" w:num="1">
            <w:col w:w="11016"/>
          </w:cols>
          <w:pgMar w:left="444" w:top="274" w:right="439" w:bottom="1440" w:gutter="0" w:footer="0" w:header="0"/>
        </w:sectPr>
      </w:pPr>
    </w:p>
    <w:bookmarkStart w:id="449" w:name="page450"/>
    <w:bookmarkEnd w:id="449"/>
    <w:p>
      <w:pPr>
        <w:ind w:left="564"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criteria in Clause (2) and Clause (3) will not apply to Confidential Information of a Disclosing Party observed or heard by a Receiving Party in a plant, warehouse, facility or system of the Disclosing Party. The existence and terms of this Agreement, and the existence, nature and extent of the business relationship between the Parties, will be considered the Confidential Information of each Party.</w:t>
      </w:r>
    </w:p>
    <w:p>
      <w:pPr>
        <w:spacing w:after="0" w:line="52" w:lineRule="exact"/>
        <w:rPr>
          <w:sz w:val="20"/>
          <w:szCs w:val="20"/>
          <w:color w:val="auto"/>
        </w:rPr>
      </w:pPr>
    </w:p>
    <w:p>
      <w:pPr>
        <w:ind w:left="544" w:right="80" w:hanging="544"/>
        <w:spacing w:after="0" w:line="269" w:lineRule="auto"/>
        <w:tabs>
          <w:tab w:leader="none" w:pos="544" w:val="left"/>
        </w:tabs>
        <w:numPr>
          <w:ilvl w:val="0"/>
          <w:numId w:val="374"/>
        </w:numPr>
        <w:rPr>
          <w:rFonts w:ascii="Arial" w:cs="Arial" w:eastAsia="Arial" w:hAnsi="Arial"/>
          <w:sz w:val="17"/>
          <w:szCs w:val="17"/>
          <w:b w:val="1"/>
          <w:bCs w:val="1"/>
          <w:color w:val="auto"/>
        </w:rPr>
      </w:pPr>
      <w:r>
        <w:rPr>
          <w:rFonts w:ascii="Arial" w:cs="Arial" w:eastAsia="Arial" w:hAnsi="Arial"/>
          <w:sz w:val="17"/>
          <w:szCs w:val="17"/>
          <w:color w:val="auto"/>
        </w:rPr>
        <w:t>The phrase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also means the Know-How of a Disclosing Party and its direct and indirect subsidiaries that a Receiving Party and its direct and indirect subsidiaries learned of, acquired or otherwise used prior to the Effective Date. The phrase “</w:t>
      </w:r>
      <w:r>
        <w:rPr>
          <w:rFonts w:ascii="Arial" w:cs="Arial" w:eastAsia="Arial" w:hAnsi="Arial"/>
          <w:sz w:val="17"/>
          <w:szCs w:val="17"/>
          <w:u w:val="single" w:color="auto"/>
          <w:color w:val="auto"/>
        </w:rPr>
        <w:t>Know-How</w:t>
      </w:r>
      <w:r>
        <w:rPr>
          <w:rFonts w:ascii="Arial" w:cs="Arial" w:eastAsia="Arial" w:hAnsi="Arial"/>
          <w:sz w:val="17"/>
          <w:szCs w:val="17"/>
          <w:color w:val="auto"/>
        </w:rPr>
        <w:t>” means trade secret and other confidential, proprietary information of a Party or its Affiliate concerning the manufacture, storage, packaging, marketing, sale and delivery of its products. Examples of Know-How may be in the form of drawings, equipment specifications, formulae, formulations, guidelines, manuals, methods, plans, policies, procedures, processes, properties and applications of raw materials and products, tools, dies and molds. A Receiving Party and its direct and indirect subsidiaries may continue to use the Know-How of the Disclosing Party and its direct and indirect subsidiaries in the possession of the Receiving Party and its direct and indirect subsidiaries as of the Effective Date for the Authorized Purpose and in connection with the operation of the business of the Receiving Party and its direct and indirect subsidiaries. Nothing in this Subsection or any other provisions of this Agreement will obligate a Party to disclose or license the use of its Know-How of any kind and in any form arising, discovered, acquired or developed after the Effective Date to the other Party.</w:t>
      </w:r>
    </w:p>
    <w:p>
      <w:pPr>
        <w:spacing w:after="0" w:line="84" w:lineRule="exact"/>
        <w:rPr>
          <w:rFonts w:ascii="Arial" w:cs="Arial" w:eastAsia="Arial" w:hAnsi="Arial"/>
          <w:sz w:val="17"/>
          <w:szCs w:val="17"/>
          <w:b w:val="1"/>
          <w:bCs w:val="1"/>
          <w:color w:val="auto"/>
        </w:rPr>
      </w:pPr>
    </w:p>
    <w:p>
      <w:pPr>
        <w:ind w:left="544" w:right="140" w:hanging="544"/>
        <w:spacing w:after="0" w:line="282" w:lineRule="auto"/>
        <w:tabs>
          <w:tab w:leader="none" w:pos="544"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The phrase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does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include, and there will not be any duties of confidentiality or other restrictions under this Agreement for, the following types of information:</w:t>
      </w:r>
    </w:p>
    <w:p>
      <w:pPr>
        <w:spacing w:after="0" w:line="71" w:lineRule="exact"/>
        <w:rPr>
          <w:rFonts w:ascii="Arial" w:cs="Arial" w:eastAsia="Arial" w:hAnsi="Arial"/>
          <w:sz w:val="18"/>
          <w:szCs w:val="18"/>
          <w:b w:val="1"/>
          <w:bCs w:val="1"/>
          <w:color w:val="auto"/>
        </w:rPr>
      </w:pPr>
    </w:p>
    <w:p>
      <w:pPr>
        <w:ind w:left="1544" w:right="120" w:hanging="545"/>
        <w:spacing w:after="0" w:line="277" w:lineRule="auto"/>
        <w:tabs>
          <w:tab w:leader="none" w:pos="1544"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Information which is or becomes available as part of the public domain through any means other than as a result of a breach of this Agreement by the Receiving Party; or</w:t>
      </w:r>
    </w:p>
    <w:p>
      <w:pPr>
        <w:spacing w:after="0" w:line="75" w:lineRule="exact"/>
        <w:rPr>
          <w:rFonts w:ascii="Arial" w:cs="Arial" w:eastAsia="Arial" w:hAnsi="Arial"/>
          <w:sz w:val="18"/>
          <w:szCs w:val="18"/>
          <w:b w:val="1"/>
          <w:bCs w:val="1"/>
          <w:color w:val="auto"/>
        </w:rPr>
      </w:pPr>
    </w:p>
    <w:p>
      <w:pPr>
        <w:ind w:left="1544" w:right="420" w:hanging="545"/>
        <w:spacing w:after="0" w:line="277" w:lineRule="auto"/>
        <w:tabs>
          <w:tab w:leader="none" w:pos="1544"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Information, other than Know-How received prior the Effective Date, which is known to the Receiving Party before the disclosure of the same information by the Disclosing Party; or</w:t>
      </w:r>
    </w:p>
    <w:p>
      <w:pPr>
        <w:spacing w:after="0" w:line="75" w:lineRule="exact"/>
        <w:rPr>
          <w:rFonts w:ascii="Arial" w:cs="Arial" w:eastAsia="Arial" w:hAnsi="Arial"/>
          <w:sz w:val="18"/>
          <w:szCs w:val="18"/>
          <w:b w:val="1"/>
          <w:bCs w:val="1"/>
          <w:color w:val="auto"/>
        </w:rPr>
      </w:pPr>
    </w:p>
    <w:p>
      <w:pPr>
        <w:ind w:left="1544" w:right="220" w:hanging="545"/>
        <w:spacing w:after="0" w:line="277" w:lineRule="auto"/>
        <w:tabs>
          <w:tab w:leader="none" w:pos="1544"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Information which is or becomes available to the Receiving Party from a third-party who is not under any duty to preserve the confidentiality of such information; or</w:t>
      </w:r>
    </w:p>
    <w:p>
      <w:pPr>
        <w:spacing w:after="0" w:line="75" w:lineRule="exact"/>
        <w:rPr>
          <w:rFonts w:ascii="Arial" w:cs="Arial" w:eastAsia="Arial" w:hAnsi="Arial"/>
          <w:sz w:val="18"/>
          <w:szCs w:val="18"/>
          <w:b w:val="1"/>
          <w:bCs w:val="1"/>
          <w:color w:val="auto"/>
        </w:rPr>
      </w:pPr>
    </w:p>
    <w:p>
      <w:pPr>
        <w:ind w:left="1544" w:right="480" w:hanging="545"/>
        <w:spacing w:after="0" w:line="277" w:lineRule="auto"/>
        <w:tabs>
          <w:tab w:leader="none" w:pos="1544"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Information which is furnished by the Disclosing Party to a third-party without imposing any duty on the third-party to preserve the confidentiality of such information; or</w:t>
      </w:r>
    </w:p>
    <w:p>
      <w:pPr>
        <w:spacing w:after="0" w:line="75" w:lineRule="exact"/>
        <w:rPr>
          <w:rFonts w:ascii="Arial" w:cs="Arial" w:eastAsia="Arial" w:hAnsi="Arial"/>
          <w:sz w:val="18"/>
          <w:szCs w:val="18"/>
          <w:b w:val="1"/>
          <w:bCs w:val="1"/>
          <w:color w:val="auto"/>
        </w:rPr>
      </w:pPr>
    </w:p>
    <w:p>
      <w:pPr>
        <w:ind w:left="1544" w:hanging="545"/>
        <w:spacing w:after="0" w:line="264" w:lineRule="auto"/>
        <w:tabs>
          <w:tab w:leader="none" w:pos="1544"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Information which is independently developed by the Receiving Party without the use of or reliance on any trade secret or other non-public, proprietary information provided by the Disclosing Party as Confidential Information under this Agreement or under any prior agreement between the Parties; or</w:t>
      </w:r>
    </w:p>
    <w:p>
      <w:pPr>
        <w:spacing w:after="0" w:line="86" w:lineRule="exact"/>
        <w:rPr>
          <w:rFonts w:ascii="Arial" w:cs="Arial" w:eastAsia="Arial" w:hAnsi="Arial"/>
          <w:sz w:val="18"/>
          <w:szCs w:val="18"/>
          <w:b w:val="1"/>
          <w:bCs w:val="1"/>
          <w:color w:val="auto"/>
        </w:rPr>
      </w:pPr>
    </w:p>
    <w:p>
      <w:pPr>
        <w:ind w:left="1544" w:right="200" w:hanging="545"/>
        <w:spacing w:after="0" w:line="264" w:lineRule="auto"/>
        <w:tabs>
          <w:tab w:leader="none" w:pos="1544"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t>Information that ceases to be a trade secret or other non-public, proprietary information of the Disclosing Party under applicable law through any means other than those enumerated above that does not involve nor result from a breach of this Agreement by the Receiving Party.</w:t>
      </w:r>
    </w:p>
    <w:p>
      <w:pPr>
        <w:spacing w:after="0" w:line="86" w:lineRule="exact"/>
        <w:rPr>
          <w:rFonts w:ascii="Arial" w:cs="Arial" w:eastAsia="Arial" w:hAnsi="Arial"/>
          <w:sz w:val="18"/>
          <w:szCs w:val="18"/>
          <w:b w:val="1"/>
          <w:bCs w:val="1"/>
          <w:color w:val="auto"/>
        </w:rPr>
      </w:pPr>
    </w:p>
    <w:p>
      <w:pPr>
        <w:ind w:left="544" w:right="60" w:hanging="544"/>
        <w:spacing w:after="0" w:line="254" w:lineRule="auto"/>
        <w:tabs>
          <w:tab w:leader="none" w:pos="544"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A Party may request and disclose Confidential Information in any form or medium. Confidential Information may include, without limitation, information concerning the assets, liabilities, financing, financial statements, ownership, goods, services, customers, suppliers, marketing, manufacturing, equipment, software, technology, supply chain, business strategies, plans, models, policies, methods, processes, formulae, specifications, drawings, schematics, software and technical know-how of a Disclosing Party. A Receiving Party will take all commercially reasonable actions required to safeguard the Confidential Information of a Disclosing Party in the possession of such Receiving Party against the unauthorized disclosure or use of the Confidential Information by other persons. A Receiving Party will promptly notify the Disclosing Party if the Receiving Party learns of any unauthorized disclosure or use of the Confidential Information of the Disclosing Party by any</w:t>
      </w:r>
    </w:p>
    <w:p>
      <w:pPr>
        <w:sectPr>
          <w:pgSz w:w="11900" w:h="16838" w:orient="portrait"/>
          <w:cols w:equalWidth="0" w:num="1">
            <w:col w:w="10584"/>
          </w:cols>
          <w:pgMar w:left="876" w:top="274" w:right="439" w:bottom="1440" w:gutter="0" w:footer="0" w:header="0"/>
        </w:sectPr>
      </w:pPr>
    </w:p>
    <w:bookmarkStart w:id="450" w:name="page451"/>
    <w:bookmarkEnd w:id="450"/>
    <w:p>
      <w:pPr>
        <w:ind w:left="544"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A Receiving Party will cooperate in good faith with the Disclosing Party to prevent any unauthorized disclosure or use of the Confidential Information of the Disclosing Party by any person.</w:t>
      </w:r>
    </w:p>
    <w:p>
      <w:pPr>
        <w:spacing w:after="0" w:line="76" w:lineRule="exact"/>
        <w:rPr>
          <w:sz w:val="20"/>
          <w:szCs w:val="20"/>
          <w:color w:val="auto"/>
        </w:rPr>
      </w:pPr>
    </w:p>
    <w:p>
      <w:pPr>
        <w:ind w:left="544" w:hanging="544"/>
        <w:spacing w:after="0"/>
        <w:tabs>
          <w:tab w:leader="none" w:pos="544"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A Receiving Party will not disclose nor use the Confidential Information of a Disclosing Party except as follows:</w:t>
      </w:r>
    </w:p>
    <w:p>
      <w:pPr>
        <w:spacing w:after="0" w:line="130" w:lineRule="exact"/>
        <w:rPr>
          <w:rFonts w:ascii="Arial" w:cs="Arial" w:eastAsia="Arial" w:hAnsi="Arial"/>
          <w:sz w:val="18"/>
          <w:szCs w:val="18"/>
          <w:b w:val="1"/>
          <w:bCs w:val="1"/>
          <w:color w:val="auto"/>
        </w:rPr>
      </w:pPr>
    </w:p>
    <w:p>
      <w:pPr>
        <w:ind w:left="1544" w:hanging="545"/>
        <w:spacing w:after="0" w:line="269" w:lineRule="auto"/>
        <w:tabs>
          <w:tab w:leader="none" w:pos="1544" w:val="left"/>
        </w:tabs>
        <w:numPr>
          <w:ilvl w:val="1"/>
          <w:numId w:val="375"/>
        </w:numPr>
        <w:rPr>
          <w:rFonts w:ascii="Arial" w:cs="Arial" w:eastAsia="Arial" w:hAnsi="Arial"/>
          <w:sz w:val="17"/>
          <w:szCs w:val="17"/>
          <w:b w:val="1"/>
          <w:bCs w:val="1"/>
          <w:color w:val="auto"/>
        </w:rPr>
      </w:pPr>
      <w:r>
        <w:rPr>
          <w:rFonts w:ascii="Arial" w:cs="Arial" w:eastAsia="Arial" w:hAnsi="Arial"/>
          <w:sz w:val="17"/>
          <w:szCs w:val="17"/>
          <w:color w:val="auto"/>
        </w:rPr>
        <w:t>A Receiving Party may disclose Confidential Information of a Disclosing Party on a “</w:t>
      </w:r>
      <w:r>
        <w:rPr>
          <w:rFonts w:ascii="Arial" w:cs="Arial" w:eastAsia="Arial" w:hAnsi="Arial"/>
          <w:sz w:val="17"/>
          <w:szCs w:val="17"/>
          <w:i w:val="1"/>
          <w:iCs w:val="1"/>
          <w:color w:val="auto"/>
        </w:rPr>
        <w:t>need to know</w:t>
      </w:r>
      <w:r>
        <w:rPr>
          <w:rFonts w:ascii="Arial" w:cs="Arial" w:eastAsia="Arial" w:hAnsi="Arial"/>
          <w:sz w:val="17"/>
          <w:szCs w:val="17"/>
          <w:color w:val="auto"/>
        </w:rPr>
        <w:t>” basis to the Representatives of the Receiving Party who require such information for the Authorized Purpose and in order for the Receiving Party and its Affiliates to comply with Applicable Laws, accounting standards and securities exchange requirements. Before making such a disclosure, the Receiving Party will advise the Representatives of the confidential nature of the information being shared and ensure that duties and restrictions are, or have been, imposed on the Representatives receiving the Confidential Information similar to those imposed on the Receiving Party under this Agreement. A Receiving Party will be liable for any breach of this Agreement by its Representatives. An “</w:t>
      </w:r>
      <w:r>
        <w:rPr>
          <w:rFonts w:ascii="Arial" w:cs="Arial" w:eastAsia="Arial" w:hAnsi="Arial"/>
          <w:sz w:val="17"/>
          <w:szCs w:val="17"/>
          <w:u w:val="single" w:color="auto"/>
          <w:color w:val="auto"/>
        </w:rPr>
        <w:t>Affiliate</w:t>
      </w:r>
      <w:r>
        <w:rPr>
          <w:rFonts w:ascii="Arial" w:cs="Arial" w:eastAsia="Arial" w:hAnsi="Arial"/>
          <w:sz w:val="17"/>
          <w:szCs w:val="17"/>
          <w:color w:val="auto"/>
        </w:rPr>
        <w:t>” of a Party means a legal entity that owns and controls, or is owned and controlled by, or is under common ownership and control with, a Party (other than the other Party or any of its direct and indirect subsidiaries), with ownership and control of a legal entity being determined by the ownership of the majority voting interest in the legal entity. A “</w:t>
      </w:r>
      <w:r>
        <w:rPr>
          <w:rFonts w:ascii="Arial" w:cs="Arial" w:eastAsia="Arial" w:hAnsi="Arial"/>
          <w:sz w:val="17"/>
          <w:szCs w:val="17"/>
          <w:u w:val="single" w:color="auto"/>
          <w:color w:val="auto"/>
        </w:rPr>
        <w:t>Representative</w:t>
      </w:r>
      <w:r>
        <w:rPr>
          <w:rFonts w:ascii="Arial" w:cs="Arial" w:eastAsia="Arial" w:hAnsi="Arial"/>
          <w:sz w:val="17"/>
          <w:szCs w:val="17"/>
          <w:color w:val="auto"/>
        </w:rPr>
        <w:t>” means the Affiliates of a Party and the directors, officers, managers, employees, accountants, attorneys, auditors and other agents and consultants of a Party and its Affiliates.</w:t>
      </w:r>
    </w:p>
    <w:p>
      <w:pPr>
        <w:spacing w:after="0" w:line="85" w:lineRule="exact"/>
        <w:rPr>
          <w:rFonts w:ascii="Arial" w:cs="Arial" w:eastAsia="Arial" w:hAnsi="Arial"/>
          <w:sz w:val="17"/>
          <w:szCs w:val="17"/>
          <w:b w:val="1"/>
          <w:bCs w:val="1"/>
          <w:color w:val="auto"/>
        </w:rPr>
      </w:pPr>
    </w:p>
    <w:p>
      <w:pPr>
        <w:ind w:left="1544" w:right="20" w:hanging="545"/>
        <w:spacing w:after="0" w:line="271" w:lineRule="auto"/>
        <w:tabs>
          <w:tab w:leader="none" w:pos="1544" w:val="left"/>
        </w:tabs>
        <w:numPr>
          <w:ilvl w:val="1"/>
          <w:numId w:val="375"/>
        </w:numPr>
        <w:rPr>
          <w:rFonts w:ascii="Arial" w:cs="Arial" w:eastAsia="Arial" w:hAnsi="Arial"/>
          <w:sz w:val="17"/>
          <w:szCs w:val="17"/>
          <w:b w:val="1"/>
          <w:bCs w:val="1"/>
          <w:color w:val="auto"/>
        </w:rPr>
      </w:pPr>
      <w:r>
        <w:rPr>
          <w:rFonts w:ascii="Arial" w:cs="Arial" w:eastAsia="Arial" w:hAnsi="Arial"/>
          <w:sz w:val="17"/>
          <w:szCs w:val="17"/>
          <w:color w:val="auto"/>
        </w:rPr>
        <w:t>A Receiving Party may disclose Confidential Information of a Disclosing Party to a court, governmental entity or any other person in order for the Receiving Party and its Affiliates to comply with Applicable Laws, accounting standards and securities exchange requirements. If legally permissible and reasonably possible, a Receiving Party will notify the Disclosing Party prior to disclosing its Confidential Information pursuant to this Section and cooperate in good faith with any lawful efforts by the Disclosing Party to avoid or limit the disclosure of its Confidential Information. A Receiving Party will not be obligated to incur any liability, expense or risk in extending such cooperation to a Disclosing Party. Based on legal advice of its attorney, a Receiving Party may disclose the Confidential Information of the Disclosing Party by any deadline established under an Applicable Law, accounting standard and securities exchange requirement.</w:t>
      </w:r>
    </w:p>
    <w:p>
      <w:pPr>
        <w:spacing w:after="0" w:line="84" w:lineRule="exact"/>
        <w:rPr>
          <w:rFonts w:ascii="Arial" w:cs="Arial" w:eastAsia="Arial" w:hAnsi="Arial"/>
          <w:sz w:val="17"/>
          <w:szCs w:val="17"/>
          <w:b w:val="1"/>
          <w:bCs w:val="1"/>
          <w:color w:val="auto"/>
        </w:rPr>
      </w:pPr>
    </w:p>
    <w:p>
      <w:pPr>
        <w:ind w:left="1544" w:right="60" w:hanging="545"/>
        <w:spacing w:after="0" w:line="255" w:lineRule="auto"/>
        <w:tabs>
          <w:tab w:leader="none" w:pos="1544"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A Receiving Party may disclose and use the Confidential Information of a Disclosing Party to enforce or interpret this Agreement or any other agreement with the Disclosing Party in any arbitration, court or other legal proceeding. A Receiving Party may disclose and use this Confidential Information of a Disclosing Party to defend the Receiving Party or its Affiliates or their respective Representatives in any arbitration, court or other legal proceeding. In either circumstance, the Receiving Party will ensure that a protective order, agreement or other mechanism is in place to preserve the confidentiality of the Confidential Information.</w:t>
      </w:r>
    </w:p>
    <w:p>
      <w:pPr>
        <w:spacing w:after="0" w:line="98" w:lineRule="exact"/>
        <w:rPr>
          <w:rFonts w:ascii="Arial" w:cs="Arial" w:eastAsia="Arial" w:hAnsi="Arial"/>
          <w:sz w:val="18"/>
          <w:szCs w:val="18"/>
          <w:b w:val="1"/>
          <w:bCs w:val="1"/>
          <w:color w:val="auto"/>
        </w:rPr>
      </w:pPr>
    </w:p>
    <w:p>
      <w:pPr>
        <w:ind w:left="1544" w:right="80" w:hanging="545"/>
        <w:spacing w:after="0" w:line="264" w:lineRule="auto"/>
        <w:tabs>
          <w:tab w:leader="none" w:pos="1544"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A Receiving Party and its Representatives may disclose and use the Confidential Information for any other purpose consented to by a Disclosing Party in a written notice signed by an officer of the Disclosing Party delivered to the Receiving Party.</w:t>
      </w:r>
    </w:p>
    <w:p>
      <w:pPr>
        <w:spacing w:after="0" w:line="86" w:lineRule="exact"/>
        <w:rPr>
          <w:rFonts w:ascii="Arial" w:cs="Arial" w:eastAsia="Arial" w:hAnsi="Arial"/>
          <w:sz w:val="18"/>
          <w:szCs w:val="18"/>
          <w:b w:val="1"/>
          <w:bCs w:val="1"/>
          <w:color w:val="auto"/>
        </w:rPr>
      </w:pPr>
    </w:p>
    <w:p>
      <w:pPr>
        <w:ind w:left="544" w:right="360" w:hanging="544"/>
        <w:spacing w:after="0" w:line="277" w:lineRule="auto"/>
        <w:tabs>
          <w:tab w:leader="none" w:pos="544"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In disclosing its Confidential Information to a Receiving Party, a Disclosing Party represents, warrants and covenants to the Receiving Party that:</w:t>
      </w:r>
    </w:p>
    <w:p>
      <w:pPr>
        <w:spacing w:after="0" w:line="75" w:lineRule="exact"/>
        <w:rPr>
          <w:rFonts w:ascii="Arial" w:cs="Arial" w:eastAsia="Arial" w:hAnsi="Arial"/>
          <w:sz w:val="18"/>
          <w:szCs w:val="18"/>
          <w:b w:val="1"/>
          <w:bCs w:val="1"/>
          <w:color w:val="auto"/>
        </w:rPr>
      </w:pPr>
    </w:p>
    <w:p>
      <w:pPr>
        <w:ind w:left="1544" w:right="60" w:hanging="545"/>
        <w:spacing w:after="0" w:line="277" w:lineRule="auto"/>
        <w:tabs>
          <w:tab w:leader="none" w:pos="1544"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The Disclosing Party owns and has the right to disclose and authorize the use of Confidential Information as provided in this Agreement.</w:t>
      </w:r>
    </w:p>
    <w:p>
      <w:pPr>
        <w:sectPr>
          <w:pgSz w:w="11900" w:h="16838" w:orient="portrait"/>
          <w:cols w:equalWidth="0" w:num="1">
            <w:col w:w="10584"/>
          </w:cols>
          <w:pgMar w:left="876" w:top="273" w:right="439" w:bottom="1440" w:gutter="0" w:footer="0" w:header="0"/>
        </w:sectPr>
      </w:pPr>
    </w:p>
    <w:bookmarkStart w:id="451" w:name="page452"/>
    <w:bookmarkEnd w:id="451"/>
    <w:p>
      <w:pPr>
        <w:ind w:left="1544" w:right="40" w:hanging="545"/>
        <w:spacing w:after="0" w:line="277" w:lineRule="auto"/>
        <w:tabs>
          <w:tab w:leader="none" w:pos="1544"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Receiving Party and its Representatives may use the Confidential Information of the Disclosing Party for the Authorized Purpose and other limited purposes provided in this Agreement.</w:t>
      </w:r>
    </w:p>
    <w:p>
      <w:pPr>
        <w:spacing w:after="0" w:line="75" w:lineRule="exact"/>
        <w:rPr>
          <w:rFonts w:ascii="Arial" w:cs="Arial" w:eastAsia="Arial" w:hAnsi="Arial"/>
          <w:sz w:val="18"/>
          <w:szCs w:val="18"/>
          <w:b w:val="1"/>
          <w:bCs w:val="1"/>
          <w:color w:val="auto"/>
        </w:rPr>
      </w:pPr>
    </w:p>
    <w:p>
      <w:pPr>
        <w:ind w:left="1544" w:right="20" w:hanging="545"/>
        <w:spacing w:after="0" w:line="259" w:lineRule="auto"/>
        <w:tabs>
          <w:tab w:leader="none" w:pos="1544"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The Disclosing Party will indemnify, defend and hold harmless the Receiving Party and its Representatives against any claim of a third-party that the disclosure and use of the Confidential Information of the Disclosing Party as provided in this Agreement infringes on a patent, trademark, copyright, trade secret or other intellectual property of the third-party registered in or otherwise recognized and enforceable under Applicable Laws.</w:t>
      </w:r>
    </w:p>
    <w:p>
      <w:pPr>
        <w:spacing w:after="0" w:line="79" w:lineRule="exact"/>
        <w:rPr>
          <w:sz w:val="20"/>
          <w:szCs w:val="20"/>
          <w:color w:val="auto"/>
        </w:rPr>
      </w:pPr>
    </w:p>
    <w:p>
      <w:pPr>
        <w:ind w:left="564" w:right="140"/>
        <w:spacing w:after="0" w:line="259" w:lineRule="auto"/>
        <w:rPr>
          <w:sz w:val="20"/>
          <w:szCs w:val="20"/>
          <w:color w:val="auto"/>
        </w:rPr>
      </w:pPr>
      <w:r>
        <w:rPr>
          <w:rFonts w:ascii="Arial" w:cs="Arial" w:eastAsia="Arial" w:hAnsi="Arial"/>
          <w:sz w:val="18"/>
          <w:szCs w:val="18"/>
          <w:color w:val="auto"/>
        </w:rPr>
        <w:t>Except for the limited representations and warranties in this Section, a Disclosing Party disclaims all other representations and warranties of any kind related to its Confidential Information, whether express, implied or arising by operation of law, including the disclaimer, without limitation, of any representation and warranties concerning merchantability, fitness for a particular purpose, truth, accuracy or completeness.</w:t>
      </w:r>
    </w:p>
    <w:p>
      <w:pPr>
        <w:spacing w:after="0" w:line="92" w:lineRule="exact"/>
        <w:rPr>
          <w:sz w:val="20"/>
          <w:szCs w:val="20"/>
          <w:color w:val="auto"/>
        </w:rPr>
      </w:pPr>
    </w:p>
    <w:p>
      <w:pPr>
        <w:ind w:left="544" w:hanging="544"/>
        <w:spacing w:after="0"/>
        <w:tabs>
          <w:tab w:leader="none" w:pos="544"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Parties under this Section with regards to disclosed Confidential Information will continue:</w:t>
      </w:r>
    </w:p>
    <w:p>
      <w:pPr>
        <w:spacing w:after="0" w:line="130" w:lineRule="exact"/>
        <w:rPr>
          <w:rFonts w:ascii="Arial" w:cs="Arial" w:eastAsia="Arial" w:hAnsi="Arial"/>
          <w:sz w:val="18"/>
          <w:szCs w:val="18"/>
          <w:b w:val="1"/>
          <w:bCs w:val="1"/>
          <w:color w:val="auto"/>
        </w:rPr>
      </w:pPr>
    </w:p>
    <w:p>
      <w:pPr>
        <w:ind w:left="1544" w:hanging="545"/>
        <w:spacing w:after="0" w:line="264" w:lineRule="auto"/>
        <w:tabs>
          <w:tab w:leader="none" w:pos="1544"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Until the earlier of (i) sixty (60) months from the date of disclosure to a Receiving Party or (ii) the date such information ceases to be considered Confidential Information under this Agreement, for Confidential Information that is not a trade secret of a Disclosing Party under Applicable Law; and</w:t>
      </w:r>
    </w:p>
    <w:p>
      <w:pPr>
        <w:spacing w:after="0" w:line="86" w:lineRule="exact"/>
        <w:rPr>
          <w:rFonts w:ascii="Arial" w:cs="Arial" w:eastAsia="Arial" w:hAnsi="Arial"/>
          <w:sz w:val="18"/>
          <w:szCs w:val="18"/>
          <w:b w:val="1"/>
          <w:bCs w:val="1"/>
          <w:color w:val="auto"/>
        </w:rPr>
      </w:pPr>
    </w:p>
    <w:p>
      <w:pPr>
        <w:ind w:left="1544" w:right="40" w:hanging="545"/>
        <w:spacing w:after="0" w:line="277" w:lineRule="auto"/>
        <w:tabs>
          <w:tab w:leader="none" w:pos="1544"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Until Confidential Information that is a trade secret of a Disclosing Party under Applicable Law ceases to be a trade secret of the Disclosing Party under Applicable Law.</w:t>
      </w:r>
    </w:p>
    <w:p>
      <w:pPr>
        <w:spacing w:after="0" w:line="75" w:lineRule="exact"/>
        <w:rPr>
          <w:rFonts w:ascii="Arial" w:cs="Arial" w:eastAsia="Arial" w:hAnsi="Arial"/>
          <w:sz w:val="18"/>
          <w:szCs w:val="18"/>
          <w:b w:val="1"/>
          <w:bCs w:val="1"/>
          <w:color w:val="auto"/>
        </w:rPr>
      </w:pPr>
    </w:p>
    <w:p>
      <w:pPr>
        <w:ind w:left="544" w:hanging="544"/>
        <w:spacing w:after="0" w:line="289" w:lineRule="auto"/>
        <w:tabs>
          <w:tab w:leader="none" w:pos="544" w:val="left"/>
        </w:tabs>
        <w:numPr>
          <w:ilvl w:val="0"/>
          <w:numId w:val="377"/>
        </w:numPr>
        <w:rPr>
          <w:rFonts w:ascii="Arial" w:cs="Arial" w:eastAsia="Arial" w:hAnsi="Arial"/>
          <w:sz w:val="16"/>
          <w:szCs w:val="16"/>
          <w:b w:val="1"/>
          <w:bCs w:val="1"/>
          <w:color w:val="auto"/>
        </w:rPr>
      </w:pPr>
      <w:r>
        <w:rPr>
          <w:rFonts w:ascii="Arial" w:cs="Arial" w:eastAsia="Arial" w:hAnsi="Arial"/>
          <w:sz w:val="16"/>
          <w:szCs w:val="16"/>
          <w:color w:val="auto"/>
        </w:rPr>
        <w:t>A Receiving Party will return or destroy all forms of Confidential Information of the Disclosing Party in the custody of the Receiving Party and its Representatives within ten (10) days of receipt of a written request from the Disclosing Party and after the expiration or earlier termination of this Agreement. This will include, without limitation, all copies, records, documents and other information representing, comprising, containing, referencing or created based on Confidential Information of the Disclosing Party. Notwithstanding the foregoing, a Receiving Party and its Representatives may retain copies of Confidential Information of the Disclosing Party which (x) the Receiving Party and its Representatives are required to retain to comply with Applicable Laws, accounting standards and security exchange requirements (but only for the duration and in the manner so required for this limited purpose); or (y) have been archived in electronic form by the Receiving Party and its Representatives and which would be unduly burdensome for the Receiving Party and its Representatives to have to search for and delete the Confidential Information of the Disclosing Party.</w:t>
      </w:r>
    </w:p>
    <w:p>
      <w:pPr>
        <w:spacing w:after="0" w:line="72" w:lineRule="exact"/>
        <w:rPr>
          <w:rFonts w:ascii="Arial" w:cs="Arial" w:eastAsia="Arial" w:hAnsi="Arial"/>
          <w:sz w:val="16"/>
          <w:szCs w:val="16"/>
          <w:b w:val="1"/>
          <w:bCs w:val="1"/>
          <w:color w:val="auto"/>
        </w:rPr>
      </w:pPr>
    </w:p>
    <w:p>
      <w:pPr>
        <w:ind w:left="544" w:right="20" w:hanging="544"/>
        <w:spacing w:after="0" w:line="253" w:lineRule="auto"/>
        <w:tabs>
          <w:tab w:leader="none" w:pos="544"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Except for the limited right to disclose and use Confidential Information of a Disclosing Party for the Authorized Purpose and other purposes provided in the this Section and except for any license of intellectual property granted by a Disclosing Party to the Receiving Party in a Purchase Schedule, this Agreement does not grant a Receiving Party or its Representatives any right, title, interest or ownership in the Confidential Information of the Disclosing Party nor in any patent, trademark, copyright or other intellectual property of the Disclosing Party. As between the Parties during the Term, to be effective, the grant of any right, title, interest and ownership in and to any Confidential Information of Party or in an patents, trademarks, copyrights and other intellectual property of the Party must be in writing and signed by the chief executive officers of the Parties. During the Term, a Party will not develop intellectual property for, on behalf of, or in collaboration with, the other Party unless the Parties have entered into a Purchase Schedule or other separate written agreement signed by an officer of each Party.</w:t>
      </w:r>
    </w:p>
    <w:p>
      <w:pPr>
        <w:sectPr>
          <w:pgSz w:w="11900" w:h="16838" w:orient="portrait"/>
          <w:cols w:equalWidth="0" w:num="1">
            <w:col w:w="10584"/>
          </w:cols>
          <w:pgMar w:left="876" w:top="274" w:right="439" w:bottom="1440" w:gutter="0" w:footer="0" w:header="0"/>
        </w:sectPr>
      </w:pPr>
    </w:p>
    <w:bookmarkStart w:id="452" w:name="page453"/>
    <w:bookmarkEnd w:id="452"/>
    <w:p>
      <w:pPr>
        <w:ind w:left="396" w:hanging="396"/>
        <w:spacing w:after="0"/>
        <w:tabs>
          <w:tab w:leader="none" w:pos="396"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Resolution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76" w:right="100" w:hanging="544"/>
        <w:spacing w:after="0" w:line="259" w:lineRule="auto"/>
        <w:tabs>
          <w:tab w:leader="none" w:pos="976" w:val="left"/>
        </w:tabs>
        <w:numPr>
          <w:ilvl w:val="1"/>
          <w:numId w:val="3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Negotiation</w:t>
      </w:r>
      <w:r>
        <w:rPr>
          <w:rFonts w:ascii="Arial" w:cs="Arial" w:eastAsia="Arial" w:hAnsi="Arial"/>
          <w:sz w:val="18"/>
          <w:szCs w:val="18"/>
          <w:color w:val="auto"/>
        </w:rPr>
        <w:t>. If a Party believes that the other Party has breached this Agreement or if there is a dispute between the Parties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 of this Agreement (a “</w:t>
      </w:r>
      <w:r>
        <w:rPr>
          <w:rFonts w:ascii="Arial" w:cs="Arial" w:eastAsia="Arial" w:hAnsi="Arial"/>
          <w:sz w:val="18"/>
          <w:szCs w:val="18"/>
          <w:u w:val="single" w:color="auto"/>
          <w:color w:val="auto"/>
        </w:rPr>
        <w:t>Dispute</w:t>
      </w:r>
      <w:r>
        <w:rPr>
          <w:rFonts w:ascii="Arial" w:cs="Arial" w:eastAsia="Arial" w:hAnsi="Arial"/>
          <w:sz w:val="18"/>
          <w:szCs w:val="18"/>
          <w:color w:val="auto"/>
        </w:rPr>
        <w:t>”), the Parties will endeavor to resolve the Dispute through good faith negotiation for a period of thirty (30) days after a Party notifies the other Party of the Dispute and before either Party requests mediation or files litigation to resolve the Dispute.</w:t>
      </w:r>
    </w:p>
    <w:p>
      <w:pPr>
        <w:spacing w:after="0" w:line="92" w:lineRule="exact"/>
        <w:rPr>
          <w:rFonts w:ascii="Arial" w:cs="Arial" w:eastAsia="Arial" w:hAnsi="Arial"/>
          <w:sz w:val="18"/>
          <w:szCs w:val="18"/>
          <w:b w:val="1"/>
          <w:bCs w:val="1"/>
          <w:color w:val="auto"/>
        </w:rPr>
      </w:pPr>
    </w:p>
    <w:p>
      <w:pPr>
        <w:ind w:left="976" w:right="80" w:hanging="544"/>
        <w:spacing w:after="0" w:line="293" w:lineRule="auto"/>
        <w:tabs>
          <w:tab w:leader="none" w:pos="976" w:val="left"/>
        </w:tabs>
        <w:numPr>
          <w:ilvl w:val="1"/>
          <w:numId w:val="3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Mediation</w:t>
      </w:r>
      <w:r>
        <w:rPr>
          <w:rFonts w:ascii="Arial" w:cs="Arial" w:eastAsia="Arial" w:hAnsi="Arial"/>
          <w:sz w:val="16"/>
          <w:szCs w:val="16"/>
          <w:color w:val="auto"/>
        </w:rPr>
        <w:t>. If the Parties have been unable to resolve a Dispute through good faith negotiation as provided in the prior Subsection,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request that the Parties attempt to resolve the Dispute through mediation by notifying the other Party with a copy to JAMS. The Parties will attempt to select a mutually acceptable JAMS mediator within ten (10) days of the notice requesting mediation. The mediation will be held in Lake County or Cook County, Illinois within thirty (30) days of the notice requesting mediation before a JAMS mediator and in compliance with JAMS mediation guidelines. Each party will bear its own costs in preparing for and participating in the mediation and one-half of the fees and expenses charged by JAMS for conducting the mediation.</w:t>
      </w:r>
    </w:p>
    <w:p>
      <w:pPr>
        <w:spacing w:after="0" w:line="70" w:lineRule="exact"/>
        <w:rPr>
          <w:rFonts w:ascii="Arial" w:cs="Arial" w:eastAsia="Arial" w:hAnsi="Arial"/>
          <w:sz w:val="16"/>
          <w:szCs w:val="16"/>
          <w:b w:val="1"/>
          <w:bCs w:val="1"/>
          <w:color w:val="auto"/>
        </w:rPr>
      </w:pPr>
    </w:p>
    <w:p>
      <w:pPr>
        <w:ind w:left="976" w:right="60" w:hanging="544"/>
        <w:spacing w:after="0" w:line="289" w:lineRule="auto"/>
        <w:tabs>
          <w:tab w:leader="none" w:pos="976" w:val="left"/>
        </w:tabs>
        <w:numPr>
          <w:ilvl w:val="1"/>
          <w:numId w:val="3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If the Parties have been unable to resolve a Dispute through mediation as provided in the prior Subsection, a Party may file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litigation against the other Party in a court of competent jurisdiction in the United States of America. With respect to litigation involving only the Parties or their Affiliates, the Parties irrevocably consent to the exclusive personal jurisdiction and venue of the U.S. federal and Illinois state courts of competent subject matter jurisdiction located in Lake County, Illinois or Cook County, Illinois and their respective higher courts of appeal for the limited purpose of resolving a Dispute, and the Parties waive, to the fullest extent permitted by law, any defense of inconvenient forum. The Parties waive any right to trial by jury as to any Disputes resolved through litigation. Notwithstanding the foregoing, a Party may file litigation to resolve a Dispute without undergoing either negotiation or mediation as provided in the prior Subsections for any Dispute involving: (i) infringement on intellectual property; (ii) the unauthorized use or disclosure of Confidential Information; or (iii) a request for a temporary restraining order, a preliminary or permanent injunction or any other type of equitable relief.</w:t>
      </w:r>
    </w:p>
    <w:p>
      <w:pPr>
        <w:spacing w:after="0" w:line="72" w:lineRule="exact"/>
        <w:rPr>
          <w:rFonts w:ascii="Arial" w:cs="Arial" w:eastAsia="Arial" w:hAnsi="Arial"/>
          <w:sz w:val="16"/>
          <w:szCs w:val="16"/>
          <w:b w:val="1"/>
          <w:bCs w:val="1"/>
          <w:color w:val="auto"/>
        </w:rPr>
      </w:pPr>
    </w:p>
    <w:p>
      <w:pPr>
        <w:ind w:left="976" w:hanging="544"/>
        <w:spacing w:after="0" w:line="287" w:lineRule="auto"/>
        <w:tabs>
          <w:tab w:leader="none" w:pos="976" w:val="left"/>
        </w:tabs>
        <w:numPr>
          <w:ilvl w:val="1"/>
          <w:numId w:val="3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Remedies. </w:t>
      </w:r>
      <w:r>
        <w:rPr>
          <w:rFonts w:ascii="Arial" w:cs="Arial" w:eastAsia="Arial" w:hAnsi="Arial"/>
          <w:sz w:val="16"/>
          <w:szCs w:val="16"/>
          <w:color w:val="auto"/>
        </w:rPr>
        <w:t>Except as expressly limited in the preceding Subsections and the other provisions in this Agreement, a Party may immediately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any rights and remedies available to the Party under Applicable Law upon a breach of this Agreement by the other Party. A Party will not suspend performance under or terminate this Agreement or any accepted purchase order for a product being purchased and sold under this Agreement unless: (1) the other Party is in material breach of this Agreement and has either refused to cure the material breach or has failed to cure the material breach within thirty (30) day of its receipt of written notice of the failure; and (2) the Parties have been unable to resolve the Dispute related to the material breach through negotiation or mediation, or the breaching Party has refused or failed to attempt to resolve the Dispute through negotiation or mediation, as provided in this Section. Notwithstanding the foregoing, a Party may suspend performance or terminate this Agreement or any accepted purchase order for a product being purchase and sold under this Agreement immediately on written notice to the other Party, and without providing the other Party an opportunity to cure the material breach or attempting to resolve a Dispute over the material breach by negotiation or mediation as provided in this Section, for a material breach by the other Party involving substantial harm to the reputation, goodwill and business of the non-breaching Party that cannot reasonably be avoided or fully redressed by providing the other Party an opportunity to cure the material breach.</w:t>
      </w:r>
    </w:p>
    <w:p>
      <w:pPr>
        <w:spacing w:after="0" w:line="70" w:lineRule="exact"/>
        <w:rPr>
          <w:rFonts w:ascii="Arial" w:cs="Arial" w:eastAsia="Arial" w:hAnsi="Arial"/>
          <w:sz w:val="16"/>
          <w:szCs w:val="16"/>
          <w:b w:val="1"/>
          <w:bCs w:val="1"/>
          <w:color w:val="auto"/>
        </w:rPr>
      </w:pPr>
    </w:p>
    <w:p>
      <w:pPr>
        <w:ind w:left="976" w:right="180" w:hanging="544"/>
        <w:spacing w:after="0" w:line="314" w:lineRule="auto"/>
        <w:tabs>
          <w:tab w:leader="none" w:pos="976" w:val="left"/>
        </w:tabs>
        <w:numPr>
          <w:ilvl w:val="1"/>
          <w:numId w:val="378"/>
        </w:numPr>
        <w:rPr>
          <w:rFonts w:ascii="Arial" w:cs="Arial" w:eastAsia="Arial" w:hAnsi="Arial"/>
          <w:sz w:val="16"/>
          <w:szCs w:val="16"/>
          <w:b w:val="1"/>
          <w:bCs w:val="1"/>
          <w:color w:val="auto"/>
        </w:rPr>
      </w:pPr>
      <w:r>
        <w:rPr>
          <w:rFonts w:ascii="Arial" w:cs="Arial" w:eastAsia="Arial" w:hAnsi="Arial"/>
          <w:sz w:val="16"/>
          <w:szCs w:val="16"/>
          <w:b w:val="1"/>
          <w:bCs w:val="1"/>
          <w:color w:val="auto"/>
        </w:rPr>
        <w:t>Late Fees and Collection Costs</w:t>
      </w:r>
      <w:r>
        <w:rPr>
          <w:rFonts w:ascii="Arial" w:cs="Arial" w:eastAsia="Arial" w:hAnsi="Arial"/>
          <w:sz w:val="16"/>
          <w:szCs w:val="16"/>
          <w:color w:val="auto"/>
        </w:rPr>
        <w:t>. If Buyer fails to pay Seller an amount owed under this Agreement by the invoice due date, then Buyer</w:t>
      </w:r>
      <w:r>
        <w:rPr>
          <w:rFonts w:ascii="Arial" w:cs="Arial" w:eastAsia="Arial" w:hAnsi="Arial"/>
          <w:sz w:val="16"/>
          <w:szCs w:val="16"/>
          <w:b w:val="1"/>
          <w:bCs w:val="1"/>
          <w:color w:val="auto"/>
        </w:rPr>
        <w:t xml:space="preserve"> </w:t>
      </w:r>
      <w:r>
        <w:rPr>
          <w:rFonts w:ascii="Arial" w:cs="Arial" w:eastAsia="Arial" w:hAnsi="Arial"/>
          <w:sz w:val="16"/>
          <w:szCs w:val="16"/>
          <w:color w:val="auto"/>
        </w:rPr>
        <w:t>will owe Seller: (i) the delinquent amount; and (ii) a late payment fee equal to two percent (2%) of the delinquent amount for each full or partial calendar month past the invoice due date that the delinquent amount remains unpaid. In addition, if Seller has to file</w:t>
      </w:r>
    </w:p>
    <w:p>
      <w:pPr>
        <w:sectPr>
          <w:pgSz w:w="11900" w:h="16838" w:orient="portrait"/>
          <w:cols w:equalWidth="0" w:num="1">
            <w:col w:w="11016"/>
          </w:cols>
          <w:pgMar w:left="444" w:top="269" w:right="439" w:bottom="1440" w:gutter="0" w:footer="0" w:header="0"/>
        </w:sectPr>
      </w:pPr>
    </w:p>
    <w:bookmarkStart w:id="453" w:name="page454"/>
    <w:bookmarkEnd w:id="453"/>
    <w:p>
      <w:pPr>
        <w:ind w:left="976"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 to collect the amount owed and Seller prevails in the litigation, Buyer will reimburse Seller for actual, reasonable, substantiated out-of-pocket expenses incurred by Seller in collecting the delinquent amount and accrued late payment fees on the delinquent amount. Under no circumstance will the late payment fee payable to Seller exceed the amount that a creditor may lawfully impose on a debtor on a delinquent amount under Applicable Law.</w:t>
      </w:r>
    </w:p>
    <w:p>
      <w:pPr>
        <w:spacing w:after="0" w:line="291" w:lineRule="exact"/>
        <w:rPr>
          <w:sz w:val="20"/>
          <w:szCs w:val="20"/>
          <w:color w:val="auto"/>
        </w:rPr>
      </w:pPr>
    </w:p>
    <w:p>
      <w:pPr>
        <w:ind w:left="396" w:hanging="396"/>
        <w:spacing w:after="0"/>
        <w:tabs>
          <w:tab w:leader="none" w:pos="396"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76" w:right="80" w:hanging="544"/>
        <w:spacing w:after="0" w:line="273" w:lineRule="auto"/>
        <w:tabs>
          <w:tab w:leader="none" w:pos="976" w:val="left"/>
        </w:tabs>
        <w:numPr>
          <w:ilvl w:val="1"/>
          <w:numId w:val="3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Entire Agreement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including its appended Exhibits and Purchase Schedules entered into during the Term, constitutes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entire agreement between the Parties with respect to the sale of products by Seller to Buyer and the purchase of products by Buyer from Seller. This Agreement supersedes all prior and simultaneous representations, discussions, negotiations, letters, proposals, agreements and understandings, whether written or oral, with respect to this subject matter. This Agreement will not be binding on either Party unless and until signed by the chief executive officers of each Party. No handwritten or other addition, deletion or other modification to the printed portions of this Agreement will be binding upon either Party to this Agreement.</w:t>
      </w:r>
    </w:p>
    <w:p>
      <w:pPr>
        <w:spacing w:after="0" w:line="83" w:lineRule="exact"/>
        <w:rPr>
          <w:rFonts w:ascii="Arial" w:cs="Arial" w:eastAsia="Arial" w:hAnsi="Arial"/>
          <w:sz w:val="17"/>
          <w:szCs w:val="17"/>
          <w:b w:val="1"/>
          <w:bCs w:val="1"/>
          <w:color w:val="auto"/>
        </w:rPr>
      </w:pPr>
    </w:p>
    <w:p>
      <w:pPr>
        <w:ind w:left="976" w:right="80" w:hanging="544"/>
        <w:spacing w:after="0" w:line="273" w:lineRule="auto"/>
        <w:tabs>
          <w:tab w:leader="none" w:pos="976" w:val="left"/>
        </w:tabs>
        <w:numPr>
          <w:ilvl w:val="1"/>
          <w:numId w:val="3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Amendments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Party may not amend nor supplement the terms and conditions in this Agreement through the inclusion of additional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terms and conditions in any quotation, purchase order, invoice, bill of lading, letter, email or other document or communication. This Section does not prevent the reliance on the descriptive information in transaction documents identifying the ordered Products (e.g., the type and quantity of ordered products and scheduled date and location for delivery). No amendment of this Agreement will be valid or effective unless made in writing and signed and exchanged by the chief executive officers of the Parties. A Party may approve or reject a request for an amendment in its sole and absolute discretion.</w:t>
      </w:r>
    </w:p>
    <w:p>
      <w:pPr>
        <w:spacing w:after="0" w:line="79" w:lineRule="exact"/>
        <w:rPr>
          <w:rFonts w:ascii="Arial" w:cs="Arial" w:eastAsia="Arial" w:hAnsi="Arial"/>
          <w:sz w:val="17"/>
          <w:szCs w:val="17"/>
          <w:b w:val="1"/>
          <w:bCs w:val="1"/>
          <w:color w:val="auto"/>
        </w:rPr>
      </w:pPr>
    </w:p>
    <w:p>
      <w:pPr>
        <w:ind w:left="976" w:hanging="544"/>
        <w:spacing w:after="0" w:line="258" w:lineRule="auto"/>
        <w:tabs>
          <w:tab w:leader="none" w:pos="976" w:val="left"/>
        </w:tabs>
        <w:numPr>
          <w:ilvl w:val="1"/>
          <w:numId w:val="3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failure of either party to insist in any one or more instances upon strict performance of any of the provisions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to take advantage of any of its rights shall not operate as a continuing waiver of such rights. No right or obligation under this Agreement will be considered to have been waived by a Party unless such waiver is in writing and is signed by an officer of the waiving Party and delivered to the other Party. No consent to or waiver of a breach by either Party will constitute a consent to, waiver of, or excuse for any other, different, or subsequent breach by such Party.</w:t>
      </w:r>
    </w:p>
    <w:p>
      <w:pPr>
        <w:spacing w:after="0" w:line="89" w:lineRule="exact"/>
        <w:rPr>
          <w:rFonts w:ascii="Arial" w:cs="Arial" w:eastAsia="Arial" w:hAnsi="Arial"/>
          <w:sz w:val="18"/>
          <w:szCs w:val="18"/>
          <w:b w:val="1"/>
          <w:bCs w:val="1"/>
          <w:color w:val="auto"/>
        </w:rPr>
      </w:pPr>
    </w:p>
    <w:p>
      <w:pPr>
        <w:ind w:left="976" w:right="100" w:hanging="544"/>
        <w:spacing w:after="0" w:line="261" w:lineRule="auto"/>
        <w:tabs>
          <w:tab w:leader="none" w:pos="976" w:val="left"/>
        </w:tabs>
        <w:numPr>
          <w:ilvl w:val="1"/>
          <w:numId w:val="3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all claims or causes of action arising out of or related to this Agreement shall be governed in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respects, including as to validity, interpretation and effect, by the laws of the State of Illinois and the United States of America, without giving effect to its principles or rules of conflict of laws. The United Nations Convention on Contracts for the International Sale of Goods will not govern or otherwise be applicable to this Agreement.</w:t>
      </w:r>
    </w:p>
    <w:p>
      <w:pPr>
        <w:spacing w:after="0" w:line="89" w:lineRule="exact"/>
        <w:rPr>
          <w:rFonts w:ascii="Arial" w:cs="Arial" w:eastAsia="Arial" w:hAnsi="Arial"/>
          <w:sz w:val="18"/>
          <w:szCs w:val="18"/>
          <w:b w:val="1"/>
          <w:bCs w:val="1"/>
          <w:color w:val="auto"/>
        </w:rPr>
      </w:pPr>
    </w:p>
    <w:p>
      <w:pPr>
        <w:ind w:left="976" w:right="280" w:hanging="544"/>
        <w:spacing w:after="0" w:line="264" w:lineRule="auto"/>
        <w:tabs>
          <w:tab w:leader="none" w:pos="976" w:val="left"/>
        </w:tabs>
        <w:numPr>
          <w:ilvl w:val="1"/>
          <w:numId w:val="3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term of provision of this Agreement, or the application thereof shall be found invalid, void or unenforceable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or governmental organization having jurisdiction over the subject matter, the remaining provisions, and any application thereof, shall nevertheless continue in full force and effect.</w:t>
      </w:r>
    </w:p>
    <w:p>
      <w:pPr>
        <w:spacing w:after="0" w:line="86" w:lineRule="exact"/>
        <w:rPr>
          <w:rFonts w:ascii="Arial" w:cs="Arial" w:eastAsia="Arial" w:hAnsi="Arial"/>
          <w:sz w:val="18"/>
          <w:szCs w:val="18"/>
          <w:b w:val="1"/>
          <w:bCs w:val="1"/>
          <w:color w:val="auto"/>
        </w:rPr>
      </w:pPr>
    </w:p>
    <w:p>
      <w:pPr>
        <w:ind w:left="976" w:right="60" w:hanging="544"/>
        <w:spacing w:after="0" w:line="293" w:lineRule="auto"/>
        <w:tabs>
          <w:tab w:leader="none" w:pos="976" w:val="left"/>
        </w:tabs>
        <w:numPr>
          <w:ilvl w:val="1"/>
          <w:numId w:val="3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Assignment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its rights and obligations, is not assignable or transferable by either Party, in whole or in part, except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 written consent of the other Party, which consent will not be unreasonably withheld, conditioned or delayed. Notwithstanding the foregoing, either Party may transfer and assign this Agreement to any of its affiliates or in connection with any merger, consolidation or sale of assets without the other Party’s prior consent provided (a) that any such assignment will not result in the assigning Party being released or discharged from any liability under this Agreement, and (b) the purchaser/assignee will expressly assume all obligations of the assigning Party under this Agreement. The assigning Party will provide the other Party with written</w:t>
      </w:r>
    </w:p>
    <w:p>
      <w:pPr>
        <w:sectPr>
          <w:pgSz w:w="11900" w:h="16838" w:orient="portrait"/>
          <w:cols w:equalWidth="0" w:num="1">
            <w:col w:w="10996"/>
          </w:cols>
          <w:pgMar w:left="444" w:top="274" w:right="459" w:bottom="1440" w:gutter="0" w:footer="0" w:header="0"/>
        </w:sectPr>
      </w:pPr>
    </w:p>
    <w:bookmarkStart w:id="454" w:name="page455"/>
    <w:bookmarkEnd w:id="454"/>
    <w:p>
      <w:pPr>
        <w:ind w:left="544"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such assignment prior to or promptly following the effective date of such assignment. A change of control shall be deemed an assignment requiring consent hereunder provided that any transfer or assignment that results in Seller’s and Buyer’s current common parent, Reynolds Group Holdings Limited, ceasing to control either party shall not require consent of the other party. The restrictions in this Section will not preclude a Party for authorizing an Affiliate to purchase or sell a product on behalf of a Party under this Agreement. Subject to the foregoing, all of the terms, conditions and provisions of this Agreement shall be binding upon and shall inure to the benefit of the successors and assignees of the respective Parties.</w:t>
      </w:r>
    </w:p>
    <w:p>
      <w:pPr>
        <w:spacing w:after="0" w:line="84" w:lineRule="exact"/>
        <w:rPr>
          <w:sz w:val="20"/>
          <w:szCs w:val="20"/>
          <w:color w:val="auto"/>
        </w:rPr>
      </w:pPr>
    </w:p>
    <w:p>
      <w:pPr>
        <w:ind w:left="544" w:right="320" w:hanging="544"/>
        <w:spacing w:after="0" w:line="277" w:lineRule="auto"/>
        <w:tabs>
          <w:tab w:leader="none" w:pos="544"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Third Party Beneficiaries</w:t>
      </w:r>
      <w:r>
        <w:rPr>
          <w:rFonts w:ascii="Arial" w:cs="Arial" w:eastAsia="Arial" w:hAnsi="Arial"/>
          <w:sz w:val="18"/>
          <w:szCs w:val="18"/>
          <w:color w:val="auto"/>
        </w:rPr>
        <w:t>. Except as otherwise provided in a Purchase Schedule, there are no intended third-party beneficiaries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75" w:lineRule="exact"/>
        <w:rPr>
          <w:rFonts w:ascii="Arial" w:cs="Arial" w:eastAsia="Arial" w:hAnsi="Arial"/>
          <w:sz w:val="18"/>
          <w:szCs w:val="18"/>
          <w:b w:val="1"/>
          <w:bCs w:val="1"/>
          <w:color w:val="auto"/>
        </w:rPr>
      </w:pPr>
    </w:p>
    <w:p>
      <w:pPr>
        <w:ind w:left="544" w:right="160" w:hanging="544"/>
        <w:spacing w:after="0" w:line="297" w:lineRule="auto"/>
        <w:tabs>
          <w:tab w:leader="none" w:pos="544"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Good Faith and Cooperation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where this Agreement states that a Party may expressly exercise a right or render a decision in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“sole and absolute discretion”, a Party will exercise its rights under this Agreement in its good faith business judgment. A Party will perform its obligations under this Agreement in a commercially reasonable manner consistent with industry practices and in compliance with Applicable Law. A Party will promptly take such actions, provide such information and sign such documents as the other Party may reasonably request to obtain the benefits and exercise the rights granted, and to perform the obligations imposed, under this Agreement.</w:t>
      </w:r>
    </w:p>
    <w:p>
      <w:pPr>
        <w:spacing w:after="0" w:line="63" w:lineRule="exact"/>
        <w:rPr>
          <w:rFonts w:ascii="Arial" w:cs="Arial" w:eastAsia="Arial" w:hAnsi="Arial"/>
          <w:sz w:val="16"/>
          <w:szCs w:val="16"/>
          <w:b w:val="1"/>
          <w:bCs w:val="1"/>
          <w:color w:val="auto"/>
        </w:rPr>
      </w:pPr>
    </w:p>
    <w:p>
      <w:pPr>
        <w:ind w:left="544" w:hanging="544"/>
        <w:spacing w:after="0" w:line="255" w:lineRule="auto"/>
        <w:tabs>
          <w:tab w:leader="none" w:pos="544"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required or permitted to be provided by a Party under this Agreement will be made to the notice address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receiving Party set forth below or to an alternate notice address later designated by the receiving Party in accordance with this Subsection. Notices will be effective upon actual receipt by the receiving Party. An emailed notice will be effective against a receiving Party only if the Receiving Party acknowledge receipt of the emailed notice in a return notice to the notifying Party. A receiving Party agrees to acknowledge receipt of an email notice in good faith promptly following receipt. A Party may change its address for notice by giving notice to the other party Pursuant to this Subsection.</w:t>
      </w:r>
    </w:p>
    <w:p>
      <w:pPr>
        <w:spacing w:after="0" w:line="19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Address for notice to Seller:</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West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Attn: John McGrath, Chief Executive Officer</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jmcgrath@pactiv.com</w:t>
      </w:r>
    </w:p>
    <w:p>
      <w:pPr>
        <w:spacing w:after="0" w:line="211"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For any notice concerning default or termination, with a copy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West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Attn: Steven R. Karl, General Counsel</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skarl@pactiv.com</w:t>
      </w:r>
    </w:p>
    <w:p>
      <w:pPr>
        <w:spacing w:after="0" w:line="211"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Address for notices to Buyer:</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Reynolds Consumer Products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Lance Mitchell, Chief Executive Officer</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Email: Lance.Mitchell@</w:t>
      </w:r>
      <w:r>
        <w:rPr>
          <w:rFonts w:ascii="Arial" w:cs="Arial" w:eastAsia="Arial" w:hAnsi="Arial"/>
          <w:sz w:val="18"/>
          <w:szCs w:val="18"/>
          <w:u w:val="single" w:color="auto"/>
          <w:color w:val="auto"/>
        </w:rPr>
        <w:t>@ReynoldsBrands.com</w:t>
      </w:r>
    </w:p>
    <w:p>
      <w:pPr>
        <w:sectPr>
          <w:pgSz w:w="11900" w:h="16838" w:orient="portrait"/>
          <w:cols w:equalWidth="0" w:num="1">
            <w:col w:w="10564"/>
          </w:cols>
          <w:pgMar w:left="876" w:top="274" w:right="459" w:bottom="1440" w:gutter="0" w:footer="0" w:header="0"/>
        </w:sectPr>
      </w:pPr>
    </w:p>
    <w:bookmarkStart w:id="455" w:name="page456"/>
    <w:bookmarkEnd w:id="455"/>
    <w:p>
      <w:pPr>
        <w:ind w:left="13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notice concerning default or termination, with a copy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Reynolds Consumer Products LLC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David Watson, General Counsel</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David.Watson@ReynoldsBrands.com</w:t>
      </w:r>
    </w:p>
    <w:p>
      <w:pPr>
        <w:spacing w:after="0" w:line="116" w:lineRule="exact"/>
        <w:rPr>
          <w:sz w:val="20"/>
          <w:szCs w:val="20"/>
          <w:color w:val="auto"/>
        </w:rPr>
      </w:pPr>
    </w:p>
    <w:p>
      <w:pPr>
        <w:ind w:left="544" w:right="40" w:hanging="544"/>
        <w:spacing w:after="0" w:line="288" w:lineRule="auto"/>
        <w:tabs>
          <w:tab w:leader="none" w:pos="544"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Contractors</w:t>
      </w:r>
      <w:r>
        <w:rPr>
          <w:rFonts w:ascii="Arial" w:cs="Arial" w:eastAsia="Arial" w:hAnsi="Arial"/>
          <w:sz w:val="16"/>
          <w:szCs w:val="16"/>
          <w:color w:val="auto"/>
        </w:rPr>
        <w:t>. The relationship of the Parties established by this Agreement is that of independent contractors, and nothing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in this Agreement shall be construed to: (a) give either Party the power to direct and control the day-to-day activities of the other Party, (b) establish the Parties as partners, joint ventures, co-owners or otherwise as participants in a joint or common undertaking, or</w:t>
      </w:r>
    </w:p>
    <w:p>
      <w:pPr>
        <w:ind w:left="544" w:right="2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(c) allow a Party to bind the other Party in any manner or otherwise create or assume any obligation on behalf of the other Party for any purpose whatsoever. A Party will not be considered an agent of the other Party.</w:t>
      </w:r>
    </w:p>
    <w:p>
      <w:pPr>
        <w:spacing w:after="0" w:line="89" w:lineRule="exact"/>
        <w:rPr>
          <w:rFonts w:ascii="Arial" w:cs="Arial" w:eastAsia="Arial" w:hAnsi="Arial"/>
          <w:sz w:val="16"/>
          <w:szCs w:val="16"/>
          <w:b w:val="1"/>
          <w:bCs w:val="1"/>
          <w:color w:val="auto"/>
        </w:rPr>
      </w:pPr>
    </w:p>
    <w:p>
      <w:pPr>
        <w:ind w:left="544" w:right="340" w:hanging="544"/>
        <w:spacing w:after="0" w:line="302" w:lineRule="auto"/>
        <w:tabs>
          <w:tab w:leader="none" w:pos="544"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Non-Exclusive Supply Relationship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provided in a Purchase Schedule, the Agreement is not evidence of, nor does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any form of exclusive supply relationship between the Parties concerning the purchase and sale of products. Except as may be provided in a Purchase Schedule and for the types and quantities of products in an accepted purchase order, nothing in the Agreement obligates a Party to sell or purchase any specified volume, market share or other minimum level of products during the Term.</w:t>
      </w:r>
    </w:p>
    <w:p>
      <w:pPr>
        <w:spacing w:after="0" w:line="59" w:lineRule="exact"/>
        <w:rPr>
          <w:rFonts w:ascii="Arial" w:cs="Arial" w:eastAsia="Arial" w:hAnsi="Arial"/>
          <w:sz w:val="16"/>
          <w:szCs w:val="16"/>
          <w:b w:val="1"/>
          <w:bCs w:val="1"/>
          <w:color w:val="auto"/>
        </w:rPr>
      </w:pPr>
    </w:p>
    <w:p>
      <w:pPr>
        <w:ind w:left="544" w:right="480" w:hanging="544"/>
        <w:spacing w:after="0" w:line="291" w:lineRule="auto"/>
        <w:tabs>
          <w:tab w:leader="none" w:pos="544"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Construction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the context otherwise requires, the following rules of construction will be applied to in the interpretation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(1) Headings are for convenience only and do not affect interpretation; (2) Singular includes the plural and vice-versa;</w:t>
      </w:r>
    </w:p>
    <w:p>
      <w:pPr>
        <w:ind w:left="544"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(3) Gender includes all genders; (4) If a word or phrase is defined, its other grammatical forms have a corresponding meaning; (5) The meaning of general words is not limited by specific examples introduced by “includes”, “including” or “for example” or similar expressions; (6) The word “person” includes an individual, corporation, company, trust, partnership, limited partnership, unincorporated body, joint venture, consortium or other legal entity; (7) A reference in any Purchase Schedule or Exhibit to an Article, Section, Subsection or Clause is a reference to an Article, Section, Subsection or Clause in that Purchase Schedule or Exhibit unless otherwise identified;</w:t>
      </w:r>
    </w:p>
    <w:p>
      <w:pPr>
        <w:spacing w:after="0" w:line="3" w:lineRule="exact"/>
        <w:rPr>
          <w:rFonts w:ascii="Arial" w:cs="Arial" w:eastAsia="Arial" w:hAnsi="Arial"/>
          <w:sz w:val="16"/>
          <w:szCs w:val="16"/>
          <w:b w:val="1"/>
          <w:bCs w:val="1"/>
          <w:color w:val="auto"/>
        </w:rPr>
      </w:pPr>
    </w:p>
    <w:p>
      <w:pPr>
        <w:ind w:left="544" w:right="26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(8) Reference to a Purchase Schedule or Exhibit is a reference to a Schedule, Exhibit described, appended or otherwise identified in this Agreement; (9) A reference to conduct includes, without limitation, an omission, statement or undertaking, whether or not in writing;</w:t>
      </w:r>
    </w:p>
    <w:p>
      <w:pPr>
        <w:spacing w:after="0" w:line="1" w:lineRule="exact"/>
        <w:rPr>
          <w:rFonts w:ascii="Arial" w:cs="Arial" w:eastAsia="Arial" w:hAnsi="Arial"/>
          <w:sz w:val="16"/>
          <w:szCs w:val="16"/>
          <w:b w:val="1"/>
          <w:bCs w:val="1"/>
          <w:color w:val="auto"/>
        </w:rPr>
      </w:pPr>
    </w:p>
    <w:p>
      <w:pPr>
        <w:ind w:left="544"/>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(10) A reference to a third-party is a reference to a person who is not a Party to this Agreement; (11) Where a period of time is specified for the performance of any act and dates from a given day or the day of an act or event, the period shall be exclusive of that date; and (12) the Parties agree that the Agreement is the product of negotiation between sophisticated parties and individuals, all of whom were or have been given the opportunity to be represented by counsel, and each of whom had an opportunity to participate in, and did participate in, negotiation of the terms hereof. Accordingly, the Parties acknowledge and agree that the Agreement is not a contract of adhesion and that ambiguities in the Agreement, if any, shall not be construed strictly or in favor of or against either Party, but rather shall be given a fair and reasonable construction.</w:t>
      </w:r>
    </w:p>
    <w:p>
      <w:pPr>
        <w:spacing w:after="0" w:line="98" w:lineRule="exact"/>
        <w:rPr>
          <w:rFonts w:ascii="Arial" w:cs="Arial" w:eastAsia="Arial" w:hAnsi="Arial"/>
          <w:sz w:val="16"/>
          <w:szCs w:val="16"/>
          <w:b w:val="1"/>
          <w:bCs w:val="1"/>
          <w:color w:val="auto"/>
        </w:rPr>
      </w:pPr>
    </w:p>
    <w:p>
      <w:pPr>
        <w:ind w:left="544" w:hanging="544"/>
        <w:spacing w:after="0" w:line="259" w:lineRule="auto"/>
        <w:tabs>
          <w:tab w:leader="none" w:pos="544"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Execution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be executed in any number of counterparts, each of which shall be deemed an original as against the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signature appears thereon, but all of which taken together shall constitute but one and the same instrument. Acceptance of this Agreement may be made by e-mail, mail or other commercially reasonable means showing the signatures of the chief executive officers of the Parties.</w:t>
      </w:r>
    </w:p>
    <w:p>
      <w:pPr>
        <w:sectPr>
          <w:pgSz w:w="11900" w:h="16838" w:orient="portrait"/>
          <w:cols w:equalWidth="0" w:num="1">
            <w:col w:w="10584"/>
          </w:cols>
          <w:pgMar w:left="876" w:top="273" w:right="439" w:bottom="1440" w:gutter="0" w:footer="0" w:header="0"/>
        </w:sectPr>
      </w:pPr>
    </w:p>
    <w:bookmarkStart w:id="456" w:name="page457"/>
    <w:bookmarkEnd w:id="4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Seller and Buyer have executed this Master Supply Agreement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REYNOLDS CONSUMER PRODUCTS LLC</w:t>
      </w:r>
      <w:r>
        <w:rPr>
          <w:rFonts w:ascii="Arial" w:cs="Arial" w:eastAsia="Arial" w:hAnsi="Arial"/>
          <w:sz w:val="18"/>
          <w:szCs w:val="18"/>
          <w:color w:val="auto"/>
        </w:rPr>
        <w:t>, as Buyer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Lance Mitchell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Lance Mitchell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PACTIV LLC</w:t>
      </w:r>
      <w:r>
        <w:rPr>
          <w:rFonts w:ascii="Arial" w:cs="Arial" w:eastAsia="Arial" w:hAnsi="Arial"/>
          <w:sz w:val="18"/>
          <w:szCs w:val="18"/>
          <w:color w:val="auto"/>
        </w:rPr>
        <w:t>, as Seller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McGrath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McGrath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019"/>
          </w:cols>
          <w:pgMar w:left="440" w:top="274" w:right="1440"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WAREHOUSING AND FREIGHT SERVICES AGREEMENT</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Warehousing and Freight Services Agreement (referred to herein as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November 1, 2019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Reynolds Consumer Products LLC, a Delaware limited liability company with its principal place of business at 1900 West Field Court, Lake Forest, IL 60045 (referred to at times as “</w:t>
      </w:r>
      <w:r>
        <w:rPr>
          <w:rFonts w:ascii="Arial" w:cs="Arial" w:eastAsia="Arial" w:hAnsi="Arial"/>
          <w:sz w:val="18"/>
          <w:szCs w:val="18"/>
          <w:u w:val="single" w:color="auto"/>
          <w:color w:val="auto"/>
        </w:rPr>
        <w:t>Reynolds</w:t>
      </w:r>
      <w:r>
        <w:rPr>
          <w:rFonts w:ascii="Arial" w:cs="Arial" w:eastAsia="Arial" w:hAnsi="Arial"/>
          <w:sz w:val="18"/>
          <w:szCs w:val="18"/>
          <w:color w:val="auto"/>
        </w:rPr>
        <w:t>”) and Pactiv LLC, a Delaware limited liability company with offices at 1900 West Field Court, Lake Forest, IL 60045 (referred to at times as “</w:t>
      </w:r>
      <w:r>
        <w:rPr>
          <w:rFonts w:ascii="Arial" w:cs="Arial" w:eastAsia="Arial" w:hAnsi="Arial"/>
          <w:sz w:val="18"/>
          <w:szCs w:val="18"/>
          <w:u w:val="single" w:color="auto"/>
          <w:color w:val="auto"/>
        </w:rPr>
        <w:t>Pactiv</w:t>
      </w:r>
      <w:r>
        <w:rPr>
          <w:rFonts w:ascii="Arial" w:cs="Arial" w:eastAsia="Arial" w:hAnsi="Arial"/>
          <w:sz w:val="18"/>
          <w:szCs w:val="18"/>
          <w:color w:val="auto"/>
        </w:rPr>
        <w:t>”). Reynolds and Pactiv are each referred at times in this Agreement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
        <w:spacing w:after="0" w:line="342" w:lineRule="auto"/>
        <w:tabs>
          <w:tab w:leader="none" w:pos="180" w:val="left"/>
        </w:tabs>
        <w:numPr>
          <w:ilvl w:val="0"/>
          <w:numId w:val="382"/>
        </w:numPr>
        <w:rPr>
          <w:rFonts w:ascii="Arial" w:cs="Arial" w:eastAsia="Arial" w:hAnsi="Arial"/>
          <w:sz w:val="16"/>
          <w:szCs w:val="16"/>
          <w:b w:val="1"/>
          <w:bCs w:val="1"/>
          <w:color w:val="auto"/>
        </w:rPr>
      </w:pPr>
      <w:r>
        <w:rPr>
          <w:rFonts w:ascii="Arial" w:cs="Arial" w:eastAsia="Arial" w:hAnsi="Arial"/>
          <w:sz w:val="16"/>
          <w:szCs w:val="16"/>
          <w:color w:val="auto"/>
        </w:rPr>
        <w:t>The Parties have entered into a Master Supply Agreement dated November 1, 2019 (the “</w:t>
      </w:r>
      <w:r>
        <w:rPr>
          <w:rFonts w:ascii="Arial" w:cs="Arial" w:eastAsia="Arial" w:hAnsi="Arial"/>
          <w:sz w:val="16"/>
          <w:szCs w:val="16"/>
          <w:u w:val="single" w:color="auto"/>
          <w:color w:val="auto"/>
        </w:rPr>
        <w:t>MSA</w:t>
      </w:r>
      <w:r>
        <w:rPr>
          <w:rFonts w:ascii="Arial" w:cs="Arial" w:eastAsia="Arial" w:hAnsi="Arial"/>
          <w:sz w:val="16"/>
          <w:szCs w:val="16"/>
          <w:color w:val="auto"/>
        </w:rPr>
        <w:t>”) under which Pactiv has agreed to manufacture and sell to Reynolds, and Reynolds has agreed to purchase from Pactiv, certain food packaging and foodservice products (the “</w:t>
      </w:r>
      <w:r>
        <w:rPr>
          <w:rFonts w:ascii="Arial" w:cs="Arial" w:eastAsia="Arial" w:hAnsi="Arial"/>
          <w:sz w:val="16"/>
          <w:szCs w:val="16"/>
          <w:u w:val="single" w:color="auto"/>
          <w:color w:val="auto"/>
        </w:rPr>
        <w:t>Pactiv Products</w:t>
      </w:r>
      <w:r>
        <w:rPr>
          <w:rFonts w:ascii="Arial" w:cs="Arial" w:eastAsia="Arial" w:hAnsi="Arial"/>
          <w:sz w:val="16"/>
          <w:szCs w:val="16"/>
          <w:color w:val="auto"/>
        </w:rPr>
        <w:t>”).</w:t>
      </w:r>
    </w:p>
    <w:p>
      <w:pPr>
        <w:spacing w:after="0" w:line="15" w:lineRule="exact"/>
        <w:rPr>
          <w:rFonts w:ascii="Arial" w:cs="Arial" w:eastAsia="Arial" w:hAnsi="Arial"/>
          <w:sz w:val="16"/>
          <w:szCs w:val="16"/>
          <w:b w:val="1"/>
          <w:bCs w:val="1"/>
          <w:color w:val="auto"/>
        </w:rPr>
      </w:pPr>
    </w:p>
    <w:p>
      <w:pPr>
        <w:ind w:left="180" w:hanging="176"/>
        <w:spacing w:after="0"/>
        <w:tabs>
          <w:tab w:leader="none" w:pos="180" w:val="left"/>
        </w:tabs>
        <w:numPr>
          <w:ilvl w:val="0"/>
          <w:numId w:val="382"/>
        </w:numPr>
        <w:rPr>
          <w:rFonts w:ascii="Arial" w:cs="Arial" w:eastAsia="Arial" w:hAnsi="Arial"/>
          <w:sz w:val="17"/>
          <w:szCs w:val="17"/>
          <w:b w:val="1"/>
          <w:bCs w:val="1"/>
          <w:color w:val="auto"/>
        </w:rPr>
      </w:pPr>
      <w:r>
        <w:rPr>
          <w:rFonts w:ascii="Arial" w:cs="Arial" w:eastAsia="Arial" w:hAnsi="Arial"/>
          <w:sz w:val="17"/>
          <w:szCs w:val="17"/>
          <w:color w:val="auto"/>
        </w:rPr>
        <w:t>Reynolds desires that Pactiv receive, store and handle food packaging and foodservice goods manufactured by Reynolds and its Affiliates (the</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Reynolds Products</w:t>
      </w:r>
      <w:r>
        <w:rPr>
          <w:rFonts w:ascii="Arial" w:cs="Arial" w:eastAsia="Arial" w:hAnsi="Arial"/>
          <w:sz w:val="17"/>
          <w:szCs w:val="17"/>
          <w:color w:val="auto"/>
        </w:rPr>
        <w:t xml:space="preserve">”), and (after mixing them with Pactiv Products purchased by Reynolds under the MSA, if applicable) load them for delivery to Reynolds’ third party customers, or directly to Reynolds; on common carrier trucks or hold them for pick up by Reynolds or its third-party customers on the business campuses in the cities, states and provinces listed in attached </w:t>
      </w:r>
      <w:r>
        <w:rPr>
          <w:rFonts w:ascii="Arial" w:cs="Arial" w:eastAsia="Arial" w:hAnsi="Arial"/>
          <w:sz w:val="17"/>
          <w:szCs w:val="17"/>
          <w:u w:val="single" w:color="auto"/>
          <w:color w:val="auto"/>
        </w:rPr>
        <w:t>Schedule 1-A</w:t>
      </w:r>
      <w:r>
        <w:rPr>
          <w:rFonts w:ascii="Arial" w:cs="Arial" w:eastAsia="Arial" w:hAnsi="Arial"/>
          <w:sz w:val="17"/>
          <w:szCs w:val="17"/>
          <w:color w:val="auto"/>
        </w:rPr>
        <w:t xml:space="preserve"> of this Agreement that are owned or leased by Pactiv or its Affiliates (such campuses are referred to herein as the “</w:t>
      </w:r>
      <w:r>
        <w:rPr>
          <w:rFonts w:ascii="Arial" w:cs="Arial" w:eastAsia="Arial" w:hAnsi="Arial"/>
          <w:sz w:val="17"/>
          <w:szCs w:val="17"/>
          <w:u w:val="single" w:color="auto"/>
          <w:color w:val="auto"/>
        </w:rPr>
        <w:t>Warehouses</w:t>
      </w:r>
      <w:r>
        <w:rPr>
          <w:rFonts w:ascii="Arial" w:cs="Arial" w:eastAsia="Arial" w:hAnsi="Arial"/>
          <w:sz w:val="17"/>
          <w:szCs w:val="17"/>
          <w:color w:val="auto"/>
        </w:rPr>
        <w:t xml:space="preserve">”) and to obtain these storage and related warehouse services from Pactiv as more fully described in the attached </w:t>
      </w:r>
      <w:r>
        <w:rPr>
          <w:rFonts w:ascii="Arial" w:cs="Arial" w:eastAsia="Arial" w:hAnsi="Arial"/>
          <w:sz w:val="17"/>
          <w:szCs w:val="17"/>
          <w:u w:val="single" w:color="auto"/>
          <w:color w:val="auto"/>
        </w:rPr>
        <w:t>Schedule 1-B</w:t>
      </w:r>
      <w:r>
        <w:rPr>
          <w:rFonts w:ascii="Arial" w:cs="Arial" w:eastAsia="Arial" w:hAnsi="Arial"/>
          <w:sz w:val="17"/>
          <w:szCs w:val="17"/>
          <w:color w:val="auto"/>
        </w:rPr>
        <w:t xml:space="preserve"> of this Agreement (the “</w:t>
      </w:r>
      <w:r>
        <w:rPr>
          <w:rFonts w:ascii="Arial" w:cs="Arial" w:eastAsia="Arial" w:hAnsi="Arial"/>
          <w:sz w:val="17"/>
          <w:szCs w:val="17"/>
          <w:u w:val="single" w:color="auto"/>
          <w:color w:val="auto"/>
        </w:rPr>
        <w:t>Warehouse Services</w:t>
      </w:r>
      <w:r>
        <w:rPr>
          <w:rFonts w:ascii="Arial" w:cs="Arial" w:eastAsia="Arial" w:hAnsi="Arial"/>
          <w:sz w:val="17"/>
          <w:szCs w:val="17"/>
          <w:color w:val="auto"/>
        </w:rPr>
        <w:t>”) on the terms and conditions in this Agreement. Pactiv desires to perform such Services for Reynolds on the terms and conditions in this Agreement. By way of clarification, Pactiv Canada, Inc. will perform the Warehouse Services on behalf of Pactiv at the Warehouse located in Bolton, Ontario, Canada.</w:t>
      </w:r>
    </w:p>
    <w:p>
      <w:pPr>
        <w:spacing w:after="0" w:line="73" w:lineRule="exact"/>
        <w:rPr>
          <w:sz w:val="20"/>
          <w:szCs w:val="20"/>
          <w:color w:val="auto"/>
        </w:rPr>
      </w:pPr>
    </w:p>
    <w:p>
      <w:pPr>
        <w:ind w:right="100" w:firstLine="4"/>
        <w:spacing w:after="0" w:line="255" w:lineRule="auto"/>
        <w:tabs>
          <w:tab w:leader="none" w:pos="180" w:val="left"/>
        </w:tabs>
        <w:numPr>
          <w:ilvl w:val="0"/>
          <w:numId w:val="383"/>
        </w:numPr>
        <w:rPr>
          <w:rFonts w:ascii="Arial" w:cs="Arial" w:eastAsia="Arial" w:hAnsi="Arial"/>
          <w:sz w:val="18"/>
          <w:szCs w:val="18"/>
          <w:b w:val="1"/>
          <w:bCs w:val="1"/>
          <w:color w:val="auto"/>
        </w:rPr>
      </w:pPr>
      <w:r>
        <w:rPr>
          <w:rFonts w:ascii="Arial" w:cs="Arial" w:eastAsia="Arial" w:hAnsi="Arial"/>
          <w:sz w:val="18"/>
          <w:szCs w:val="18"/>
          <w:color w:val="auto"/>
        </w:rPr>
        <w:t xml:space="preserve">Reynolds further desires Pactiv to arrange on behalf of Reynolds and its Affiliates for third-party common carriers to pick-up orders of Pactiv Products, Reynolds Products or both from the Warehouses and certain other manufacturing and warehouse facilities of Reynolds and its Affiliates located in the United States, Canada and Mexico and to transport and deliver them to third-party customers of Reynolds all as more fully described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of this Agreement (the “</w:t>
      </w:r>
      <w:r>
        <w:rPr>
          <w:rFonts w:ascii="Arial" w:cs="Arial" w:eastAsia="Arial" w:hAnsi="Arial"/>
          <w:sz w:val="18"/>
          <w:szCs w:val="18"/>
          <w:u w:val="single" w:color="auto"/>
          <w:color w:val="auto"/>
        </w:rPr>
        <w:t>Freight Services</w:t>
      </w:r>
      <w:r>
        <w:rPr>
          <w:rFonts w:ascii="Arial" w:cs="Arial" w:eastAsia="Arial" w:hAnsi="Arial"/>
          <w:sz w:val="18"/>
          <w:szCs w:val="18"/>
          <w:color w:val="auto"/>
        </w:rPr>
        <w:t>”) on the terms and conditions in this Agreement. Pactiv desires to perform the Freight Services for Reynolds on the terms and conditions of this Agreement. The Warehouse Services and the Freight Services will be collectively referred to as the “</w:t>
      </w:r>
      <w:r>
        <w:rPr>
          <w:rFonts w:ascii="Arial" w:cs="Arial" w:eastAsia="Arial" w:hAnsi="Arial"/>
          <w:sz w:val="18"/>
          <w:szCs w:val="18"/>
          <w:u w:val="single" w:color="auto"/>
          <w:color w:val="auto"/>
        </w:rPr>
        <w:t>Services</w:t>
      </w:r>
      <w:r>
        <w:rPr>
          <w:rFonts w:ascii="Arial" w:cs="Arial" w:eastAsia="Arial" w:hAnsi="Arial"/>
          <w:sz w:val="18"/>
          <w:szCs w:val="18"/>
          <w:color w:val="auto"/>
        </w:rPr>
        <w:t>” in this Agreement.</w:t>
      </w:r>
    </w:p>
    <w:p>
      <w:pPr>
        <w:spacing w:after="0" w:line="85" w:lineRule="exact"/>
        <w:rPr>
          <w:rFonts w:ascii="Arial" w:cs="Arial" w:eastAsia="Arial" w:hAnsi="Arial"/>
          <w:sz w:val="18"/>
          <w:szCs w:val="18"/>
          <w:b w:val="1"/>
          <w:bCs w:val="1"/>
          <w:color w:val="auto"/>
        </w:rPr>
      </w:pPr>
    </w:p>
    <w:p>
      <w:pPr>
        <w:ind w:right="60" w:firstLine="4"/>
        <w:spacing w:after="0" w:line="291" w:lineRule="auto"/>
        <w:tabs>
          <w:tab w:leader="none" w:pos="180" w:val="left"/>
        </w:tabs>
        <w:numPr>
          <w:ilvl w:val="0"/>
          <w:numId w:val="383"/>
        </w:numPr>
        <w:rPr>
          <w:rFonts w:ascii="Arial" w:cs="Arial" w:eastAsia="Arial" w:hAnsi="Arial"/>
          <w:sz w:val="16"/>
          <w:szCs w:val="16"/>
          <w:b w:val="1"/>
          <w:bCs w:val="1"/>
          <w:color w:val="auto"/>
        </w:rPr>
      </w:pPr>
      <w:r>
        <w:rPr>
          <w:rFonts w:ascii="Arial" w:cs="Arial" w:eastAsia="Arial" w:hAnsi="Arial"/>
          <w:sz w:val="16"/>
          <w:szCs w:val="16"/>
          <w:color w:val="auto"/>
        </w:rPr>
        <w:t>Pactiv has been providing the Services to Reynolds for a number of years prior to the Effective Date. In connection with Pactiv providing such Services to Reynolds, the Parties have developed and follow certain standard operating procedures (the “</w:t>
      </w:r>
      <w:r>
        <w:rPr>
          <w:rFonts w:ascii="Arial" w:cs="Arial" w:eastAsia="Arial" w:hAnsi="Arial"/>
          <w:sz w:val="16"/>
          <w:szCs w:val="16"/>
          <w:u w:val="single" w:color="auto"/>
          <w:color w:val="auto"/>
        </w:rPr>
        <w:t>SOPs</w:t>
      </w:r>
      <w:r>
        <w:rPr>
          <w:rFonts w:ascii="Arial" w:cs="Arial" w:eastAsia="Arial" w:hAnsi="Arial"/>
          <w:sz w:val="16"/>
          <w:szCs w:val="16"/>
          <w:color w:val="auto"/>
        </w:rPr>
        <w:t>”). The Parties will be updating their respective business systems over the next six months, and, since the updates to these business systems will require the Parties to modify the SOPs, the Parties intend to negotiate and agree in writing to a document containing the updated SOPs. Until the business systems have been updated and the updated SOPs have been agreed upon, the current SOPs will apply. The SOPs supplement and may amend the provisions in this Agreement and the MSA. In the event of any conflict or inconsistency between this Agreement and the SOPs, the SOPs will govern and control but only with respect to the provision in the SOPs that specifically apply to the performance or delivery of the Services under this Agreement.</w:t>
      </w:r>
    </w:p>
    <w:p>
      <w:pPr>
        <w:spacing w:after="0" w:line="59" w:lineRule="exact"/>
        <w:rPr>
          <w:rFonts w:ascii="Arial" w:cs="Arial" w:eastAsia="Arial" w:hAnsi="Arial"/>
          <w:sz w:val="16"/>
          <w:szCs w:val="16"/>
          <w:b w:val="1"/>
          <w:bCs w:val="1"/>
          <w:color w:val="auto"/>
        </w:rPr>
      </w:pPr>
    </w:p>
    <w:p>
      <w:pPr>
        <w:ind w:right="60" w:firstLine="4"/>
        <w:spacing w:after="0" w:line="297" w:lineRule="auto"/>
        <w:tabs>
          <w:tab w:leader="none" w:pos="180" w:val="left"/>
        </w:tabs>
        <w:numPr>
          <w:ilvl w:val="0"/>
          <w:numId w:val="383"/>
        </w:numPr>
        <w:rPr>
          <w:rFonts w:ascii="Arial" w:cs="Arial" w:eastAsia="Arial" w:hAnsi="Arial"/>
          <w:sz w:val="16"/>
          <w:szCs w:val="16"/>
          <w:b w:val="1"/>
          <w:bCs w:val="1"/>
          <w:color w:val="auto"/>
        </w:rPr>
      </w:pPr>
      <w:r>
        <w:rPr>
          <w:rFonts w:ascii="Arial" w:cs="Arial" w:eastAsia="Arial" w:hAnsi="Arial"/>
          <w:sz w:val="16"/>
          <w:szCs w:val="16"/>
          <w:color w:val="auto"/>
        </w:rPr>
        <w:t>It is the intention of the Parties to continue operate in substantially the same manner with respect to the practices, procedures, volumes and cost allocations used by the Parties prior to the Effective Date in Pactiv’s providing and Reynolds’ purchasing and using the Services. Therefore, the phrase “commercially reasonable” when used herein means in accordance with the methodology or practices that the Parties used with respect to such action or issue, substantially the same volume with respect to the amount of Services, the same turnaround time with respect to orders and acceptances, or the same protocol for communication that was used by the Parties during the trailing twelve (12) month period immediately prior to the Effective Date.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 of 17</w:t>
      </w:r>
    </w:p>
    <w:p>
      <w:pPr>
        <w:sectPr>
          <w:pgSz w:w="11900" w:h="16838" w:orient="portrait"/>
          <w:cols w:equalWidth="0" w:num="1">
            <w:col w:w="11020"/>
          </w:cols>
          <w:pgMar w:left="440" w:top="121" w:right="439" w:bottom="1440" w:gutter="0" w:footer="0" w:header="0"/>
        </w:sectPr>
      </w:pPr>
    </w:p>
    <w:bookmarkStart w:id="458" w:name="page459"/>
    <w:bookmarkEnd w:id="458"/>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Term and Warehouse and Freight Service Periods</w:t>
      </w:r>
    </w:p>
    <w:p>
      <w:pPr>
        <w:spacing w:after="0" w:line="256" w:lineRule="exact"/>
        <w:rPr>
          <w:sz w:val="20"/>
          <w:szCs w:val="20"/>
          <w:color w:val="auto"/>
        </w:rPr>
      </w:pPr>
    </w:p>
    <w:p>
      <w:pPr>
        <w:ind w:left="436" w:right="40" w:hanging="436"/>
        <w:spacing w:after="0" w:line="285" w:lineRule="auto"/>
        <w:tabs>
          <w:tab w:leader="none" w:pos="436"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Term</w:t>
      </w:r>
      <w:r>
        <w:rPr>
          <w:rFonts w:ascii="Arial" w:cs="Arial" w:eastAsia="Arial" w:hAnsi="Arial"/>
          <w:sz w:val="16"/>
          <w:szCs w:val="16"/>
          <w:color w:val="auto"/>
        </w:rPr>
        <w:t>” of this Agreement will commence on the Effective Date and will end on the earlier of: (i) May 31, 2024 (the “Termination Date”); (ii) a termination date elected by a Party in a written notice delivered to the other Party in the event Pactiv has ceased performing Warehouse and Freight Services for Reynolds at all Pactiv and Reynolds facilities prior to the Termination Date; or (iii) an earlier termination date that occurs in accordance with the Dispute Resolution Section of this Agreement. The rights and obligations of the Parties under this Agreement will survive the expiration or earlier termination of this Agreement with respect to any: (1) Reynolds Products being stored in a Warehouse at the end of the Term;</w:t>
      </w:r>
    </w:p>
    <w:p>
      <w:pPr>
        <w:spacing w:after="0" w:line="2" w:lineRule="exact"/>
        <w:rPr>
          <w:rFonts w:ascii="Arial" w:cs="Arial" w:eastAsia="Arial" w:hAnsi="Arial"/>
          <w:sz w:val="16"/>
          <w:szCs w:val="16"/>
          <w:b w:val="1"/>
          <w:bCs w:val="1"/>
          <w:color w:val="auto"/>
        </w:rPr>
      </w:pPr>
    </w:p>
    <w:p>
      <w:pPr>
        <w:ind w:left="436" w:right="20" w:hanging="4"/>
        <w:spacing w:after="0" w:line="281" w:lineRule="auto"/>
        <w:tabs>
          <w:tab w:leader="none" w:pos="691" w:val="left"/>
        </w:tabs>
        <w:numPr>
          <w:ilvl w:val="1"/>
          <w:numId w:val="384"/>
        </w:numPr>
        <w:rPr>
          <w:rFonts w:ascii="Arial" w:cs="Arial" w:eastAsia="Arial" w:hAnsi="Arial"/>
          <w:sz w:val="16"/>
          <w:szCs w:val="16"/>
          <w:color w:val="auto"/>
        </w:rPr>
      </w:pPr>
      <w:r>
        <w:rPr>
          <w:rFonts w:ascii="Arial" w:cs="Arial" w:eastAsia="Arial" w:hAnsi="Arial"/>
          <w:sz w:val="16"/>
          <w:szCs w:val="16"/>
          <w:color w:val="auto"/>
        </w:rPr>
        <w:t>Confidential Information (as defined later in this Agreement) disclosed or received by a Party during the Term; (3) consequences of a breach of this Agreement by a Party; (4) any other statement, decision, act or omission of a Party during the Term concerning or related to this Agreement;</w:t>
      </w:r>
    </w:p>
    <w:p>
      <w:pPr>
        <w:spacing w:after="0" w:line="1" w:lineRule="exact"/>
        <w:rPr>
          <w:rFonts w:ascii="Arial" w:cs="Arial" w:eastAsia="Arial" w:hAnsi="Arial"/>
          <w:sz w:val="16"/>
          <w:szCs w:val="16"/>
          <w:color w:val="auto"/>
        </w:rPr>
      </w:pPr>
    </w:p>
    <w:p>
      <w:pPr>
        <w:ind w:left="436" w:right="40" w:hanging="4"/>
        <w:spacing w:after="0" w:line="255" w:lineRule="auto"/>
        <w:tabs>
          <w:tab w:leader="none" w:pos="69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reconciliation of any third-party carrier freight charges that were not available for billing prior to the end of the Term; (6) any Dispute (as defined later in this Agreement) between the Parties concerning or related to this Agreement; and (7) any provision that expressly states that it will survive the expiration or earlier termination of this Agreement.</w:t>
      </w:r>
    </w:p>
    <w:p>
      <w:pPr>
        <w:spacing w:after="0" w:line="95" w:lineRule="exact"/>
        <w:rPr>
          <w:rFonts w:ascii="Arial" w:cs="Arial" w:eastAsia="Arial" w:hAnsi="Arial"/>
          <w:sz w:val="18"/>
          <w:szCs w:val="18"/>
          <w:color w:val="auto"/>
        </w:rPr>
      </w:pPr>
    </w:p>
    <w:p>
      <w:pPr>
        <w:ind w:left="436" w:right="160" w:hanging="436"/>
        <w:spacing w:after="0" w:line="257" w:lineRule="auto"/>
        <w:tabs>
          <w:tab w:leader="none" w:pos="436"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 xml:space="preserve">Pactiv will only be required to store Reynolds Products in a Warehouse and perform the other Warehouse Services at each Warehouse from the Effective Date through the Service Expiration Date of the Warehouse listed in </w:t>
      </w:r>
      <w:r>
        <w:rPr>
          <w:rFonts w:ascii="Arial" w:cs="Arial" w:eastAsia="Arial" w:hAnsi="Arial"/>
          <w:sz w:val="18"/>
          <w:szCs w:val="18"/>
          <w:u w:val="single" w:color="auto"/>
          <w:color w:val="auto"/>
        </w:rPr>
        <w:t>Schedule 1-A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Warehouse Service Period</w:t>
      </w:r>
      <w:r>
        <w:rPr>
          <w:rFonts w:ascii="Arial" w:cs="Arial" w:eastAsia="Arial" w:hAnsi="Arial"/>
          <w:sz w:val="18"/>
          <w:szCs w:val="18"/>
          <w:color w:val="auto"/>
        </w:rPr>
        <w:t>”). Reynolds must remove all Reynolds Products in a Warehouse on or before its Service Expiration Date or any earlier termination of services at any Warehouse in accordance with other provisions of this Agreement. A Warehouse will be deemed excluded from the scope of this Agreement after its Service Expiration Date.</w:t>
      </w:r>
    </w:p>
    <w:p>
      <w:pPr>
        <w:spacing w:after="0" w:line="93" w:lineRule="exact"/>
        <w:rPr>
          <w:rFonts w:ascii="Arial" w:cs="Arial" w:eastAsia="Arial" w:hAnsi="Arial"/>
          <w:sz w:val="18"/>
          <w:szCs w:val="18"/>
          <w:b w:val="1"/>
          <w:bCs w:val="1"/>
          <w:color w:val="auto"/>
        </w:rPr>
      </w:pPr>
    </w:p>
    <w:p>
      <w:pPr>
        <w:ind w:left="436" w:hanging="436"/>
        <w:spacing w:after="0" w:line="267" w:lineRule="auto"/>
        <w:tabs>
          <w:tab w:leader="none" w:pos="436" w:val="left"/>
        </w:tabs>
        <w:numPr>
          <w:ilvl w:val="0"/>
          <w:numId w:val="386"/>
        </w:numPr>
        <w:rPr>
          <w:rFonts w:ascii="Arial" w:cs="Arial" w:eastAsia="Arial" w:hAnsi="Arial"/>
          <w:sz w:val="17"/>
          <w:szCs w:val="17"/>
          <w:b w:val="1"/>
          <w:bCs w:val="1"/>
          <w:color w:val="auto"/>
        </w:rPr>
      </w:pPr>
      <w:r>
        <w:rPr>
          <w:rFonts w:ascii="Arial" w:cs="Arial" w:eastAsia="Arial" w:hAnsi="Arial"/>
          <w:sz w:val="17"/>
          <w:szCs w:val="17"/>
          <w:color w:val="auto"/>
        </w:rPr>
        <w:t>Reynolds is not obligated to store any quantity of Reynolds Products in a Warehouse under this Agreement. The Parties acknowledge and agree that Reynolds will be executing a regional exit strategy from the Warehouses which will include exiting certain Warehouses prior to the scheduled Service Expiration Dates, and Pactiv will cooperate with Reynolds in executing the strategy to the extent that Pactiv has reasonable advance notice of Reynolds desired exit plan. Therefore, if Reynolds at any time wishes to terminate its right to use Pactiv’s Services at any Warehouse under this Agreement prior to the applicable Warehouse Service Expiration Date, Reynolds may request such early termination to Pactiv in writing identifying a new proposed service expiration date (the “</w:t>
      </w:r>
      <w:r>
        <w:rPr>
          <w:rFonts w:ascii="Arial" w:cs="Arial" w:eastAsia="Arial" w:hAnsi="Arial"/>
          <w:sz w:val="17"/>
          <w:szCs w:val="17"/>
          <w:u w:val="single" w:color="auto"/>
          <w:color w:val="auto"/>
        </w:rPr>
        <w:t>Early Service Expiration Date</w:t>
      </w:r>
      <w:r>
        <w:rPr>
          <w:rFonts w:ascii="Arial" w:cs="Arial" w:eastAsia="Arial" w:hAnsi="Arial"/>
          <w:sz w:val="17"/>
          <w:szCs w:val="17"/>
          <w:color w:val="auto"/>
        </w:rPr>
        <w:t xml:space="preserve">”) on not less than one hundred and eighty (180) days advance written notice. Unless there are extenuating circumstances that would impair Pactiv’s ability to release Reynolds from the applicable Warehouse on the proposed Early Service Expiration Date, including, without limitation, that Pactiv has no use for the Base Storage Capacity and does not wish to have to solely absorb the cost for such space, Pactiv will promptly consent to the Early Service Expiration Date proposed by Reynolds. If Pactiv reasonably believes there are extenuating circumstances that would impair Pactiv’s ability to release Reynolds from the applicable Warehouse on the proposed Early Service Expiration Date, Pactiv will promptly respond to Reynolds’ request for an Early Service Expiration Date in writing with an explanation of the extenuating circumstances and the Parties will cooperate in seeking a solution to the extenuating circumstances and try to identify a new Early Service Termination Date that is acceptable to both Parties. On or before the agreed Early Service Termination Date, Reynolds must remove all Reynolds Products from the applicable Warehouse and, from and after any Early Service Termination Date, Pactiv will be released of any obligation under this Agreement to perform any Services for Reynolds at the identified Warehouse and Reynolds will be released from its obligation to pay the Base Storage Fee (as defined in </w:t>
      </w:r>
      <w:r>
        <w:rPr>
          <w:rFonts w:ascii="Arial" w:cs="Arial" w:eastAsia="Arial" w:hAnsi="Arial"/>
          <w:sz w:val="17"/>
          <w:szCs w:val="17"/>
          <w:u w:val="single" w:color="auto"/>
          <w:color w:val="auto"/>
        </w:rPr>
        <w:t>Section II.1.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1-A</w:t>
      </w:r>
      <w:r>
        <w:rPr>
          <w:rFonts w:ascii="Arial" w:cs="Arial" w:eastAsia="Arial" w:hAnsi="Arial"/>
          <w:sz w:val="17"/>
          <w:szCs w:val="17"/>
          <w:color w:val="auto"/>
        </w:rPr>
        <w:t xml:space="preserve"> of this Agreement) for the Warehouse under this Agreement.</w:t>
      </w:r>
    </w:p>
    <w:p>
      <w:pPr>
        <w:spacing w:after="0" w:line="98" w:lineRule="exact"/>
        <w:rPr>
          <w:rFonts w:ascii="Arial" w:cs="Arial" w:eastAsia="Arial" w:hAnsi="Arial"/>
          <w:sz w:val="17"/>
          <w:szCs w:val="17"/>
          <w:b w:val="1"/>
          <w:bCs w:val="1"/>
          <w:color w:val="auto"/>
        </w:rPr>
      </w:pPr>
    </w:p>
    <w:p>
      <w:pPr>
        <w:ind w:left="436" w:right="320" w:hanging="436"/>
        <w:spacing w:after="0" w:line="259" w:lineRule="auto"/>
        <w:tabs>
          <w:tab w:leader="none" w:pos="436"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Reynolds is not obligated under this Agreement to purchase any Freight Services from Pactiv; provided, however, that all outbound shipments from the Warehouses during the Term will be arranged by Pactiv and will be provided to Reynolds as part of the Freight Services. Unless the Parties otherwise agree in a signed writing, Reynolds will not be able to order nor will Pactiv be obligated to provide Freight Services after the Termination Date.</w:t>
      </w:r>
    </w:p>
    <w:p>
      <w:pPr>
        <w:spacing w:after="0" w:line="11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2 of 17</w:t>
      </w:r>
    </w:p>
    <w:p>
      <w:pPr>
        <w:sectPr>
          <w:pgSz w:w="11900" w:h="16838" w:orient="portrait"/>
          <w:cols w:equalWidth="0" w:num="1">
            <w:col w:w="11016"/>
          </w:cols>
          <w:pgMar w:left="444" w:top="270" w:right="439" w:bottom="1440" w:gutter="0" w:footer="0" w:header="0"/>
        </w:sectPr>
      </w:pPr>
    </w:p>
    <w:bookmarkStart w:id="459" w:name="page460"/>
    <w:bookmarkEnd w:id="459"/>
    <w:p>
      <w:pPr>
        <w:ind w:left="440" w:hanging="436"/>
        <w:spacing w:after="0" w:line="268" w:lineRule="auto"/>
        <w:tabs>
          <w:tab w:leader="none" w:pos="440" w:val="left"/>
        </w:tabs>
        <w:numPr>
          <w:ilvl w:val="0"/>
          <w:numId w:val="38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the contrary in this Agreement, nothing in this Agreement will require Pactiv to operate its warehousing and transportation functions in a materially different manner than it did in the trailing twelve (12) month period prior to the Effective Date. To the extent that Reynolds anticipates any significant change in its sales or supply chain operations (“</w:t>
      </w:r>
      <w:r>
        <w:rPr>
          <w:rFonts w:ascii="Arial" w:cs="Arial" w:eastAsia="Arial" w:hAnsi="Arial"/>
          <w:sz w:val="17"/>
          <w:szCs w:val="17"/>
          <w:u w:val="single" w:color="auto"/>
          <w:color w:val="auto"/>
        </w:rPr>
        <w:t>Operations Change</w:t>
      </w:r>
      <w:r>
        <w:rPr>
          <w:rFonts w:ascii="Arial" w:cs="Arial" w:eastAsia="Arial" w:hAnsi="Arial"/>
          <w:sz w:val="17"/>
          <w:szCs w:val="17"/>
          <w:color w:val="auto"/>
        </w:rPr>
        <w:t>”), such as (i) commencing sales of a materially different new Reynolds Product that will require different handling procedures, (ii) adding new manufacturing or sourcing locations for production of Reynolds Products to be shipped to the Warehouses or transported using the Freight Services, or (iii) commencing sales to a new customer that has different or unique requirements that will cause a material change in the order fulfillment process or timeframes; then, Reynolds will provide Pactiv as much prior notice of such Operations Change as possible but in no case less than thirty (30) days prior notice. Upon notification of an Operations Change, Pactiv will have not less than ten (10) days to assess whether the Operations Change is likely to cause a material change in its performance of the Warehousing and/or Freight Services hereunder and will have an impact on Pactiv’s ability to provide the Warehousing and/or Freight Services to Reynolds (“</w:t>
      </w:r>
      <w:r>
        <w:rPr>
          <w:rFonts w:ascii="Arial" w:cs="Arial" w:eastAsia="Arial" w:hAnsi="Arial"/>
          <w:sz w:val="17"/>
          <w:szCs w:val="17"/>
          <w:u w:val="single" w:color="auto"/>
          <w:color w:val="auto"/>
        </w:rPr>
        <w:t>Material Impact</w:t>
      </w:r>
      <w:r>
        <w:rPr>
          <w:rFonts w:ascii="Arial" w:cs="Arial" w:eastAsia="Arial" w:hAnsi="Arial"/>
          <w:sz w:val="17"/>
          <w:szCs w:val="17"/>
          <w:color w:val="auto"/>
        </w:rPr>
        <w:t>”). If Pactiv determines that there will be a Material Impact, it will notify Reynolds and the Parties will meet to adjust the Services, pricing or any related matter under this Agreement in a fair and equitable manner given the Operations Change; provided, however, that Pactiv will not be penalized or absorb any additional liabilities, costs or expenses due any Operations Change of Reynolds and an Operations Change will not be implemented unless and until the Parties reach a mutually acceptable signed written agreement on the Operations 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II. Warehouse Services</w:t>
      </w:r>
    </w:p>
    <w:p>
      <w:pPr>
        <w:spacing w:after="0" w:line="229" w:lineRule="exact"/>
        <w:rPr>
          <w:sz w:val="20"/>
          <w:szCs w:val="20"/>
          <w:color w:val="auto"/>
        </w:rPr>
      </w:pPr>
    </w:p>
    <w:p>
      <w:pPr>
        <w:jc w:val="both"/>
        <w:ind w:left="440" w:right="120"/>
        <w:spacing w:after="0" w:line="288" w:lineRule="auto"/>
        <w:rPr>
          <w:sz w:val="20"/>
          <w:szCs w:val="20"/>
          <w:color w:val="auto"/>
        </w:rPr>
      </w:pPr>
      <w:r>
        <w:rPr>
          <w:rFonts w:ascii="Arial" w:cs="Arial" w:eastAsia="Arial" w:hAnsi="Arial"/>
          <w:sz w:val="16"/>
          <w:szCs w:val="16"/>
          <w:color w:val="auto"/>
        </w:rPr>
        <w:t xml:space="preserve">Pactiv will provide Reynolds with the Warehouse Services at the Warehouses listed on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The amount of Warehouse storage in cubic feet available to Reynolds at each Warehouse on the terms and conditions of this Agreement and the Service Expiration Date for each Warehouse are listed on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The terms and conditions of providing, using and paying for the Warehouse Services are set forth in </w:t>
      </w:r>
      <w:r>
        <w:rPr>
          <w:rFonts w:ascii="Arial" w:cs="Arial" w:eastAsia="Arial" w:hAnsi="Arial"/>
          <w:sz w:val="16"/>
          <w:szCs w:val="16"/>
          <w:u w:val="single" w:color="auto"/>
          <w:color w:val="auto"/>
        </w:rPr>
        <w:t>Schedule 1-B</w:t>
      </w:r>
      <w:r>
        <w:rPr>
          <w:rFonts w:ascii="Arial" w:cs="Arial" w:eastAsia="Arial" w:hAnsi="Arial"/>
          <w:sz w:val="16"/>
          <w:szCs w:val="16"/>
          <w:color w:val="auto"/>
        </w:rPr>
        <w:t>.</w:t>
      </w:r>
    </w:p>
    <w:p>
      <w:pPr>
        <w:ind w:left="440" w:right="20"/>
        <w:spacing w:after="0" w:line="270" w:lineRule="auto"/>
        <w:rPr>
          <w:sz w:val="20"/>
          <w:szCs w:val="20"/>
          <w:color w:val="auto"/>
        </w:rPr>
      </w:pPr>
      <w:r>
        <w:rPr>
          <w:rFonts w:ascii="Arial" w:cs="Arial" w:eastAsia="Arial" w:hAnsi="Arial"/>
          <w:sz w:val="17"/>
          <w:szCs w:val="17"/>
          <w:color w:val="auto"/>
        </w:rPr>
        <w:t>Notwithstanding anything in this Agreement to the contrary, Pactiv may, but will not be required to, perform Services at a Warehouse that would require, involve or result in Pactiv having to perform Services at a Warehouse or otherwise operate its business in a materially different manner than how Pactiv performed Services at the Warehouses for Reynolds, and Pactiv operated its business, during the trailing twelve (12) month period immediately preceding the Effective Date. By way of example, Pactiv will not be required to perform Services at a Warehouse or otherwise operate its business in compliance with a new standard or other requirement adopted by Reynolds or any of its customers unless Pactiv has expressly agreed to do so in the SOPs or in a signed written amendment to this Agreement</w:t>
      </w:r>
    </w:p>
    <w:p>
      <w:pPr>
        <w:spacing w:after="0" w:line="80" w:lineRule="exact"/>
        <w:rPr>
          <w:sz w:val="20"/>
          <w:szCs w:val="20"/>
          <w:color w:val="auto"/>
        </w:rPr>
      </w:pPr>
    </w:p>
    <w:p>
      <w:pPr>
        <w:ind w:left="440" w:right="160" w:hanging="436"/>
        <w:spacing w:after="0" w:line="270" w:lineRule="auto"/>
        <w:tabs>
          <w:tab w:leader="none" w:pos="440"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Pricing, Invoice and Payment Terms</w:t>
      </w:r>
      <w:r>
        <w:rPr>
          <w:rFonts w:ascii="Arial" w:cs="Arial" w:eastAsia="Arial" w:hAnsi="Arial"/>
          <w:sz w:val="17"/>
          <w:szCs w:val="17"/>
          <w:color w:val="auto"/>
        </w:rPr>
        <w:t>. During the Term, Reynolds will pay Pactiv fees for each Warehouse that is included in the Agreement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1-A</w:t>
      </w:r>
      <w:r>
        <w:rPr>
          <w:rFonts w:ascii="Arial" w:cs="Arial" w:eastAsia="Arial" w:hAnsi="Arial"/>
          <w:sz w:val="17"/>
          <w:szCs w:val="17"/>
          <w:color w:val="auto"/>
        </w:rPr>
        <w:t>. The “</w:t>
      </w:r>
      <w:r>
        <w:rPr>
          <w:rFonts w:ascii="Arial" w:cs="Arial" w:eastAsia="Arial" w:hAnsi="Arial"/>
          <w:sz w:val="17"/>
          <w:szCs w:val="17"/>
          <w:u w:val="single" w:color="auto"/>
          <w:color w:val="auto"/>
        </w:rPr>
        <w:t>Base Storage Fee</w:t>
      </w:r>
      <w:r>
        <w:rPr>
          <w:rFonts w:ascii="Arial" w:cs="Arial" w:eastAsia="Arial" w:hAnsi="Arial"/>
          <w:sz w:val="17"/>
          <w:szCs w:val="17"/>
          <w:color w:val="auto"/>
        </w:rPr>
        <w:t>,” which is the fee for the fixed cubic feet of warehouse space made available by Pactiv to Reynolds for each Warehouse under this Agreement, and “</w:t>
      </w:r>
      <w:r>
        <w:rPr>
          <w:rFonts w:ascii="Arial" w:cs="Arial" w:eastAsia="Arial" w:hAnsi="Arial"/>
          <w:sz w:val="17"/>
          <w:szCs w:val="17"/>
          <w:u w:val="single" w:color="auto"/>
          <w:color w:val="auto"/>
        </w:rPr>
        <w:t>Additional Storage Fee</w:t>
      </w:r>
      <w:r>
        <w:rPr>
          <w:rFonts w:ascii="Arial" w:cs="Arial" w:eastAsia="Arial" w:hAnsi="Arial"/>
          <w:sz w:val="17"/>
          <w:szCs w:val="17"/>
          <w:color w:val="auto"/>
        </w:rPr>
        <w:t>,” which is the fee per cubic foot of space above the Base Storage Space that Reynolds may access at the Warehouses on the terms and conditions in this Agreement, will increase by one and one-half percent (1.5%) on January 1</w:t>
      </w:r>
      <w:r>
        <w:rPr>
          <w:rFonts w:ascii="Arial" w:cs="Arial" w:eastAsia="Arial" w:hAnsi="Arial"/>
          <w:sz w:val="14"/>
          <w:szCs w:val="14"/>
          <w:color w:val="auto"/>
        </w:rPr>
        <w:t>st</w:t>
      </w:r>
      <w:r>
        <w:rPr>
          <w:rFonts w:ascii="Arial" w:cs="Arial" w:eastAsia="Arial" w:hAnsi="Arial"/>
          <w:sz w:val="17"/>
          <w:szCs w:val="17"/>
          <w:color w:val="auto"/>
        </w:rPr>
        <w:t xml:space="preserve"> of each calendar year of the Term starting on January 1, 2021. Reynolds will pay Pactiv the Base Storage Fee of a Warehouse on or before the first day of each calendar month during its Warehouse Service Period without notice by Pactiv and regardless of the quantity of Reynolds Products actually stored in a Warehouse. If Pactiv has used Additional Storage Capacity of a Warehouse to store Reynolds Products in a calendar month of its Warehouse Service Period, Pactiv will invoice Reynolds for the amount and duration of Additional Storage Capacity used to store Reynolds Products in the calendar month. Reynolds will pay Pactiv the amount owed for the Additional Storage Capacity used to store Reynolds Products in a calendar month within thirty (30) days of invoice. Further details on pricing, invoicing and payment terms may be provided in the SOPs.</w:t>
      </w:r>
    </w:p>
    <w:p>
      <w:pPr>
        <w:spacing w:after="0" w:line="79" w:lineRule="exact"/>
        <w:rPr>
          <w:sz w:val="20"/>
          <w:szCs w:val="20"/>
          <w:color w:val="auto"/>
        </w:rPr>
      </w:pPr>
    </w:p>
    <w:p>
      <w:pPr>
        <w:ind w:left="440" w:right="120" w:hanging="436"/>
        <w:spacing w:after="0" w:line="281" w:lineRule="auto"/>
        <w:tabs>
          <w:tab w:leader="none" w:pos="440" w:val="left"/>
        </w:tabs>
        <w:numPr>
          <w:ilvl w:val="0"/>
          <w:numId w:val="3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and Risk of Loss</w:t>
      </w:r>
      <w:r>
        <w:rPr>
          <w:rFonts w:ascii="Arial" w:cs="Arial" w:eastAsia="Arial" w:hAnsi="Arial"/>
          <w:sz w:val="17"/>
          <w:szCs w:val="17"/>
          <w:b w:val="1"/>
          <w:bCs w:val="1"/>
          <w:color w:val="auto"/>
        </w:rPr>
        <w:t xml:space="preserve">. </w:t>
      </w:r>
      <w:r>
        <w:rPr>
          <w:rFonts w:ascii="Arial" w:cs="Arial" w:eastAsia="Arial" w:hAnsi="Arial"/>
          <w:sz w:val="17"/>
          <w:szCs w:val="17"/>
          <w:color w:val="auto"/>
        </w:rPr>
        <w:t>Title to, and risk of loss of, all Reynolds Products delivered to and accepted by Pactiv at a Warehouse will be and remain</w:t>
      </w:r>
      <w:r>
        <w:rPr>
          <w:rFonts w:ascii="Arial" w:cs="Arial" w:eastAsia="Arial" w:hAnsi="Arial"/>
          <w:sz w:val="17"/>
          <w:szCs w:val="17"/>
          <w:b w:val="1"/>
          <w:bCs w:val="1"/>
          <w:color w:val="auto"/>
        </w:rPr>
        <w:t xml:space="preserve"> </w:t>
      </w:r>
      <w:r>
        <w:rPr>
          <w:rFonts w:ascii="Arial" w:cs="Arial" w:eastAsia="Arial" w:hAnsi="Arial"/>
          <w:sz w:val="17"/>
          <w:szCs w:val="17"/>
          <w:color w:val="auto"/>
        </w:rPr>
        <w:t>with Reynolds at all times. Notwithstanding the foregoing, Pactiv will be liable to Reynolds for any damage to or loss of Reynolds Goods caused by the breach, negligence or intentional misconduct of Pactiv or its employees, agents or suppliers except for Excluded Loss and Damage. The phrase “</w:t>
      </w:r>
      <w:r>
        <w:rPr>
          <w:rFonts w:ascii="Arial" w:cs="Arial" w:eastAsia="Arial" w:hAnsi="Arial"/>
          <w:sz w:val="17"/>
          <w:szCs w:val="17"/>
          <w:u w:val="single" w:color="auto"/>
          <w:color w:val="auto"/>
        </w:rPr>
        <w:t>Excluded Loss or Damage</w:t>
      </w:r>
      <w:r>
        <w:rPr>
          <w:rFonts w:ascii="Arial" w:cs="Arial" w:eastAsia="Arial" w:hAnsi="Arial"/>
          <w:sz w:val="17"/>
          <w:szCs w:val="17"/>
          <w:color w:val="auto"/>
        </w:rPr>
        <w:t>” means loss or damage of Reynolds Products occurring in the Warehouses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3 of 17</w:t>
      </w:r>
    </w:p>
    <w:p>
      <w:pPr>
        <w:sectPr>
          <w:pgSz w:w="11900" w:h="16838" w:orient="portrait"/>
          <w:cols w:equalWidth="0" w:num="1">
            <w:col w:w="11020"/>
          </w:cols>
          <w:pgMar w:left="440" w:top="274" w:right="439" w:bottom="1440" w:gutter="0" w:footer="0" w:header="0"/>
        </w:sectPr>
      </w:pPr>
    </w:p>
    <w:bookmarkStart w:id="460" w:name="page461"/>
    <w:bookmarkEnd w:id="460"/>
    <w:p>
      <w:pPr>
        <w:ind w:left="436"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otherwise while in the custody of Pactiv: (a) required to be covered by the insurance of Reynolds under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or actually covered by the insurance of Reynolds, or (b) in a calendar year of the Term, an amount of Reynolds Products that represents less than three-tenths of one percent (0.30%) of the total quantity of cases of Reynolds Products stored in the Warehouses in the calendar year.</w:t>
      </w:r>
    </w:p>
    <w:p>
      <w:pPr>
        <w:spacing w:after="0" w:line="67" w:lineRule="exact"/>
        <w:rPr>
          <w:sz w:val="20"/>
          <w:szCs w:val="20"/>
          <w:color w:val="auto"/>
        </w:rPr>
      </w:pPr>
    </w:p>
    <w:p>
      <w:pPr>
        <w:ind w:left="436" w:hanging="436"/>
        <w:spacing w:after="0" w:line="284" w:lineRule="auto"/>
        <w:tabs>
          <w:tab w:leader="none" w:pos="436" w:val="left"/>
        </w:tabs>
        <w:numPr>
          <w:ilvl w:val="0"/>
          <w:numId w:val="3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Protection of Reynolds’ Ownership of the Reynolds Products</w:t>
      </w:r>
      <w:r>
        <w:rPr>
          <w:rFonts w:ascii="Arial" w:cs="Arial" w:eastAsia="Arial" w:hAnsi="Arial"/>
          <w:sz w:val="16"/>
          <w:szCs w:val="16"/>
          <w:color w:val="auto"/>
        </w:rPr>
        <w:t>. Pactiv will identify Reynolds Products received, stored and delivered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Warehouses as being owned by Reynolds in Pactiv’s records. Reynolds may file a UCC-1 financing statement or other public or private notices required or permitted under Applicable Laws to inform third-parties of the ownership interest of Reynolds in Reynolds Products received, stored and delivered at the Warehouses and to otherwise protect such ownership interest. For the purposes of this Agreement, “</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laws of the United States of America, its states and territories, their respective districts, municipalities and other political subdivisions, and the branches, departments, administrative agencies, commissions, courts and other tribunals of the foregoing. For Reynolds Products received, stored and delivered at the Warehouse in Bolton, Ontario, the phrase “Applicable Laws” will also mean the laws of the Canada, its provinces and territories, their respective districts, municipalities and other political subdivisions, and the branches, departments, administrative agencies, commissions, courts and other tribunals of the foregoing. Reynolds will promptly provide Pactiv with copies of any financing statements or other public or private notices filed or sent by Reynolds to protect its ownership interest in Reynolds Products stored in a Warehouse. After all Reynolds Products have been removed from a Warehouse and the Warehouse Services Period of a Warehouse has ended or the Warehouse has otherwise been excluded from this Agreement, Reynolds will promptly cancel any financing statement and other public or private notice previously filed or sent by Reynolds to protect its ownership interest in Reynolds Products stored in a Warehouses. Pactiv will cooperate in good faith with the lawful actions of Reynolds to protect its ownership rights in Reynolds Products received, stored and delivered at the Warehouses, but Pactiv will not have to incur any expense, risk or liability in extending its cooperation unless the action is required as a result of a breach of this Agreement by Pactiv. Pactiv will not: (a) permit, or cause to be created, any interest, pledge, mortgage, encumbrance or other lien or restriction of any kind or nature arising by, through or under Pactiv in Reynolds Products received, stored or delivered at the Warehouse; (b) permit the removal of Reynolds Products from the Warehouse other than as expressly authorized by Reynolds under this Agreement or as required by an order of a court or other governmental entity that Pactiv believes in good faith has been issued in accordance with Applicable Laws; (c) knowingly and intentionally do anything to impair the value of any of Reynolds Products received, stored or delivered at the Warehouse or ownership interest of Reynolds in such goods; or (d) endeavor in good faith to avoid commingling Reynolds Products and Pactiv Products except in connection with filling an outbound delivery. Pactiv irrevocably waives any right it may now have or which it may acquire to claim or file any liens against Reynolds Products while in Pactiv’s possession at a Warehouse. Pactiv agrees to furnish Reynolds promptly with written notice of the seizure by any third party, under Applicable Laws or otherwise, of any of Reynolds Products stored at any Warehouse.</w:t>
      </w:r>
    </w:p>
    <w:p>
      <w:pPr>
        <w:spacing w:after="0" w:line="82" w:lineRule="exact"/>
        <w:rPr>
          <w:rFonts w:ascii="Arial" w:cs="Arial" w:eastAsia="Arial" w:hAnsi="Arial"/>
          <w:sz w:val="16"/>
          <w:szCs w:val="16"/>
          <w:b w:val="1"/>
          <w:bCs w:val="1"/>
          <w:color w:val="auto"/>
        </w:rPr>
      </w:pPr>
    </w:p>
    <w:p>
      <w:pPr>
        <w:ind w:left="436" w:right="120" w:hanging="436"/>
        <w:spacing w:after="0" w:line="293" w:lineRule="auto"/>
        <w:tabs>
          <w:tab w:leader="none" w:pos="436" w:val="left"/>
        </w:tabs>
        <w:numPr>
          <w:ilvl w:val="0"/>
          <w:numId w:val="3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Warehouse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Pactiv will create and keep for not less than three (3) years after the date of creation records (whether in printed,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reproducible format) of: (i) the quantity and type of Reynolds Products received at, stored in and delivered from each Warehouse,</w:t>
      </w:r>
    </w:p>
    <w:p>
      <w:pPr>
        <w:spacing w:after="0" w:line="1" w:lineRule="exact"/>
        <w:rPr>
          <w:rFonts w:ascii="Arial" w:cs="Arial" w:eastAsia="Arial" w:hAnsi="Arial"/>
          <w:sz w:val="16"/>
          <w:szCs w:val="16"/>
          <w:b w:val="1"/>
          <w:bCs w:val="1"/>
          <w:color w:val="auto"/>
        </w:rPr>
      </w:pPr>
    </w:p>
    <w:p>
      <w:pPr>
        <w:ind w:left="436" w:right="2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(ii) damage to or loss of a Reynolds Products prior to or while in the custody of Pactiv at a Warehouse and (iii) amounts invoiced to and paid by Reynolds under this Agreement. Pactiv will provide Reynolds with copies of these Warehouse records within five (5) business days after Reynolds’ written request made during and for a period of three (3) years after the Term.</w:t>
      </w:r>
    </w:p>
    <w:p>
      <w:pPr>
        <w:spacing w:after="0" w:line="11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Page 4 of 17</w:t>
      </w:r>
    </w:p>
    <w:p>
      <w:pPr>
        <w:sectPr>
          <w:pgSz w:w="11900" w:h="16838" w:orient="portrait"/>
          <w:cols w:equalWidth="0" w:num="1">
            <w:col w:w="10996"/>
          </w:cols>
          <w:pgMar w:left="444" w:top="274" w:right="459" w:bottom="1440" w:gutter="0" w:footer="0" w:header="0"/>
        </w:sectPr>
      </w:pPr>
    </w:p>
    <w:bookmarkStart w:id="461" w:name="page462"/>
    <w:bookmarkEnd w:id="461"/>
    <w:p>
      <w:pPr>
        <w:spacing w:after="0" w:line="209" w:lineRule="auto"/>
        <w:framePr w:w="220" w:h="160" w:wrap="auto" w:vAnchor="page" w:hAnchor="page" w:x="840" w:y="8326"/>
        <w:rPr>
          <w:rFonts w:ascii="Arial" w:cs="Arial" w:eastAsia="Arial" w:hAnsi="Arial"/>
          <w:sz w:val="18"/>
          <w:szCs w:val="18"/>
          <w:b w:val="1"/>
          <w:bCs w:val="1"/>
          <w:color w:val="auto"/>
        </w:rPr>
      </w:pPr>
      <w:r>
        <w:rPr>
          <w:rFonts w:ascii="Arial" w:cs="Arial" w:eastAsia="Arial" w:hAnsi="Arial"/>
          <w:sz w:val="18"/>
          <w:szCs w:val="18"/>
          <w:b w:val="1"/>
          <w:bCs w:val="1"/>
          <w:color w:val="auto"/>
        </w:rPr>
        <w:t>b.</w:t>
      </w:r>
    </w:p>
    <w:p>
      <w:pPr>
        <w:spacing w:after="0" w:line="209" w:lineRule="auto"/>
        <w:framePr w:w="8660" w:h="160" w:wrap="auto" w:vAnchor="page" w:hAnchor="page" w:x="1380" w:y="8326"/>
        <w:rPr>
          <w:rFonts w:ascii="Arial" w:cs="Arial" w:eastAsia="Arial" w:hAnsi="Arial"/>
          <w:sz w:val="16"/>
          <w:szCs w:val="16"/>
          <w:b w:val="1"/>
          <w:bCs w:val="1"/>
          <w:color w:val="auto"/>
        </w:rPr>
      </w:pPr>
      <w:r>
        <w:rPr>
          <w:rFonts w:ascii="Arial" w:cs="Arial" w:eastAsia="Arial" w:hAnsi="Arial"/>
          <w:sz w:val="16"/>
          <w:szCs w:val="16"/>
          <w:b w:val="1"/>
          <w:bCs w:val="1"/>
          <w:color w:val="auto"/>
        </w:rPr>
        <w:t>The Party is operating its business in compliance with a commercially reasonable code of ethics adopted by such Party.</w:t>
      </w:r>
    </w:p>
    <w:p>
      <w:pPr>
        <w:spacing w:after="0" w:line="218" w:lineRule="auto"/>
        <w:framePr w:w="200" w:h="160" w:wrap="auto" w:vAnchor="page" w:hAnchor="page" w:x="840" w:y="8664"/>
        <w:rPr>
          <w:rFonts w:ascii="Arial" w:cs="Arial" w:eastAsia="Arial" w:hAnsi="Arial"/>
          <w:sz w:val="18"/>
          <w:szCs w:val="18"/>
          <w:b w:val="1"/>
          <w:bCs w:val="1"/>
          <w:color w:val="auto"/>
        </w:rPr>
      </w:pPr>
      <w:r>
        <w:rPr>
          <w:rFonts w:ascii="Arial" w:cs="Arial" w:eastAsia="Arial" w:hAnsi="Arial"/>
          <w:sz w:val="18"/>
          <w:szCs w:val="18"/>
          <w:b w:val="1"/>
          <w:bCs w:val="1"/>
          <w:color w:val="auto"/>
        </w:rPr>
        <w:t>c.</w:t>
      </w:r>
    </w:p>
    <w:p>
      <w:pPr>
        <w:spacing w:after="0" w:line="218" w:lineRule="auto"/>
        <w:framePr w:w="9560" w:h="376" w:wrap="auto" w:vAnchor="page" w:hAnchor="page" w:x="1380" w:y="8664"/>
        <w:rPr>
          <w:rFonts w:ascii="Arial" w:cs="Arial" w:eastAsia="Arial" w:hAnsi="Arial"/>
          <w:sz w:val="18"/>
          <w:szCs w:val="18"/>
          <w:b w:val="1"/>
          <w:bCs w:val="1"/>
          <w:color w:val="auto"/>
        </w:rPr>
      </w:pPr>
      <w:r>
        <w:rPr>
          <w:rFonts w:ascii="Arial" w:cs="Arial" w:eastAsia="Arial" w:hAnsi="Arial"/>
          <w:sz w:val="18"/>
          <w:szCs w:val="18"/>
          <w:b w:val="1"/>
          <w:bCs w:val="1"/>
          <w:color w:val="auto"/>
        </w:rPr>
        <w:t>The Party may enter into and perform its obligations under this Agreement without being in conflict with, or in breach of, any other agreement of the Party.</w:t>
      </w:r>
    </w:p>
    <w:p>
      <w:pPr>
        <w:spacing w:after="0" w:line="209" w:lineRule="auto"/>
        <w:framePr w:w="220" w:h="160" w:wrap="auto" w:vAnchor="page" w:hAnchor="page" w:x="840" w:y="9217"/>
        <w:rPr>
          <w:rFonts w:ascii="Arial" w:cs="Arial" w:eastAsia="Arial" w:hAnsi="Arial"/>
          <w:sz w:val="18"/>
          <w:szCs w:val="18"/>
          <w:b w:val="1"/>
          <w:bCs w:val="1"/>
          <w:color w:val="auto"/>
        </w:rPr>
      </w:pPr>
      <w:r>
        <w:rPr>
          <w:rFonts w:ascii="Arial" w:cs="Arial" w:eastAsia="Arial" w:hAnsi="Arial"/>
          <w:sz w:val="18"/>
          <w:szCs w:val="18"/>
          <w:b w:val="1"/>
          <w:bCs w:val="1"/>
          <w:color w:val="auto"/>
        </w:rPr>
        <w:t>d.</w:t>
      </w:r>
    </w:p>
    <w:p>
      <w:pPr>
        <w:spacing w:after="0" w:line="209" w:lineRule="auto"/>
        <w:framePr w:w="8820" w:h="160" w:wrap="auto" w:vAnchor="page" w:hAnchor="page" w:x="1380" w:y="9217"/>
        <w:rPr>
          <w:rFonts w:ascii="Arial" w:cs="Arial" w:eastAsia="Arial" w:hAnsi="Arial"/>
          <w:sz w:val="16"/>
          <w:szCs w:val="16"/>
          <w:b w:val="1"/>
          <w:bCs w:val="1"/>
          <w:color w:val="auto"/>
        </w:rPr>
      </w:pPr>
      <w:r>
        <w:rPr>
          <w:rFonts w:ascii="Arial" w:cs="Arial" w:eastAsia="Arial" w:hAnsi="Arial"/>
          <w:sz w:val="16"/>
          <w:szCs w:val="16"/>
          <w:b w:val="1"/>
          <w:bCs w:val="1"/>
          <w:color w:val="auto"/>
        </w:rPr>
        <w:t>The Party is solvent, is capable of paying its debts as and when they become due and is paying its debts as and when due.</w:t>
      </w:r>
    </w:p>
    <w:p>
      <w:pPr>
        <w:jc w:val="both"/>
        <w:spacing w:after="0" w:line="229" w:lineRule="auto"/>
        <w:framePr w:w="200" w:h="160" w:wrap="auto" w:vAnchor="page" w:hAnchor="page" w:x="840" w:y="9555"/>
        <w:rPr>
          <w:rFonts w:ascii="Arial" w:cs="Arial" w:eastAsia="Arial" w:hAnsi="Arial"/>
          <w:sz w:val="18"/>
          <w:szCs w:val="18"/>
          <w:b w:val="1"/>
          <w:bCs w:val="1"/>
          <w:color w:val="auto"/>
        </w:rPr>
      </w:pPr>
      <w:r>
        <w:rPr>
          <w:rFonts w:ascii="Arial" w:cs="Arial" w:eastAsia="Arial" w:hAnsi="Arial"/>
          <w:sz w:val="18"/>
          <w:szCs w:val="18"/>
          <w:b w:val="1"/>
          <w:bCs w:val="1"/>
          <w:color w:val="auto"/>
        </w:rPr>
        <w:t>e.</w:t>
      </w:r>
    </w:p>
    <w:p>
      <w:pPr>
        <w:jc w:val="both"/>
        <w:spacing w:after="0" w:line="229" w:lineRule="auto"/>
        <w:framePr w:w="9920" w:h="593" w:wrap="auto" w:vAnchor="page" w:hAnchor="page" w:x="1380" w:y="9555"/>
        <w:rPr>
          <w:rFonts w:ascii="Arial" w:cs="Arial" w:eastAsia="Arial" w:hAnsi="Arial"/>
          <w:sz w:val="18"/>
          <w:szCs w:val="18"/>
          <w:b w:val="1"/>
          <w:bCs w:val="1"/>
          <w:color w:val="auto"/>
        </w:rPr>
      </w:pPr>
      <w:r>
        <w:rPr>
          <w:rFonts w:ascii="Arial" w:cs="Arial" w:eastAsia="Arial" w:hAnsi="Arial"/>
          <w:sz w:val="18"/>
          <w:szCs w:val="18"/>
          <w:b w:val="1"/>
          <w:bCs w:val="1"/>
          <w:color w:val="auto"/>
        </w:rPr>
        <w:t>The Party is not the subject of a criminal investigation nor a defendant in any criminal indictment, petition, complaint or proceeding that carries a potential sentence involving incarceration in excess of one year for any director or executive officer of the Party involved in the alleged criminal misconduct or a fine in excess of $100,000 USD.</w:t>
      </w:r>
    </w:p>
    <w:p>
      <w:pPr>
        <w:spacing w:after="0" w:line="209" w:lineRule="auto"/>
        <w:framePr w:w="2180" w:h="160" w:wrap="auto" w:vAnchor="page" w:hAnchor="page" w:x="4860" w:y="10352"/>
        <w:rPr>
          <w:rFonts w:ascii="Arial" w:cs="Arial" w:eastAsia="Arial" w:hAnsi="Arial"/>
          <w:sz w:val="16"/>
          <w:szCs w:val="16"/>
          <w:b w:val="1"/>
          <w:bCs w:val="1"/>
          <w:color w:val="auto"/>
        </w:rPr>
      </w:pPr>
      <w:r>
        <w:rPr>
          <w:rFonts w:ascii="Arial" w:cs="Arial" w:eastAsia="Arial" w:hAnsi="Arial"/>
          <w:sz w:val="16"/>
          <w:szCs w:val="16"/>
          <w:b w:val="1"/>
          <w:bCs w:val="1"/>
          <w:color w:val="auto"/>
        </w:rPr>
        <w:t>Execution Copy 10-24-2019</w:t>
      </w:r>
    </w:p>
    <w:p>
      <w:pPr>
        <w:spacing w:after="0" w:line="209" w:lineRule="auto"/>
        <w:framePr w:w="5380" w:h="160" w:wrap="auto" w:vAnchor="page" w:hAnchor="page" w:x="3260" w:y="10568"/>
        <w:rPr>
          <w:rFonts w:ascii="Arial" w:cs="Arial" w:eastAsia="Arial" w:hAnsi="Arial"/>
          <w:sz w:val="16"/>
          <w:szCs w:val="16"/>
          <w:b w:val="1"/>
          <w:bCs w:val="1"/>
          <w:color w:val="auto"/>
        </w:rPr>
      </w:pPr>
      <w:r>
        <w:rPr>
          <w:rFonts w:ascii="Arial" w:cs="Arial" w:eastAsia="Arial" w:hAnsi="Arial"/>
          <w:sz w:val="16"/>
          <w:szCs w:val="16"/>
          <w:b w:val="1"/>
          <w:bCs w:val="1"/>
          <w:color w:val="auto"/>
        </w:rPr>
        <w:t>Warehouse and Freight Services Agreement Dated November 1, 2019</w:t>
      </w:r>
    </w:p>
    <w:p>
      <w:pPr>
        <w:spacing w:after="0" w:line="209" w:lineRule="auto"/>
        <w:framePr w:w="4740" w:h="160" w:wrap="auto" w:vAnchor="page" w:hAnchor="page" w:x="3580" w:y="10784"/>
        <w:rPr>
          <w:rFonts w:ascii="Arial" w:cs="Arial" w:eastAsia="Arial" w:hAnsi="Arial"/>
          <w:sz w:val="16"/>
          <w:szCs w:val="16"/>
          <w:b w:val="1"/>
          <w:bCs w:val="1"/>
          <w:color w:val="auto"/>
        </w:rPr>
      </w:pPr>
      <w:r>
        <w:rPr>
          <w:rFonts w:ascii="Arial" w:cs="Arial" w:eastAsia="Arial" w:hAnsi="Arial"/>
          <w:sz w:val="16"/>
          <w:szCs w:val="16"/>
          <w:b w:val="1"/>
          <w:bCs w:val="1"/>
          <w:color w:val="auto"/>
        </w:rPr>
        <w:t>Between Reynolds Consumer Products LLC and Pactiv LLC</w:t>
      </w:r>
    </w:p>
    <w:p>
      <w:pPr>
        <w:spacing w:after="0" w:line="223" w:lineRule="auto"/>
        <w:framePr w:w="1000" w:h="160" w:wrap="auto" w:vAnchor="page" w:hAnchor="page" w:x="5460" w:y="11000"/>
        <w:rPr>
          <w:rFonts w:ascii="Arial" w:cs="Arial" w:eastAsia="Arial" w:hAnsi="Arial"/>
          <w:sz w:val="15"/>
          <w:szCs w:val="15"/>
          <w:b w:val="1"/>
          <w:bCs w:val="1"/>
          <w:color w:val="auto"/>
        </w:rPr>
      </w:pPr>
      <w:r>
        <w:rPr>
          <w:rFonts w:ascii="Arial" w:cs="Arial" w:eastAsia="Arial" w:hAnsi="Arial"/>
          <w:sz w:val="15"/>
          <w:szCs w:val="15"/>
          <w:b w:val="1"/>
          <w:bCs w:val="1"/>
          <w:color w:val="auto"/>
        </w:rPr>
        <w:t>Page 5 of 17</w:t>
      </w:r>
    </w:p>
    <w:p>
      <w:pPr>
        <w:spacing w:after="0" w:line="209" w:lineRule="auto"/>
        <w:framePr w:w="7620" w:h="160" w:wrap="auto" w:vAnchor="page" w:hAnchor="page" w:x="1380" w:y="7988"/>
        <w:rPr>
          <w:rFonts w:ascii="Arial" w:cs="Arial" w:eastAsia="Arial" w:hAnsi="Arial"/>
          <w:sz w:val="16"/>
          <w:szCs w:val="16"/>
          <w:b w:val="1"/>
          <w:bCs w:val="1"/>
          <w:color w:val="auto"/>
        </w:rPr>
      </w:pPr>
      <w:r>
        <w:rPr>
          <w:rFonts w:ascii="Arial" w:cs="Arial" w:eastAsia="Arial" w:hAnsi="Arial"/>
          <w:sz w:val="16"/>
          <w:szCs w:val="16"/>
          <w:b w:val="1"/>
          <w:bCs w:val="1"/>
          <w:color w:val="auto"/>
        </w:rPr>
        <w:t>The Party is formed, registered, licensed and operating its business in compliance with Applicable Laws.</w:t>
      </w:r>
    </w:p>
    <w:p>
      <w:pPr>
        <w:spacing w:after="0" w:line="209" w:lineRule="auto"/>
        <w:framePr w:w="220" w:h="160" w:wrap="auto" w:vAnchor="page" w:hAnchor="page" w:x="840" w:y="7988"/>
        <w:rPr>
          <w:rFonts w:ascii="Arial" w:cs="Arial" w:eastAsia="Arial" w:hAnsi="Arial"/>
          <w:sz w:val="16"/>
          <w:szCs w:val="16"/>
          <w:b w:val="1"/>
          <w:bCs w:val="1"/>
          <w:color w:val="auto"/>
        </w:rPr>
      </w:pPr>
      <w:r>
        <w:rPr>
          <w:rFonts w:ascii="Arial" w:cs="Arial" w:eastAsia="Arial" w:hAnsi="Arial"/>
          <w:sz w:val="16"/>
          <w:szCs w:val="16"/>
          <w:b w:val="1"/>
          <w:bCs w:val="1"/>
          <w:color w:val="auto"/>
        </w:rPr>
        <w:t>a.</w:t>
      </w:r>
    </w:p>
    <w:p>
      <w:pPr>
        <w:spacing w:after="0" w:line="209" w:lineRule="auto"/>
        <w:framePr w:w="1620" w:h="160" w:wrap="auto" w:vAnchor="page" w:hAnchor="page" w:x="5140" w:y="290"/>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III. Freight Services</w:t>
      </w:r>
    </w:p>
    <w:p>
      <w:pPr>
        <w:spacing w:after="0" w:line="239" w:lineRule="auto"/>
        <w:framePr w:w="11060" w:h="1241" w:wrap="auto" w:vAnchor="page" w:hAnchor="page" w:x="400" w:y="750"/>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 xml:space="preserve">1. General Description of Freight Services. </w:t>
      </w:r>
      <w:r>
        <w:rPr>
          <w:rFonts w:ascii="Arial" w:cs="Arial" w:eastAsia="Arial" w:hAnsi="Arial"/>
          <w:sz w:val="18"/>
          <w:szCs w:val="18"/>
          <w:u w:val="single" w:color="auto"/>
          <w:color w:val="auto"/>
        </w:rPr>
        <w:t>From the Effective Date until the Freight Services Expiration Date, Reynolds may order shipping of</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Reynolds’ goods (Reynolds’ goods for which Pactiv arranges shipping on behalf of Reynolds may be referred to herein as “Freight”) from Pactiv. Pactiv will arrange for, manage and pay the third-party carriers (“Carriers”), brokers, freight payment agent and other third parties involved in the transportation of Reynolds Freight. Reynolds will be the designated shipper of record on all shipments of Freight managed by Pactiv on Reynolds behalf. Pactiv will also manage all cargo loss claims against carriers and brokers. A more detailed description of the Freight Services is set forth in Schedule 2 of this Agreement.</w:t>
      </w:r>
    </w:p>
    <w:p>
      <w:pPr>
        <w:spacing w:after="0" w:line="257" w:lineRule="auto"/>
        <w:framePr w:w="10880" w:h="593" w:wrap="auto" w:vAnchor="page" w:hAnchor="page" w:x="400" w:y="2168"/>
        <w:rPr>
          <w:rFonts w:ascii="Arial" w:cs="Arial" w:eastAsia="Arial" w:hAnsi="Arial"/>
          <w:sz w:val="16"/>
          <w:szCs w:val="16"/>
          <w:u w:val="single" w:color="auto"/>
          <w:color w:val="auto"/>
        </w:rPr>
      </w:pPr>
      <w:r>
        <w:rPr>
          <w:rFonts w:ascii="Arial" w:cs="Arial" w:eastAsia="Arial" w:hAnsi="Arial"/>
          <w:sz w:val="16"/>
          <w:szCs w:val="16"/>
          <w:b w:val="1"/>
          <w:bCs w:val="1"/>
          <w:u w:val="single" w:color="auto"/>
          <w:color w:val="auto"/>
        </w:rPr>
        <w:t>2. Disclaimer of Cargo Liability</w:t>
      </w:r>
      <w:r>
        <w:rPr>
          <w:rFonts w:ascii="Arial" w:cs="Arial" w:eastAsia="Arial" w:hAnsi="Arial"/>
          <w:sz w:val="16"/>
          <w:szCs w:val="16"/>
          <w:u w:val="single" w:color="auto"/>
          <w:color w:val="auto"/>
        </w:rPr>
        <w:t>. Pactiv is not a carrier and Pactiv’s sole obligation under this Agreement is the management of certain of</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Reynolds’ transportation requirements for the efficient shipment of Reynolds’s Freight. Reynolds therefore releases and agrees to hold harmless and defend Pactiv from any and all liability for cargo loss, damage or destruction claims arising out of the shipment of Reynolds’s Freight.</w:t>
      </w:r>
    </w:p>
    <w:p>
      <w:pPr>
        <w:spacing w:after="0" w:line="245" w:lineRule="auto"/>
        <w:framePr w:w="10680" w:h="376" w:wrap="auto" w:vAnchor="page" w:hAnchor="page" w:x="400" w:y="2937"/>
        <w:rPr>
          <w:rFonts w:ascii="Arial" w:cs="Arial" w:eastAsia="Arial" w:hAnsi="Arial"/>
          <w:sz w:val="16"/>
          <w:szCs w:val="16"/>
          <w:u w:val="single" w:color="auto"/>
          <w:color w:val="auto"/>
        </w:rPr>
      </w:pPr>
      <w:r>
        <w:rPr>
          <w:rFonts w:ascii="Arial" w:cs="Arial" w:eastAsia="Arial" w:hAnsi="Arial"/>
          <w:sz w:val="16"/>
          <w:szCs w:val="16"/>
          <w:b w:val="1"/>
          <w:bCs w:val="1"/>
          <w:u w:val="single" w:color="auto"/>
          <w:color w:val="auto"/>
        </w:rPr>
        <w:t xml:space="preserve">3. Pricing and Payment Terms for Freight Services. </w:t>
      </w:r>
      <w:r>
        <w:rPr>
          <w:rFonts w:ascii="Arial" w:cs="Arial" w:eastAsia="Arial" w:hAnsi="Arial"/>
          <w:sz w:val="16"/>
          <w:szCs w:val="16"/>
          <w:u w:val="single" w:color="auto"/>
          <w:color w:val="auto"/>
        </w:rPr>
        <w:t>Pactiv will invoice Reynolds for the actual shipping costs and its service fees for Freight</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Services as set forth in Schedule 2. All invoices issued for Freight Services hereunder shall be payable within thirty (30) days of receipt.</w:t>
      </w:r>
    </w:p>
    <w:p>
      <w:pPr>
        <w:spacing w:after="0" w:line="209" w:lineRule="auto"/>
        <w:framePr w:w="780" w:h="160" w:wrap="auto" w:vAnchor="page" w:hAnchor="page" w:x="5560" w:y="3802"/>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IV. Taxes</w:t>
      </w:r>
    </w:p>
    <w:p>
      <w:pPr>
        <w:spacing w:after="0" w:line="269" w:lineRule="auto"/>
        <w:framePr w:w="11060" w:h="1241" w:wrap="auto" w:vAnchor="page" w:hAnchor="page" w:x="400" w:y="4261"/>
        <w:rPr>
          <w:rFonts w:ascii="Arial" w:cs="Arial" w:eastAsia="Arial" w:hAnsi="Arial"/>
          <w:sz w:val="16"/>
          <w:szCs w:val="16"/>
          <w:u w:val="single" w:color="auto"/>
          <w:color w:val="auto"/>
        </w:rPr>
      </w:pPr>
      <w:r>
        <w:rPr>
          <w:rFonts w:ascii="Arial" w:cs="Arial" w:eastAsia="Arial" w:hAnsi="Arial"/>
          <w:sz w:val="16"/>
          <w:szCs w:val="16"/>
          <w:b w:val="1"/>
          <w:bCs w:val="1"/>
          <w:u w:val="single" w:color="auto"/>
          <w:color w:val="auto"/>
        </w:rPr>
        <w:t xml:space="preserve">1. Reynolds Taxes. </w:t>
      </w:r>
      <w:r>
        <w:rPr>
          <w:rFonts w:ascii="Arial" w:cs="Arial" w:eastAsia="Arial" w:hAnsi="Arial"/>
          <w:sz w:val="16"/>
          <w:szCs w:val="16"/>
          <w:u w:val="single" w:color="auto"/>
          <w:color w:val="auto"/>
        </w:rPr>
        <w:t>Reynolds will bear all government taxes, levies, fees and other impositions on the Reynolds Products, their storage in the</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Warehouses and otherwise required to be paid by recipients of the Services under Applicable Laws (collectively “Reynolds Taxes”). If required or permitted under Applicable Laws, Reynolds will prepare and file any required reports or returns for such Reynolds Taxes directly with, and pay the Reynolds Taxes owed directly to, the appropriate governmental authorities. If Pactiv is required under Applicable Laws to prepare and file any required reports or returns for such Reynolds Taxes directly with, and to collect and remit the Reynolds Taxes owed directly to, the appropriate governmental authorities, Pactiv will do so and invoice and collect the amount of such Reynolds Taxes from Reynolds.</w:t>
      </w:r>
    </w:p>
    <w:p>
      <w:pPr>
        <w:spacing w:after="0" w:line="234" w:lineRule="auto"/>
        <w:framePr w:w="10860" w:h="809" w:wrap="auto" w:vAnchor="page" w:hAnchor="page" w:x="400" w:y="5679"/>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2. Pactiv Taxes</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Pactiv will bear all government taxes, levies, fees and other impositions on the ownership, lease and operation of the Warehouses</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and otherwise required to be paid by providers of the Services under Applicable Laws (collectively “Pactiv Taxes”). Pactiv will prepare and file any required reports or returns for such Pactiv Taxes directly with, and pay the Pactiv Taxes owed directly to, the appropriate governmental authorities.</w:t>
      </w:r>
    </w:p>
    <w:p>
      <w:pPr>
        <w:spacing w:after="0" w:line="209" w:lineRule="auto"/>
        <w:framePr w:w="2760" w:h="160" w:wrap="auto" w:vAnchor="page" w:hAnchor="page" w:x="4580" w:y="6975"/>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V. Representations and Warranties</w:t>
      </w:r>
    </w:p>
    <w:p>
      <w:pPr>
        <w:spacing w:after="0" w:line="218" w:lineRule="auto"/>
        <w:framePr w:w="10720" w:h="376" w:wrap="auto" w:vAnchor="page" w:hAnchor="page" w:x="400" w:y="7435"/>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 xml:space="preserve">1. General Representations, Warranties and Covenants. </w:t>
      </w:r>
      <w:r>
        <w:rPr>
          <w:rFonts w:ascii="Arial" w:cs="Arial" w:eastAsia="Arial" w:hAnsi="Arial"/>
          <w:sz w:val="18"/>
          <w:szCs w:val="18"/>
          <w:u w:val="single" w:color="auto"/>
          <w:color w:val="auto"/>
        </w:rPr>
        <w:t>Each Party represents, warrants and covenants on the Effective Date and at all times</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during the Term that:</w:t>
      </w:r>
    </w:p>
    <w:p>
      <w:pPr>
        <w:spacing w:after="0" w:line="218" w:lineRule="auto"/>
        <w:rPr>
          <w:rFonts w:ascii="Arial" w:cs="Arial" w:eastAsia="Arial" w:hAnsi="Arial"/>
          <w:sz w:val="18"/>
          <w:szCs w:val="18"/>
          <w:u w:val="single" w:color="auto"/>
          <w:color w:val="auto"/>
        </w:rPr>
        <w:sectPr>
          <w:pgSz w:w="11900" w:h="16838" w:orient="portrait"/>
          <w:cols w:equalWidth="1" w:num="1" w:space="0"/>
          <w:pgMar w:left="1440" w:top="1440" w:right="1440" w:bottom="875" w:gutter="0" w:footer="0" w:header="0"/>
        </w:sect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62" w:name="page463"/>
    <w:bookmarkEnd w:id="462"/>
    <w:p>
      <w:pPr>
        <w:ind w:left="43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Party will promptly notify the other Party of any change in circumstance during the Term in which the Party is no longer in compliance with the foregoing general representations, warranties and covenants. An incident of actual, alleged or suspected non-compliance by a Party with a warranty under this Section being investigated, contested or corrected in good faith by the Party </w:t>
      </w:r>
      <w:r>
        <w:rPr>
          <w:rFonts w:ascii="Arial" w:cs="Arial" w:eastAsia="Arial" w:hAnsi="Arial"/>
          <w:sz w:val="18"/>
          <w:szCs w:val="18"/>
          <w:i w:val="1"/>
          <w:iCs w:val="1"/>
          <w:color w:val="auto"/>
        </w:rPr>
        <w:t>and</w:t>
      </w:r>
      <w:r>
        <w:rPr>
          <w:rFonts w:ascii="Arial" w:cs="Arial" w:eastAsia="Arial" w:hAnsi="Arial"/>
          <w:sz w:val="18"/>
          <w:szCs w:val="18"/>
          <w:color w:val="auto"/>
        </w:rPr>
        <w:t xml:space="preserve"> which, regardless of outcome, will have no material adverse effect on the Party or its performance under this Agreement or on the other Party, will not be considered a breach of this clause. An incident of actual, alleged or suspected non-compliance by a Party of this Section or any other Section of this Agreement will be grounds for the other Party to demand adequate assurances of performance as provided by Section 2-609 of the Illinois Uniform Commercial Code. A Party will have ten (10) days to provide adequate assurances of performance to the other Party in a form acceptable to the other Party in its good faith discretion.</w:t>
      </w:r>
    </w:p>
    <w:p>
      <w:pPr>
        <w:spacing w:after="0" w:line="94" w:lineRule="exact"/>
        <w:rPr>
          <w:sz w:val="20"/>
          <w:szCs w:val="20"/>
          <w:color w:val="auto"/>
        </w:rPr>
      </w:pPr>
    </w:p>
    <w:p>
      <w:pPr>
        <w:ind w:left="436" w:right="340" w:hanging="436"/>
        <w:spacing w:after="0" w:line="282" w:lineRule="auto"/>
        <w:tabs>
          <w:tab w:leader="none" w:pos="436"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Reynolds Specific Representations, Warranties and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Reynolds represents, warrants and covenants to Pactiv that each Reynolds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delivered to and stored with Pactiv or delivered to a Carrier under this Agreement:</w:t>
      </w:r>
    </w:p>
    <w:p>
      <w:pPr>
        <w:spacing w:after="0" w:line="71" w:lineRule="exact"/>
        <w:rPr>
          <w:rFonts w:ascii="Arial" w:cs="Arial" w:eastAsia="Arial" w:hAnsi="Arial"/>
          <w:sz w:val="18"/>
          <w:szCs w:val="18"/>
          <w:b w:val="1"/>
          <w:bCs w:val="1"/>
          <w:color w:val="auto"/>
        </w:rPr>
      </w:pPr>
    </w:p>
    <w:p>
      <w:pPr>
        <w:ind w:left="976" w:hanging="544"/>
        <w:spacing w:after="0"/>
        <w:tabs>
          <w:tab w:leader="none" w:pos="976"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Is delivered to the Carrier or to the Warehouse in new and undamaged condition.</w:t>
      </w:r>
    </w:p>
    <w:p>
      <w:pPr>
        <w:spacing w:after="0" w:line="130" w:lineRule="exact"/>
        <w:rPr>
          <w:rFonts w:ascii="Arial" w:cs="Arial" w:eastAsia="Arial" w:hAnsi="Arial"/>
          <w:sz w:val="18"/>
          <w:szCs w:val="18"/>
          <w:b w:val="1"/>
          <w:bCs w:val="1"/>
          <w:color w:val="auto"/>
        </w:rPr>
      </w:pPr>
    </w:p>
    <w:p>
      <w:pPr>
        <w:ind w:left="976" w:right="60" w:hanging="544"/>
        <w:spacing w:after="0" w:line="277" w:lineRule="auto"/>
        <w:tabs>
          <w:tab w:leader="none" w:pos="976"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Has been delivered to Pactiv or the Carrier in compliance with Applicable Laws, including without limitation with food safety regulations issued by the United States Food and Drug Administration that are applicable to the Reynolds Product.</w:t>
      </w:r>
    </w:p>
    <w:p>
      <w:pPr>
        <w:spacing w:after="0" w:line="75" w:lineRule="exact"/>
        <w:rPr>
          <w:rFonts w:ascii="Arial" w:cs="Arial" w:eastAsia="Arial" w:hAnsi="Arial"/>
          <w:sz w:val="18"/>
          <w:szCs w:val="18"/>
          <w:b w:val="1"/>
          <w:bCs w:val="1"/>
          <w:color w:val="auto"/>
        </w:rPr>
      </w:pPr>
    </w:p>
    <w:p>
      <w:pPr>
        <w:ind w:left="976" w:hanging="544"/>
        <w:spacing w:after="0" w:line="277" w:lineRule="auto"/>
        <w:tabs>
          <w:tab w:leader="none" w:pos="976"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Is inbound delivered in a properly blocked and braced condition to prevent shifting or toppling of the Reynolds Products upon opening and unloading of a truck trailer at the loading dock of the Warehouse.</w:t>
      </w:r>
    </w:p>
    <w:p>
      <w:pPr>
        <w:spacing w:after="0" w:line="75" w:lineRule="exact"/>
        <w:rPr>
          <w:rFonts w:ascii="Arial" w:cs="Arial" w:eastAsia="Arial" w:hAnsi="Arial"/>
          <w:sz w:val="18"/>
          <w:szCs w:val="18"/>
          <w:b w:val="1"/>
          <w:bCs w:val="1"/>
          <w:color w:val="auto"/>
        </w:rPr>
      </w:pPr>
    </w:p>
    <w:p>
      <w:pPr>
        <w:ind w:left="976" w:hanging="544"/>
        <w:spacing w:after="0" w:line="272" w:lineRule="auto"/>
        <w:tabs>
          <w:tab w:leader="none" w:pos="976" w:val="left"/>
        </w:tabs>
        <w:numPr>
          <w:ilvl w:val="1"/>
          <w:numId w:val="391"/>
        </w:numPr>
        <w:rPr>
          <w:rFonts w:ascii="Arial" w:cs="Arial" w:eastAsia="Arial" w:hAnsi="Arial"/>
          <w:sz w:val="17"/>
          <w:szCs w:val="17"/>
          <w:b w:val="1"/>
          <w:bCs w:val="1"/>
          <w:color w:val="auto"/>
        </w:rPr>
      </w:pPr>
      <w:r>
        <w:rPr>
          <w:rFonts w:ascii="Arial" w:cs="Arial" w:eastAsia="Arial" w:hAnsi="Arial"/>
          <w:sz w:val="17"/>
          <w:szCs w:val="17"/>
          <w:color w:val="auto"/>
        </w:rPr>
        <w:t>Is packaged and delivered on appropriate pallets for storage in the Warehouses in accordance with the customary and usual practices of the Parties. Reynolds may use non-standard pallets for customer requests for promotions, shippers and so forth but Reynolds must notify Pactiv of any non-standard pallets prior to delivering the Reynolds Products to any Warehouse and the amount of any non-standard pallets must be commercially reasonable. Reynolds acknowledges and agrees that the use of any special pallets may require an adjustment in the cube allocation resulting in fewer pallets fitting into the Base or Additional Storage Capacity. Any Reynolds Product delivered to a Warehouse that is not capable of being stacked four pallets high will be allotted cubic feet of storage as if it were occupying four pallets high of storage space. Calculation of cubic feet for storage will be set out in the SOP’s.</w:t>
      </w:r>
    </w:p>
    <w:p>
      <w:pPr>
        <w:spacing w:after="0" w:line="83" w:lineRule="exact"/>
        <w:rPr>
          <w:rFonts w:ascii="Arial" w:cs="Arial" w:eastAsia="Arial" w:hAnsi="Arial"/>
          <w:sz w:val="17"/>
          <w:szCs w:val="17"/>
          <w:b w:val="1"/>
          <w:bCs w:val="1"/>
          <w:color w:val="auto"/>
        </w:rPr>
      </w:pPr>
    </w:p>
    <w:p>
      <w:pPr>
        <w:ind w:left="976" w:right="100" w:hanging="544"/>
        <w:spacing w:after="0" w:line="308" w:lineRule="auto"/>
        <w:tabs>
          <w:tab w:leader="none" w:pos="976" w:val="left"/>
        </w:tabs>
        <w:numPr>
          <w:ilvl w:val="1"/>
          <w:numId w:val="391"/>
        </w:numPr>
        <w:rPr>
          <w:rFonts w:ascii="Arial" w:cs="Arial" w:eastAsia="Arial" w:hAnsi="Arial"/>
          <w:sz w:val="17"/>
          <w:szCs w:val="17"/>
          <w:b w:val="1"/>
          <w:bCs w:val="1"/>
          <w:color w:val="auto"/>
        </w:rPr>
      </w:pPr>
      <w:r>
        <w:rPr>
          <w:rFonts w:ascii="Arial" w:cs="Arial" w:eastAsia="Arial" w:hAnsi="Arial"/>
          <w:sz w:val="17"/>
          <w:szCs w:val="17"/>
          <w:color w:val="auto"/>
        </w:rPr>
        <w:t>Is, and will remain at all times while in the custody of Pactiv, owned solely Reynolds free and clear of all liens, encumbrances and claims (other than those arising by, under or through Pactiv for which Pactiv will be responsible under this Agreement).</w:t>
      </w:r>
    </w:p>
    <w:p>
      <w:pPr>
        <w:spacing w:after="0" w:line="51" w:lineRule="exact"/>
        <w:rPr>
          <w:rFonts w:ascii="Arial" w:cs="Arial" w:eastAsia="Arial" w:hAnsi="Arial"/>
          <w:sz w:val="17"/>
          <w:szCs w:val="17"/>
          <w:b w:val="1"/>
          <w:bCs w:val="1"/>
          <w:color w:val="auto"/>
        </w:rPr>
      </w:pPr>
    </w:p>
    <w:p>
      <w:pPr>
        <w:ind w:left="976" w:right="580" w:hanging="544"/>
        <w:spacing w:after="0" w:line="277" w:lineRule="auto"/>
        <w:tabs>
          <w:tab w:leader="none" w:pos="976"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Does not infringe on any patent, trademark, copyright, trade secret or other the intellectual property of any third-party registered or otherwise recognized and enforceable under Applicable Laws.</w:t>
      </w:r>
    </w:p>
    <w:p>
      <w:pPr>
        <w:spacing w:after="0" w:line="75" w:lineRule="exact"/>
        <w:rPr>
          <w:rFonts w:ascii="Arial" w:cs="Arial" w:eastAsia="Arial" w:hAnsi="Arial"/>
          <w:sz w:val="18"/>
          <w:szCs w:val="18"/>
          <w:b w:val="1"/>
          <w:bCs w:val="1"/>
          <w:color w:val="auto"/>
        </w:rPr>
      </w:pPr>
    </w:p>
    <w:p>
      <w:pPr>
        <w:ind w:left="976" w:right="480" w:hanging="544"/>
        <w:spacing w:after="0" w:line="277" w:lineRule="auto"/>
        <w:tabs>
          <w:tab w:leader="none" w:pos="976"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Does not represent nor create a material risk of injury, damage or other harm to Pactiv or any third-party being received, storage and delivered at the Warehouses.</w:t>
      </w:r>
    </w:p>
    <w:p>
      <w:pPr>
        <w:spacing w:after="0" w:line="62" w:lineRule="exact"/>
        <w:rPr>
          <w:rFonts w:ascii="Arial" w:cs="Arial" w:eastAsia="Arial" w:hAnsi="Arial"/>
          <w:sz w:val="18"/>
          <w:szCs w:val="18"/>
          <w:b w:val="1"/>
          <w:bCs w:val="1"/>
          <w:color w:val="auto"/>
        </w:rPr>
      </w:pPr>
    </w:p>
    <w:p>
      <w:pPr>
        <w:ind w:left="996" w:right="1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If Pactiv receives a Reynolds Product that fails to conform to these representations, warranties and covenants, the sole remedy of Pactiv for the breach will be to: (1) notify Reynolds within seven (7) business days of receipt that the Reynolds Product is non-conforming and handle or dispose of the non-conforming Reynolds Product at Reynolds’ expense as instructed in writing by Reynolds or, if not so instructed, in accordance with commercially reasonable business practices at Reynolds’ expense; and (2) obtain indemnification from Reynolds for any Indemnified Claim arising from or related to the breach as provided in </w:t>
      </w:r>
      <w:r>
        <w:rPr>
          <w:rFonts w:ascii="Arial" w:cs="Arial" w:eastAsia="Arial" w:hAnsi="Arial"/>
          <w:sz w:val="17"/>
          <w:szCs w:val="17"/>
          <w:u w:val="single" w:color="auto"/>
          <w:color w:val="auto"/>
        </w:rPr>
        <w:t>Section VI</w:t>
      </w:r>
      <w:r>
        <w:rPr>
          <w:rFonts w:ascii="Arial" w:cs="Arial" w:eastAsia="Arial" w:hAnsi="Arial"/>
          <w:sz w:val="17"/>
          <w:szCs w:val="17"/>
          <w:color w:val="auto"/>
        </w:rPr>
        <w:t>.</w:t>
      </w:r>
    </w:p>
    <w:p>
      <w:pPr>
        <w:spacing w:after="0" w:line="101"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Page 6 of 17</w:t>
      </w:r>
    </w:p>
    <w:p>
      <w:pPr>
        <w:sectPr>
          <w:pgSz w:w="11900" w:h="16838" w:orient="portrait"/>
          <w:cols w:equalWidth="0" w:num="1">
            <w:col w:w="10976"/>
          </w:cols>
          <w:pgMar w:left="444" w:top="273" w:right="479" w:bottom="1440" w:gutter="0" w:footer="0" w:header="0"/>
        </w:sectPr>
      </w:pPr>
    </w:p>
    <w:bookmarkStart w:id="463" w:name="page464"/>
    <w:bookmarkEnd w:id="463"/>
    <w:p>
      <w:pPr>
        <w:ind w:left="436" w:hanging="436"/>
        <w:spacing w:after="0"/>
        <w:tabs>
          <w:tab w:leader="none" w:pos="436"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Pactiv Specific Representations, Warranties and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Pactiv represents, warrants and covenants to Reynolds that:</w:t>
      </w:r>
    </w:p>
    <w:p>
      <w:pPr>
        <w:spacing w:after="0" w:line="134" w:lineRule="exact"/>
        <w:rPr>
          <w:rFonts w:ascii="Arial" w:cs="Arial" w:eastAsia="Arial" w:hAnsi="Arial"/>
          <w:sz w:val="18"/>
          <w:szCs w:val="18"/>
          <w:b w:val="1"/>
          <w:bCs w:val="1"/>
          <w:color w:val="auto"/>
        </w:rPr>
      </w:pPr>
    </w:p>
    <w:p>
      <w:pPr>
        <w:ind w:left="976" w:right="120" w:hanging="544"/>
        <w:spacing w:after="0" w:line="277" w:lineRule="auto"/>
        <w:tabs>
          <w:tab w:leader="none" w:pos="976" w:val="left"/>
        </w:tabs>
        <w:numPr>
          <w:ilvl w:val="1"/>
          <w:numId w:val="392"/>
        </w:numPr>
        <w:rPr>
          <w:rFonts w:ascii="Arial" w:cs="Arial" w:eastAsia="Arial" w:hAnsi="Arial"/>
          <w:sz w:val="18"/>
          <w:szCs w:val="18"/>
          <w:b w:val="1"/>
          <w:bCs w:val="1"/>
          <w:color w:val="auto"/>
        </w:rPr>
      </w:pPr>
      <w:r>
        <w:rPr>
          <w:rFonts w:ascii="Arial" w:cs="Arial" w:eastAsia="Arial" w:hAnsi="Arial"/>
          <w:sz w:val="18"/>
          <w:szCs w:val="18"/>
          <w:color w:val="auto"/>
        </w:rPr>
        <w:t>Reynolds Products will be received, stored and delivered at the Warehouse using the same or a greater standard of care that Pactiv uses in receiving, storing and delivering Pactiv Products at the Warehouse.</w:t>
      </w:r>
    </w:p>
    <w:p>
      <w:pPr>
        <w:spacing w:after="0" w:line="75" w:lineRule="exact"/>
        <w:rPr>
          <w:rFonts w:ascii="Arial" w:cs="Arial" w:eastAsia="Arial" w:hAnsi="Arial"/>
          <w:sz w:val="18"/>
          <w:szCs w:val="18"/>
          <w:b w:val="1"/>
          <w:bCs w:val="1"/>
          <w:color w:val="auto"/>
        </w:rPr>
      </w:pPr>
    </w:p>
    <w:p>
      <w:pPr>
        <w:ind w:left="976" w:right="560" w:hanging="544"/>
        <w:spacing w:after="0" w:line="308" w:lineRule="auto"/>
        <w:tabs>
          <w:tab w:leader="none" w:pos="976" w:val="left"/>
        </w:tabs>
        <w:numPr>
          <w:ilvl w:val="1"/>
          <w:numId w:val="392"/>
        </w:numPr>
        <w:rPr>
          <w:rFonts w:ascii="Arial" w:cs="Arial" w:eastAsia="Arial" w:hAnsi="Arial"/>
          <w:sz w:val="17"/>
          <w:szCs w:val="17"/>
          <w:b w:val="1"/>
          <w:bCs w:val="1"/>
          <w:color w:val="auto"/>
        </w:rPr>
      </w:pPr>
      <w:r>
        <w:rPr>
          <w:rFonts w:ascii="Arial" w:cs="Arial" w:eastAsia="Arial" w:hAnsi="Arial"/>
          <w:sz w:val="17"/>
          <w:szCs w:val="17"/>
          <w:color w:val="auto"/>
        </w:rPr>
        <w:t>Reynolds Products will be delivered at the Warehouse in the same condition and packaging as received at the Warehouse except for ordinary wear and tear, damage or loss caused by an event of Force Majeure and Excluded Loss and Damage.</w:t>
      </w:r>
    </w:p>
    <w:p>
      <w:pPr>
        <w:spacing w:after="0" w:line="51" w:lineRule="exact"/>
        <w:rPr>
          <w:rFonts w:ascii="Arial" w:cs="Arial" w:eastAsia="Arial" w:hAnsi="Arial"/>
          <w:sz w:val="17"/>
          <w:szCs w:val="17"/>
          <w:b w:val="1"/>
          <w:bCs w:val="1"/>
          <w:color w:val="auto"/>
        </w:rPr>
      </w:pPr>
    </w:p>
    <w:p>
      <w:pPr>
        <w:ind w:left="976" w:right="220" w:hanging="544"/>
        <w:spacing w:after="0" w:line="264" w:lineRule="auto"/>
        <w:tabs>
          <w:tab w:leader="none" w:pos="976" w:val="left"/>
        </w:tabs>
        <w:numPr>
          <w:ilvl w:val="1"/>
          <w:numId w:val="392"/>
        </w:numPr>
        <w:rPr>
          <w:rFonts w:ascii="Arial" w:cs="Arial" w:eastAsia="Arial" w:hAnsi="Arial"/>
          <w:sz w:val="18"/>
          <w:szCs w:val="18"/>
          <w:b w:val="1"/>
          <w:bCs w:val="1"/>
          <w:color w:val="auto"/>
        </w:rPr>
      </w:pPr>
      <w:r>
        <w:rPr>
          <w:rFonts w:ascii="Arial" w:cs="Arial" w:eastAsia="Arial" w:hAnsi="Arial"/>
          <w:sz w:val="18"/>
          <w:szCs w:val="18"/>
          <w:color w:val="auto"/>
        </w:rPr>
        <w:t>Warehouses will be operated and maintained, and Services will otherwise be performed, in a commercially reasonable condition and manner in compliance with Applicable Laws, including without limitation with food safety regulations issued by the United States Food and Drug Administration that are applicable to the storage of Reynolds Products.</w:t>
      </w:r>
    </w:p>
    <w:p>
      <w:pPr>
        <w:spacing w:after="0" w:line="86" w:lineRule="exact"/>
        <w:rPr>
          <w:rFonts w:ascii="Arial" w:cs="Arial" w:eastAsia="Arial" w:hAnsi="Arial"/>
          <w:sz w:val="18"/>
          <w:szCs w:val="18"/>
          <w:b w:val="1"/>
          <w:bCs w:val="1"/>
          <w:color w:val="auto"/>
        </w:rPr>
      </w:pPr>
    </w:p>
    <w:p>
      <w:pPr>
        <w:ind w:left="976" w:hanging="544"/>
        <w:spacing w:after="0"/>
        <w:tabs>
          <w:tab w:leader="none" w:pos="976" w:val="left"/>
        </w:tabs>
        <w:numPr>
          <w:ilvl w:val="1"/>
          <w:numId w:val="392"/>
        </w:numPr>
        <w:rPr>
          <w:rFonts w:ascii="Arial" w:cs="Arial" w:eastAsia="Arial" w:hAnsi="Arial"/>
          <w:sz w:val="17"/>
          <w:szCs w:val="17"/>
          <w:b w:val="1"/>
          <w:bCs w:val="1"/>
          <w:color w:val="auto"/>
        </w:rPr>
      </w:pPr>
      <w:r>
        <w:rPr>
          <w:rFonts w:ascii="Arial" w:cs="Arial" w:eastAsia="Arial" w:hAnsi="Arial"/>
          <w:sz w:val="17"/>
          <w:szCs w:val="17"/>
          <w:color w:val="auto"/>
        </w:rPr>
        <w:t>Reynolds Products will remain at all times free and clear of all liens, encumbrances and claims arising by, through or under Pactiv.</w:t>
      </w:r>
    </w:p>
    <w:p>
      <w:pPr>
        <w:spacing w:after="0" w:line="142" w:lineRule="exact"/>
        <w:rPr>
          <w:rFonts w:ascii="Arial" w:cs="Arial" w:eastAsia="Arial" w:hAnsi="Arial"/>
          <w:sz w:val="17"/>
          <w:szCs w:val="17"/>
          <w:b w:val="1"/>
          <w:bCs w:val="1"/>
          <w:color w:val="auto"/>
        </w:rPr>
      </w:pPr>
    </w:p>
    <w:p>
      <w:pPr>
        <w:ind w:left="976" w:right="340" w:hanging="544"/>
        <w:spacing w:after="0" w:line="277" w:lineRule="auto"/>
        <w:tabs>
          <w:tab w:leader="none" w:pos="976" w:val="left"/>
        </w:tabs>
        <w:numPr>
          <w:ilvl w:val="1"/>
          <w:numId w:val="392"/>
        </w:numPr>
        <w:rPr>
          <w:rFonts w:ascii="Arial" w:cs="Arial" w:eastAsia="Arial" w:hAnsi="Arial"/>
          <w:sz w:val="18"/>
          <w:szCs w:val="18"/>
          <w:b w:val="1"/>
          <w:bCs w:val="1"/>
          <w:color w:val="auto"/>
        </w:rPr>
      </w:pPr>
      <w:r>
        <w:rPr>
          <w:rFonts w:ascii="Arial" w:cs="Arial" w:eastAsia="Arial" w:hAnsi="Arial"/>
          <w:sz w:val="18"/>
          <w:szCs w:val="18"/>
          <w:color w:val="auto"/>
        </w:rPr>
        <w:t>Services will be performed in a manner which do not infringe on any patent, trademark, copyright, trade secret or other the intellectual property of any third-party registered or otherwise recognized and enforceable under Applicable Laws.</w:t>
      </w:r>
    </w:p>
    <w:p>
      <w:pPr>
        <w:spacing w:after="0" w:line="62" w:lineRule="exact"/>
        <w:rPr>
          <w:sz w:val="20"/>
          <w:szCs w:val="20"/>
          <w:color w:val="auto"/>
        </w:rPr>
      </w:pPr>
    </w:p>
    <w:p>
      <w:pPr>
        <w:ind w:left="436"/>
        <w:spacing w:after="0" w:line="255" w:lineRule="auto"/>
        <w:rPr>
          <w:sz w:val="20"/>
          <w:szCs w:val="20"/>
          <w:color w:val="auto"/>
        </w:rPr>
      </w:pPr>
      <w:r>
        <w:rPr>
          <w:rFonts w:ascii="Arial" w:cs="Arial" w:eastAsia="Arial" w:hAnsi="Arial"/>
          <w:sz w:val="18"/>
          <w:szCs w:val="18"/>
          <w:color w:val="auto"/>
        </w:rPr>
        <w:t>If Pactiv receives without rejecting a Reynolds Product but fails to deliver it to Reynolds or a party shipping products for Reynolds, a Reynolds customer, or a Carrier in conformance with these representations, warranties and covenants, the sole remedy of Reynolds for the breach of this Agreement will be to: (1) obtain reimbursement from Pactiv for the actual out of pocket cost to Reynolds of the non-conforming Reynolds Product, except for Excluded Loss or Damage, by notifying Pactiv within thirty (30) days from when Reynolds had or reasonably should have had actual knowledge of the loss, but in no event more than one year after the loss; and (2) obtain indemnification from Pactiv for any Indemnified Claim arising from or related to the breach as provided in the next Section.</w:t>
      </w:r>
    </w:p>
    <w:p>
      <w:pPr>
        <w:spacing w:after="0" w:line="200" w:lineRule="exact"/>
        <w:rPr>
          <w:sz w:val="20"/>
          <w:szCs w:val="20"/>
          <w:color w:val="auto"/>
        </w:rPr>
      </w:pPr>
    </w:p>
    <w:p>
      <w:pPr>
        <w:spacing w:after="0" w:line="20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VI. Indemnification</w:t>
      </w:r>
    </w:p>
    <w:p>
      <w:pPr>
        <w:spacing w:after="0" w:line="256" w:lineRule="exact"/>
        <w:rPr>
          <w:sz w:val="20"/>
          <w:szCs w:val="20"/>
          <w:color w:val="auto"/>
        </w:rPr>
      </w:pPr>
    </w:p>
    <w:p>
      <w:pPr>
        <w:ind w:left="436" w:right="60" w:hanging="436"/>
        <w:spacing w:after="0" w:line="284" w:lineRule="auto"/>
        <w:tabs>
          <w:tab w:leader="none" w:pos="436" w:val="left"/>
        </w:tabs>
        <w:numPr>
          <w:ilvl w:val="0"/>
          <w:numId w:val="393"/>
        </w:numPr>
        <w:rPr>
          <w:rFonts w:ascii="Arial" w:cs="Arial" w:eastAsia="Arial" w:hAnsi="Arial"/>
          <w:sz w:val="16"/>
          <w:szCs w:val="16"/>
          <w:b w:val="1"/>
          <w:bCs w:val="1"/>
          <w:color w:val="auto"/>
        </w:rPr>
      </w:pPr>
      <w:r>
        <w:rPr>
          <w:rFonts w:ascii="Arial" w:cs="Arial" w:eastAsia="Arial" w:hAnsi="Arial"/>
          <w:sz w:val="16"/>
          <w:szCs w:val="16"/>
          <w:color w:val="auto"/>
        </w:rPr>
        <w:t>A claim that a Party (referred to at times in this Section as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is required to defend and indemnify the other Party (referred to at times in this Section as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under this Agreement is referred to at times in this Section as an “</w:t>
      </w:r>
      <w:r>
        <w:rPr>
          <w:rFonts w:ascii="Arial" w:cs="Arial" w:eastAsia="Arial" w:hAnsi="Arial"/>
          <w:sz w:val="16"/>
          <w:szCs w:val="16"/>
          <w:u w:val="single" w:color="auto"/>
          <w:color w:val="auto"/>
        </w:rPr>
        <w:t>Indemnified Claim</w:t>
      </w:r>
      <w:r>
        <w:rPr>
          <w:rFonts w:ascii="Arial" w:cs="Arial" w:eastAsia="Arial" w:hAnsi="Arial"/>
          <w:sz w:val="16"/>
          <w:szCs w:val="16"/>
          <w:color w:val="auto"/>
        </w:rPr>
        <w:t>”. Defense and indemnification under this Section will include, without limitation, (1) paying or reimbursing the actual, reasonable, substantiated out-of-pocket expenses incurred in connection with the investigation, defense and settlement of any civil, criminal or administrative action, suit, arbitration, mediation, hearing, audit, investigation or other proceeding threatened or commenced against an Indemnified Party on an Indemnified Claim (e.g., fees and expenses of attorneys, accountants, auditors, investigators, consulting experts, testifying experts and other consultants; fees and expenses of an arbitrator or mediator; filing fees and costs imposed by any court, administrative agency or other tribunal; etc.), and</w:t>
      </w:r>
    </w:p>
    <w:p>
      <w:pPr>
        <w:spacing w:after="0" w:line="2" w:lineRule="exact"/>
        <w:rPr>
          <w:rFonts w:ascii="Arial" w:cs="Arial" w:eastAsia="Arial" w:hAnsi="Arial"/>
          <w:sz w:val="16"/>
          <w:szCs w:val="16"/>
          <w:b w:val="1"/>
          <w:bCs w:val="1"/>
          <w:color w:val="auto"/>
        </w:rPr>
      </w:pPr>
    </w:p>
    <w:p>
      <w:pPr>
        <w:ind w:left="436" w:right="460" w:hanging="4"/>
        <w:spacing w:after="0" w:line="261" w:lineRule="auto"/>
        <w:tabs>
          <w:tab w:leader="none" w:pos="691"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satisfying any judgment, award, order, lien, levy, fine, penalty or other sanction imposed against an Indemnified Party on an Indemnified Claim.</w:t>
      </w:r>
    </w:p>
    <w:p>
      <w:pPr>
        <w:spacing w:after="0" w:line="210" w:lineRule="exact"/>
        <w:rPr>
          <w:rFonts w:ascii="Arial" w:cs="Arial" w:eastAsia="Arial" w:hAnsi="Arial"/>
          <w:sz w:val="18"/>
          <w:szCs w:val="18"/>
          <w:color w:val="auto"/>
        </w:rPr>
      </w:pPr>
    </w:p>
    <w:p>
      <w:pPr>
        <w:ind w:left="436" w:hanging="436"/>
        <w:spacing w:after="0" w:line="285" w:lineRule="auto"/>
        <w:tabs>
          <w:tab w:leader="none" w:pos="436" w:val="left"/>
        </w:tabs>
        <w:numPr>
          <w:ilvl w:val="0"/>
          <w:numId w:val="393"/>
        </w:numPr>
        <w:rPr>
          <w:rFonts w:ascii="Arial" w:cs="Arial" w:eastAsia="Arial" w:hAnsi="Arial"/>
          <w:sz w:val="16"/>
          <w:szCs w:val="16"/>
          <w:b w:val="1"/>
          <w:bCs w:val="1"/>
          <w:color w:val="auto"/>
        </w:rPr>
      </w:pPr>
      <w:r>
        <w:rPr>
          <w:rFonts w:ascii="Arial" w:cs="Arial" w:eastAsia="Arial" w:hAnsi="Arial"/>
          <w:sz w:val="16"/>
          <w:szCs w:val="16"/>
          <w:color w:val="auto"/>
        </w:rPr>
        <w:t>Pactiv will defend and indemnify Reynolds against: (1) any third-party claim for personal injury, damage to tangible property or other loss to the extent caused by any actual or alleged breach of this Agreement by Pactiv in receiving, storing or delivering Reynolds Products at a Warehouse under this Agreement or in the performance of any other obligation of Pactiv under this Agreement; (2) any third-party claim for personal injury, damage to tangible property or other loss to the extent caused by any actual or alleged negligence or other legally culpable misconduct of Pactiv in receiving, storing or delivering Reynolds Products at a Warehouse or in the performance of any other obligation of Pactiv under this Agreement;</w:t>
      </w:r>
    </w:p>
    <w:p>
      <w:pPr>
        <w:spacing w:after="0" w:line="2" w:lineRule="exact"/>
        <w:rPr>
          <w:rFonts w:ascii="Arial" w:cs="Arial" w:eastAsia="Arial" w:hAnsi="Arial"/>
          <w:sz w:val="16"/>
          <w:szCs w:val="16"/>
          <w:b w:val="1"/>
          <w:bCs w:val="1"/>
          <w:color w:val="auto"/>
        </w:rPr>
      </w:pPr>
    </w:p>
    <w:p>
      <w:pPr>
        <w:ind w:left="696" w:hanging="264"/>
        <w:spacing w:after="0"/>
        <w:tabs>
          <w:tab w:leader="none" w:pos="69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third-party claim for actual or alleged infringement by Pactiv in performing the Services under this Agreement (except to</w:t>
      </w:r>
    </w:p>
    <w:p>
      <w:pPr>
        <w:spacing w:after="0" w:line="13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7 of 17</w:t>
      </w:r>
    </w:p>
    <w:p>
      <w:pPr>
        <w:sectPr>
          <w:pgSz w:w="11900" w:h="16838" w:orient="portrait"/>
          <w:cols w:equalWidth="0" w:num="1">
            <w:col w:w="10996"/>
          </w:cols>
          <w:pgMar w:left="444" w:top="269" w:right="459" w:bottom="1440" w:gutter="0" w:footer="0" w:header="0"/>
        </w:sectPr>
      </w:pPr>
    </w:p>
    <w:bookmarkStart w:id="464" w:name="page465"/>
    <w:bookmarkEnd w:id="464"/>
    <w:p>
      <w:pPr>
        <w:ind w:left="43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the infringement relates to a Reynolds Product or its packaging or is based on intellectual property that that Reynolds has represented and warranted to Pactiv that Reynolds owns and that Reynolds has licensed to Pactiv and that Pactiv has used in compliance with the license terms in performing the Services under this Agreement); (4) the threat or imposition of any fine, penalty or other sanction by a governmental authority on Reynolds to the extent caused by any actual or alleged violation by Pactiv of Applicable Laws; or (5) any actual or alleged claim for compensation or other payment of a Pactiv employee, agent or vendor for goods and services furnished in connection with Pactiv receiving, storing or delivering Reynolds Products at a Warehouse under this Agreement.</w:t>
      </w:r>
    </w:p>
    <w:p>
      <w:pPr>
        <w:spacing w:after="0" w:line="84" w:lineRule="exact"/>
        <w:rPr>
          <w:sz w:val="20"/>
          <w:szCs w:val="20"/>
          <w:color w:val="auto"/>
        </w:rPr>
      </w:pPr>
    </w:p>
    <w:p>
      <w:pPr>
        <w:ind w:left="436" w:right="20" w:hanging="436"/>
        <w:spacing w:after="0" w:line="285" w:lineRule="auto"/>
        <w:tabs>
          <w:tab w:leader="none" w:pos="436" w:val="left"/>
        </w:tabs>
        <w:numPr>
          <w:ilvl w:val="0"/>
          <w:numId w:val="395"/>
        </w:numPr>
        <w:rPr>
          <w:rFonts w:ascii="Arial" w:cs="Arial" w:eastAsia="Arial" w:hAnsi="Arial"/>
          <w:sz w:val="16"/>
          <w:szCs w:val="16"/>
          <w:b w:val="1"/>
          <w:bCs w:val="1"/>
          <w:color w:val="auto"/>
        </w:rPr>
      </w:pPr>
      <w:r>
        <w:rPr>
          <w:rFonts w:ascii="Arial" w:cs="Arial" w:eastAsia="Arial" w:hAnsi="Arial"/>
          <w:sz w:val="16"/>
          <w:szCs w:val="16"/>
          <w:color w:val="auto"/>
        </w:rPr>
        <w:t>Reynolds will defend and indemnify Pactiv against: (1) any third-party claim for personal injury, damage to tangible property or other loss to the extent caused by any actual or alleged breach of this Agreement by Reynolds in receiving, storing or delivering Reynolds Products at a Warehouse under this Agreement or in the performance of any other obligation of Reynolds under this Agreement; (2) any third-party claim for personal injury, damage to tangible property or other loss to the extent caused by any actual or alleged negligence or other legally culpable misconduct of Reynolds in receiving, storing or delivering Reynolds Products at a Warehouse under this Agreement or in the performance of any other obligation of Reynolds under this Agreement; (3) any third-party claim for personal injury, damage to tangible property, or other loss to the extent related the design, manufacture, storage, sale, delivery or use of a Reynolds Product by any person; (4) any third-party claim for actual or alleged infringement by Pactiv in performing the Services under this Agreement (except to the extent that the infringement relates to a Reynolds Product or its packaging or is based on intellectual property that that Reynolds has represented and warranted to Pactiv that Reynolds owns and that Reynolds has licensed to Pactiv and that Pactiv has used in compliance with the license terms in performing the Services under this Agreement); or delivery by Pactiv under this Agreement or in the performance of any other obligation of Pactiv under this Agreement to the extent based on intellectual property that Reynolds has represented and warranted to Pactiv that Reynolds owns and that Reynolds has licensed to Pactiv and that Pactiv has used in compliance with the license term in supplying the product; (4) the threat or imposition of any fine, penalty or other sanction by governmental authority on Pactiv to the extent caused by any actual or alleged violation by Reynolds of Applicable Laws; or (5) any actual or alleged claim or ownership, custody or compensation or other payment by a Reynolds employee, agent, customer, supplier or creditor or any unrelated third-party for Reynolds Products received, stored and delivered at a Warehouse under this Agreement.</w:t>
      </w:r>
    </w:p>
    <w:p>
      <w:pPr>
        <w:spacing w:after="0" w:line="83" w:lineRule="exact"/>
        <w:rPr>
          <w:rFonts w:ascii="Arial" w:cs="Arial" w:eastAsia="Arial" w:hAnsi="Arial"/>
          <w:sz w:val="16"/>
          <w:szCs w:val="16"/>
          <w:b w:val="1"/>
          <w:bCs w:val="1"/>
          <w:color w:val="auto"/>
        </w:rPr>
      </w:pPr>
    </w:p>
    <w:p>
      <w:pPr>
        <w:ind w:left="436" w:hanging="436"/>
        <w:spacing w:after="0"/>
        <w:tabs>
          <w:tab w:leader="none" w:pos="436"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As a condition of receiving defense and indemnification under this Section for an Indemnified Claim, the Indemnified Party must:</w:t>
      </w:r>
    </w:p>
    <w:p>
      <w:pPr>
        <w:spacing w:after="0" w:line="130" w:lineRule="exact"/>
        <w:rPr>
          <w:rFonts w:ascii="Arial" w:cs="Arial" w:eastAsia="Arial" w:hAnsi="Arial"/>
          <w:sz w:val="18"/>
          <w:szCs w:val="18"/>
          <w:b w:val="1"/>
          <w:bCs w:val="1"/>
          <w:color w:val="auto"/>
        </w:rPr>
      </w:pPr>
    </w:p>
    <w:p>
      <w:pPr>
        <w:ind w:left="976" w:right="600" w:hanging="544"/>
        <w:spacing w:after="0" w:line="277" w:lineRule="auto"/>
        <w:tabs>
          <w:tab w:leader="none" w:pos="976"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notify and tender the defense of an Indemnified Claim to the Indemnifying Party promptly after the Indemnified Party learns of the Indemnified Claim; and</w:t>
      </w:r>
    </w:p>
    <w:p>
      <w:pPr>
        <w:spacing w:after="0" w:line="75" w:lineRule="exact"/>
        <w:rPr>
          <w:rFonts w:ascii="Arial" w:cs="Arial" w:eastAsia="Arial" w:hAnsi="Arial"/>
          <w:sz w:val="18"/>
          <w:szCs w:val="18"/>
          <w:b w:val="1"/>
          <w:bCs w:val="1"/>
          <w:color w:val="auto"/>
        </w:rPr>
      </w:pPr>
    </w:p>
    <w:p>
      <w:pPr>
        <w:ind w:left="976" w:right="20" w:hanging="544"/>
        <w:spacing w:after="0" w:line="264" w:lineRule="auto"/>
        <w:tabs>
          <w:tab w:leader="none" w:pos="976"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provide information and cooperation reasonably requested by the Indemnifying Party in the investigation, defense, settlement and satisfaction of the Indemnified Claim. An Indemnifying Party will reimburse the Indemnified Party of any reasonable, actual, substantiated out-of-pocket expense incurred in providing the requested information or cooperation.</w:t>
      </w:r>
    </w:p>
    <w:p>
      <w:pPr>
        <w:spacing w:after="0" w:line="86" w:lineRule="exact"/>
        <w:rPr>
          <w:rFonts w:ascii="Arial" w:cs="Arial" w:eastAsia="Arial" w:hAnsi="Arial"/>
          <w:sz w:val="18"/>
          <w:szCs w:val="18"/>
          <w:b w:val="1"/>
          <w:bCs w:val="1"/>
          <w:color w:val="auto"/>
        </w:rPr>
      </w:pPr>
    </w:p>
    <w:p>
      <w:pPr>
        <w:ind w:left="436" w:hanging="436"/>
        <w:spacing w:after="0"/>
        <w:tabs>
          <w:tab w:leader="none" w:pos="436" w:val="left"/>
        </w:tabs>
        <w:numPr>
          <w:ilvl w:val="0"/>
          <w:numId w:val="395"/>
        </w:numPr>
        <w:rPr>
          <w:rFonts w:ascii="Arial" w:cs="Arial" w:eastAsia="Arial" w:hAnsi="Arial"/>
          <w:sz w:val="17"/>
          <w:szCs w:val="17"/>
          <w:b w:val="1"/>
          <w:bCs w:val="1"/>
          <w:color w:val="auto"/>
        </w:rPr>
      </w:pPr>
      <w:r>
        <w:rPr>
          <w:rFonts w:ascii="Arial" w:cs="Arial" w:eastAsia="Arial" w:hAnsi="Arial"/>
          <w:sz w:val="17"/>
          <w:szCs w:val="17"/>
          <w:color w:val="auto"/>
        </w:rPr>
        <w:t>If the Indemnifying Party accepts the tender of defense of an Indemnified Claim, with or without reservation, the Indemnifying Party will:</w:t>
      </w:r>
    </w:p>
    <w:p>
      <w:pPr>
        <w:spacing w:after="0" w:line="142" w:lineRule="exact"/>
        <w:rPr>
          <w:rFonts w:ascii="Arial" w:cs="Arial" w:eastAsia="Arial" w:hAnsi="Arial"/>
          <w:sz w:val="17"/>
          <w:szCs w:val="17"/>
          <w:b w:val="1"/>
          <w:bCs w:val="1"/>
          <w:color w:val="auto"/>
        </w:rPr>
      </w:pPr>
    </w:p>
    <w:p>
      <w:pPr>
        <w:ind w:left="976" w:hanging="544"/>
        <w:spacing w:after="0"/>
        <w:tabs>
          <w:tab w:leader="none" w:pos="976"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promptly notify the Indemnified Party of the acceptance of the tender of defense of the Indemnified Claim.</w:t>
      </w:r>
    </w:p>
    <w:p>
      <w:pPr>
        <w:spacing w:after="0" w:line="130" w:lineRule="exact"/>
        <w:rPr>
          <w:rFonts w:ascii="Arial" w:cs="Arial" w:eastAsia="Arial" w:hAnsi="Arial"/>
          <w:sz w:val="18"/>
          <w:szCs w:val="18"/>
          <w:b w:val="1"/>
          <w:bCs w:val="1"/>
          <w:color w:val="auto"/>
        </w:rPr>
      </w:pPr>
    </w:p>
    <w:p>
      <w:pPr>
        <w:ind w:left="976" w:right="100" w:hanging="544"/>
        <w:spacing w:after="0" w:line="259" w:lineRule="auto"/>
        <w:tabs>
          <w:tab w:leader="none" w:pos="976"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control the investigation, defense, settlement and satisfaction of the Indemnified Claim, including, without limitation, the selection of licensed, qualified and reputable attorneys, expert witnesses and other consultants and all decisions over settlement and litigation strategy. The Indemnifying Party must act in good faith in exercising control over the investigation, defense, settlement and satisfaction of the Indemnified Claim.</w:t>
      </w:r>
    </w:p>
    <w:p>
      <w:pPr>
        <w:spacing w:after="0" w:line="11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8 of 17</w:t>
      </w:r>
    </w:p>
    <w:p>
      <w:pPr>
        <w:sectPr>
          <w:pgSz w:w="11900" w:h="16838" w:orient="portrait"/>
          <w:cols w:equalWidth="0" w:num="1">
            <w:col w:w="11016"/>
          </w:cols>
          <w:pgMar w:left="444" w:top="274" w:right="439" w:bottom="1440" w:gutter="0" w:footer="0" w:header="0"/>
        </w:sectPr>
      </w:pPr>
    </w:p>
    <w:bookmarkStart w:id="465" w:name="page466"/>
    <w:bookmarkEnd w:id="465"/>
    <w:p>
      <w:pPr>
        <w:ind w:left="976" w:right="120" w:hanging="544"/>
        <w:spacing w:after="0" w:line="277" w:lineRule="auto"/>
        <w:tabs>
          <w:tab w:leader="none" w:pos="976" w:val="left"/>
        </w:tabs>
        <w:numPr>
          <w:ilvl w:val="1"/>
          <w:numId w:val="3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information reasonably requested by the Indemnified Party regarding the investigation, defense, settlement and satisfaction of the Indemnified Claim</w:t>
      </w:r>
    </w:p>
    <w:p>
      <w:pPr>
        <w:spacing w:after="0" w:line="75" w:lineRule="exact"/>
        <w:rPr>
          <w:rFonts w:ascii="Arial" w:cs="Arial" w:eastAsia="Arial" w:hAnsi="Arial"/>
          <w:sz w:val="18"/>
          <w:szCs w:val="18"/>
          <w:b w:val="1"/>
          <w:bCs w:val="1"/>
          <w:color w:val="auto"/>
        </w:rPr>
      </w:pPr>
    </w:p>
    <w:p>
      <w:pPr>
        <w:ind w:left="436" w:hanging="436"/>
        <w:spacing w:after="0" w:line="288" w:lineRule="auto"/>
        <w:tabs>
          <w:tab w:leader="none" w:pos="436" w:val="left"/>
        </w:tabs>
        <w:numPr>
          <w:ilvl w:val="0"/>
          <w:numId w:val="397"/>
        </w:numPr>
        <w:rPr>
          <w:rFonts w:ascii="Arial" w:cs="Arial" w:eastAsia="Arial" w:hAnsi="Arial"/>
          <w:sz w:val="16"/>
          <w:szCs w:val="16"/>
          <w:b w:val="1"/>
          <w:bCs w:val="1"/>
          <w:color w:val="auto"/>
        </w:rPr>
      </w:pPr>
      <w:r>
        <w:rPr>
          <w:rFonts w:ascii="Arial" w:cs="Arial" w:eastAsia="Arial" w:hAnsi="Arial"/>
          <w:sz w:val="16"/>
          <w:szCs w:val="16"/>
          <w:color w:val="auto"/>
        </w:rPr>
        <w:t>An Indemnifying Party, acting in good faith, may elect to settle an Indemnified Claim for which it is responsible under this Agreement involving infringement on the intellectual property of a third-party by: (1) obtaining a license from the third-party allowing the required use of its intellectual property; (2) modifying a product, equipment or process in a manner which avoids infringing on the intellectual property of the third-party; or</w:t>
      </w:r>
    </w:p>
    <w:p>
      <w:pPr>
        <w:ind w:left="436" w:right="680" w:hanging="4"/>
        <w:spacing w:after="0" w:line="261" w:lineRule="auto"/>
        <w:tabs>
          <w:tab w:leader="none" w:pos="691" w:val="left"/>
        </w:tabs>
        <w:numPr>
          <w:ilvl w:val="1"/>
          <w:numId w:val="397"/>
        </w:numPr>
        <w:rPr>
          <w:rFonts w:ascii="Arial" w:cs="Arial" w:eastAsia="Arial" w:hAnsi="Arial"/>
          <w:sz w:val="18"/>
          <w:szCs w:val="18"/>
          <w:color w:val="auto"/>
        </w:rPr>
      </w:pPr>
      <w:r>
        <w:rPr>
          <w:rFonts w:ascii="Arial" w:cs="Arial" w:eastAsia="Arial" w:hAnsi="Arial"/>
          <w:sz w:val="18"/>
          <w:szCs w:val="18"/>
          <w:color w:val="auto"/>
        </w:rPr>
        <w:t>voluntarily withdrawing the infringing product from the market and either refunding the amount paid by the Indemnified Party for the infringing product or replacing the infringing product with a non-infringing product.</w:t>
      </w:r>
    </w:p>
    <w:p>
      <w:pPr>
        <w:spacing w:after="0" w:line="89" w:lineRule="exact"/>
        <w:rPr>
          <w:rFonts w:ascii="Arial" w:cs="Arial" w:eastAsia="Arial" w:hAnsi="Arial"/>
          <w:sz w:val="18"/>
          <w:szCs w:val="18"/>
          <w:color w:val="auto"/>
        </w:rPr>
      </w:pPr>
    </w:p>
    <w:p>
      <w:pPr>
        <w:ind w:left="436" w:right="20" w:hanging="436"/>
        <w:spacing w:after="0" w:line="270" w:lineRule="auto"/>
        <w:tabs>
          <w:tab w:leader="none" w:pos="436" w:val="left"/>
        </w:tabs>
        <w:numPr>
          <w:ilvl w:val="0"/>
          <w:numId w:val="397"/>
        </w:numPr>
        <w:rPr>
          <w:rFonts w:ascii="Arial" w:cs="Arial" w:eastAsia="Arial" w:hAnsi="Arial"/>
          <w:sz w:val="17"/>
          <w:szCs w:val="17"/>
          <w:b w:val="1"/>
          <w:bCs w:val="1"/>
          <w:color w:val="auto"/>
        </w:rPr>
      </w:pPr>
      <w:r>
        <w:rPr>
          <w:rFonts w:ascii="Arial" w:cs="Arial" w:eastAsia="Arial" w:hAnsi="Arial"/>
          <w:sz w:val="17"/>
          <w:szCs w:val="17"/>
          <w:color w:val="auto"/>
        </w:rPr>
        <w:t>The Parties may disagree on whether a claim is an Indemnified Claim under this Agreement, which Party should be considered the Indemnifying Party and Indemnified Party for an Indemnified Claim or whether each Party is solely or partially liable for an Indemnified Claim and whether and how liability for an Indemnified Claim should be allocated between them. In these and other circumstances in which an actual or potential conflict of interest exists or arises between the Parties with regards to an alleged or agreed upon Indemnified Claim that would preclude their joint representation by a single defense counsel, the Parties will endeavor in good faith to attempt to resolve the conflict. If the Parties are able to resolve the actual or potential conflict of interest, the Parties will memorialize the agreed upon resolution in a written joint defense agreement signed by officers of each Party and their joint defense counsel. If the Parties are unable to resolve the actual or potential conflict of interest, each Party will independently and separately investigate, defend, settle and satisfy the claim subject to their right to pursue payment or reimbursement for costs incurred in doing so from the other Party as provided in this Agreement.</w:t>
      </w:r>
    </w:p>
    <w:p>
      <w:pPr>
        <w:spacing w:after="0" w:line="394"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VII. Insurance</w:t>
      </w:r>
    </w:p>
    <w:p>
      <w:pPr>
        <w:spacing w:after="0" w:line="229" w:lineRule="exact"/>
        <w:rPr>
          <w:sz w:val="20"/>
          <w:szCs w:val="20"/>
          <w:color w:val="auto"/>
        </w:rPr>
      </w:pPr>
    </w:p>
    <w:p>
      <w:pPr>
        <w:ind w:left="436" w:right="180"/>
        <w:spacing w:after="0" w:line="264" w:lineRule="auto"/>
        <w:rPr>
          <w:sz w:val="20"/>
          <w:szCs w:val="20"/>
          <w:color w:val="auto"/>
        </w:rPr>
      </w:pPr>
      <w:r>
        <w:rPr>
          <w:rFonts w:ascii="Arial" w:cs="Arial" w:eastAsia="Arial" w:hAnsi="Arial"/>
          <w:sz w:val="18"/>
          <w:szCs w:val="18"/>
          <w:color w:val="auto"/>
        </w:rPr>
        <w:t xml:space="preserve">During the Term of this Agreement, each Party will maintain the minimum types and amounts of insurance set forth in the schedule appended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of this Agreement. By way of confirmation, Reynolds, at its expense, will maintain the “all risk” property insurance required under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on all Reynolds Products received, stored and delivered at the Warehouses,</w:t>
      </w:r>
    </w:p>
    <w:p>
      <w:pPr>
        <w:spacing w:after="0" w:line="39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VIII. Limitations on Liability</w:t>
      </w:r>
    </w:p>
    <w:p>
      <w:pPr>
        <w:spacing w:after="0" w:line="256" w:lineRule="exact"/>
        <w:rPr>
          <w:sz w:val="20"/>
          <w:szCs w:val="20"/>
          <w:color w:val="auto"/>
        </w:rPr>
      </w:pPr>
    </w:p>
    <w:p>
      <w:pPr>
        <w:ind w:left="436" w:hanging="436"/>
        <w:spacing w:after="0" w:line="268" w:lineRule="auto"/>
        <w:tabs>
          <w:tab w:leader="none" w:pos="436" w:val="left"/>
        </w:tabs>
        <w:numPr>
          <w:ilvl w:val="0"/>
          <w:numId w:val="3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Disclaimer of Representations and Warranties</w:t>
      </w:r>
      <w:r>
        <w:rPr>
          <w:rFonts w:ascii="Arial" w:cs="Arial" w:eastAsia="Arial" w:hAnsi="Arial"/>
          <w:sz w:val="17"/>
          <w:szCs w:val="17"/>
          <w:color w:val="auto"/>
        </w:rPr>
        <w:t>. Each Party: (1) disclaims all representations and warranties regarding its products,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supplied information or business, whether oral or written, express or implied, arising by operation of law or otherwise, including, without limitation, the implied warranty of merchantability and the implied warranty of fitness for a particular purpose, other than those express representations and warranties of the Party in this Agreement; (2) acknowledges that the Party has not relied on, and will not rely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and (3) waives any claim that the Party may have based, in whole or in part,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Notwithstanding the foregoing, a Party is entitled to rely on (i) the descriptive information in transaction documents issued by either Party in the ordinary course of business during the Term identifying the Reynolds Products (e.g., the type and quantity of Reynolds Products being received, stored or delivered at a Warehouse under this Agreement and the scheduled delivery date and location) and (ii) FDA guaranty letters, material safety data sheets and other similar written assurances issued by Reynolds on its standard forms to Pactiv and other U.S. customers in the ordinance course of business during the Term certifying that a Reynolds Product complies with Applicable Laws and providing any information on the Reynolds Product required under Applicable Laws.</w:t>
      </w:r>
    </w:p>
    <w:p>
      <w:pPr>
        <w:spacing w:after="0" w:line="112"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9 of 17</w:t>
      </w:r>
    </w:p>
    <w:p>
      <w:pPr>
        <w:sectPr>
          <w:pgSz w:w="11900" w:h="16838" w:orient="portrait"/>
          <w:cols w:equalWidth="0" w:num="1">
            <w:col w:w="11016"/>
          </w:cols>
          <w:pgMar w:left="444" w:top="274" w:right="439" w:bottom="1440" w:gutter="0" w:footer="0" w:header="0"/>
        </w:sectPr>
      </w:pPr>
    </w:p>
    <w:bookmarkStart w:id="466" w:name="page467"/>
    <w:bookmarkEnd w:id="466"/>
    <w:p>
      <w:pPr>
        <w:ind w:left="440" w:right="20" w:hanging="436"/>
        <w:spacing w:after="0" w:line="289" w:lineRule="auto"/>
        <w:tabs>
          <w:tab w:leader="none" w:pos="440"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Exclusion of Indirect Damages. </w:t>
      </w:r>
      <w:r>
        <w:rPr>
          <w:rFonts w:ascii="Arial" w:cs="Arial" w:eastAsia="Arial" w:hAnsi="Arial"/>
          <w:sz w:val="16"/>
          <w:szCs w:val="16"/>
          <w:color w:val="auto"/>
        </w:rPr>
        <w:t>A Party that breaches this Agreement will only be liable to the other Party for direct damages arising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breach. Each Party waives any right to recover consequential, incidental, indirect, exemplary, punitive or any other types of indirect damages from the other Party for a breach of this Agreement. Each Party waives any right to recover damages or loss from the other Party arising from or related to this Agreement to the extent the damage or loss incurred by the Party is required to be covered by the insurance of such Party under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or to the extent the damage or loss is actually covered by the insurance of such Party. Notwithstanding the preceding sentence, this Subsection will not limit the liability of a Party for any amount or type of damages for: (1) the defense and indemnification of an Indemnified Claim on which the Party is the Indemnifying Party; (2) infringement by the Party on the intellectual property of the other Party; (3) the unauthorized disclosure or use by the Party of the Confidential Information of the other Party; (4) payment or reimbursement of any amount expressly required to be paid or reimbursed by the Party under a provision of this Agreement; or (5) the intentional misconduct of the Party in violation of Applicable Laws.</w:t>
      </w:r>
    </w:p>
    <w:p>
      <w:pPr>
        <w:spacing w:after="0" w:line="72" w:lineRule="exact"/>
        <w:rPr>
          <w:rFonts w:ascii="Arial" w:cs="Arial" w:eastAsia="Arial" w:hAnsi="Arial"/>
          <w:sz w:val="16"/>
          <w:szCs w:val="16"/>
          <w:b w:val="1"/>
          <w:bCs w:val="1"/>
          <w:color w:val="auto"/>
        </w:rPr>
      </w:pPr>
    </w:p>
    <w:p>
      <w:pPr>
        <w:ind w:left="440" w:hanging="436"/>
        <w:spacing w:after="0" w:line="283" w:lineRule="auto"/>
        <w:tabs>
          <w:tab w:leader="none" w:pos="440"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A Party will not be considered in breach of this Agreement or liable to the other Party for any interruption or delay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under this Agreement to the extent caused by an event outside of the ability of the performing Party to foresee and avoid with the exercise of commercially reasonable efforts (such an event is referred to at times as an event of “</w:t>
      </w:r>
      <w:r>
        <w:rPr>
          <w:rFonts w:ascii="Arial" w:cs="Arial" w:eastAsia="Arial" w:hAnsi="Arial"/>
          <w:sz w:val="16"/>
          <w:szCs w:val="16"/>
          <w:u w:val="single" w:color="auto"/>
          <w:color w:val="auto"/>
        </w:rPr>
        <w:t>Force Majeure</w:t>
      </w:r>
      <w:r>
        <w:rPr>
          <w:rFonts w:ascii="Arial" w:cs="Arial" w:eastAsia="Arial" w:hAnsi="Arial"/>
          <w:sz w:val="16"/>
          <w:szCs w:val="16"/>
          <w:color w:val="auto"/>
        </w:rPr>
        <w:t>”). Examples of events of Force Majeure include, without limitation: natural disasters; war; acts of terrorism; government action; accident; strikes, slowdowns and other labor disputes; shortages in, or inability to obtain, transportation in required quantities or at commercially reasonable prices or rates; any breach, negligence, criminal misconduct or other act or omission of any third-party; or fire or other insured or uninsured casualty. A Party whose performance is interrupted or delayed by an event of Force Majeure will be excused from the interruption or delay in performance during the event of Force Majeure and for a commercially reasonable period of additional time after the event of Force Majeure that the Party needs to recover from the event of Force Majeure and restore performance. Notwithstanding the foregoing, a Party will only be excused for an interruption or delay in performance under this Subsection for an event of Force Majeure only if the Party: (1) promptly notifies the other Party of the event of Force Majeure and provides information regarding the event of Force Majeure, including its extent and likely duration, and the efforts undertaken by the Party to foresee and avoid interruption or delay in its performance before the occurrence of the event, to mitigate interruption or delay in performance during the event, and to recover from and restore performance following the event; and (2) the Party exercises commercially reasonable efforts to mitigate, recover from and restore performance following the event of Force Majeure. During, and while recovering from and restoring performance following, an event of Force Majeure, Pactiv will act in good faith in allocating its available storage capacity at a Warehouse to store Reynolds Products under this Agreement and any products of Pactiv and its other customers. If an event of Force Majeure interrupts or delays Pactiv from receiving, storing and delivering a Reynolds Product to Reynolds under this Agreement in the quantities and timetable required by Reynolds, Reynolds may cancel any unfilled service orders for the Reynolds Products and procure the required storage capacity for Reynolds Products from one or more other sources until Pactiv has recovered from and restored its ability to perform following the event of Force Majeure. If Pactiv is not able to provide the Base Storage Capacity or Additional Storage Capacity or other Services at a Warehouse because of an event of Force Majeure, Reynolds may enter into warehouse services agreements or make other arrangements to procure the required quantities of storage capacity for the Reynolds Products from one or more other sources for a duration and on terms acceptable to Reynolds in its good faith discretion. In such a circumstance, Reynolds may, but will not be obligated to, resume storing Reynolds Products at Warehouses under this Agreement after Pactiv has recovered from and restored its ability to perform following the event of Force Majeure. If the interruption or delay in the storage of a Reynolds Product at a Warehouse under this Agreement because of an event of Force Majeure has exceeded, or is reasonably likely to exceed, one hundred eighty (180) days, either Party may exclude the Warehouse from this Agreement by delivering written notice to the other Party in which event the Service Expiration Date of the Warehouse will be the date specified in the written notice. The temporary interruption in Service at a Warehouse, or the exclusion of a Warehouse from this Agreement, as a result of an event of Force Majeure will not reduce nor release Reynolds of its obligation to pay the Base Storage Fee on the Warehouse through the date of the Force Majeure event. For example, if a leased Warehouse is destroyed by fire or other casualty and the lessor elects to exercise a right to terminate the lease before it Service Expiration Date and releases Pactiv of its rights and obligations to operate the Warehouse and pay rent and expenses on the Warehouse, Reynolds will be released from its obligation to pay the Base Storage Fee on the Warehouse from and after the Force Majeure date. This Subsection will not excuse nor extend a deadline by which a Party must pay an amount owed under this Agreement or Applicable Laws or by which a Party must exercise any right or remedy under this Agreement or Applicable Laws.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10 of 17</w:t>
      </w:r>
    </w:p>
    <w:p>
      <w:pPr>
        <w:sectPr>
          <w:pgSz w:w="11900" w:h="16838" w:orient="portrait"/>
          <w:cols w:equalWidth="0" w:num="1">
            <w:col w:w="11020"/>
          </w:cols>
          <w:pgMar w:left="440" w:top="274" w:right="439" w:bottom="1440" w:gutter="0" w:footer="0" w:header="0"/>
        </w:sectPr>
      </w:pPr>
    </w:p>
    <w:bookmarkStart w:id="467" w:name="page468"/>
    <w:bookmarkEnd w:id="467"/>
    <w:p>
      <w:pPr>
        <w:jc w:val="center"/>
        <w:ind w:right="-3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IX. Confidential Information and Other Intellectual Property</w:t>
      </w:r>
    </w:p>
    <w:p>
      <w:pPr>
        <w:spacing w:after="0" w:line="256" w:lineRule="exact"/>
        <w:rPr>
          <w:sz w:val="20"/>
          <w:szCs w:val="20"/>
          <w:color w:val="auto"/>
        </w:rPr>
      </w:pPr>
    </w:p>
    <w:p>
      <w:pPr>
        <w:jc w:val="both"/>
        <w:ind w:left="436" w:right="20" w:hanging="436"/>
        <w:spacing w:after="0" w:line="279" w:lineRule="auto"/>
        <w:tabs>
          <w:tab w:leader="none" w:pos="436" w:val="left"/>
        </w:tabs>
        <w:numPr>
          <w:ilvl w:val="0"/>
          <w:numId w:val="400"/>
        </w:numPr>
        <w:rPr>
          <w:rFonts w:ascii="Arial" w:cs="Arial" w:eastAsia="Arial" w:hAnsi="Arial"/>
          <w:sz w:val="17"/>
          <w:szCs w:val="17"/>
          <w:b w:val="1"/>
          <w:bCs w:val="1"/>
          <w:color w:val="auto"/>
        </w:rPr>
      </w:pPr>
      <w:r>
        <w:rPr>
          <w:rFonts w:ascii="Arial" w:cs="Arial" w:eastAsia="Arial" w:hAnsi="Arial"/>
          <w:sz w:val="17"/>
          <w:szCs w:val="17"/>
          <w:color w:val="auto"/>
        </w:rPr>
        <w:t>The Parties anticipate exchanging Confidential Information (as defined in in the next Subsection) over the Term of this Agreement for the purpose of negotiating and entering into Purchase Schedules and amendments to this Agreement, transacting business with one another in accordance with this Agreement and exercising their rights and performing their obligations under this Agreement and Applicable Laws, accounting standards and securities exchange requirements (collectively referred to as the “</w:t>
      </w:r>
      <w:r>
        <w:rPr>
          <w:rFonts w:ascii="Arial" w:cs="Arial" w:eastAsia="Arial" w:hAnsi="Arial"/>
          <w:sz w:val="17"/>
          <w:szCs w:val="17"/>
          <w:u w:val="single" w:color="auto"/>
          <w:color w:val="auto"/>
        </w:rPr>
        <w:t>Authorized Purposes</w:t>
      </w:r>
      <w:r>
        <w:rPr>
          <w:rFonts w:ascii="Arial" w:cs="Arial" w:eastAsia="Arial" w:hAnsi="Arial"/>
          <w:sz w:val="17"/>
          <w:szCs w:val="17"/>
          <w:color w:val="auto"/>
        </w:rPr>
        <w:t>”).</w:t>
      </w:r>
    </w:p>
    <w:p>
      <w:pPr>
        <w:spacing w:after="0" w:line="76" w:lineRule="exact"/>
        <w:rPr>
          <w:rFonts w:ascii="Arial" w:cs="Arial" w:eastAsia="Arial" w:hAnsi="Arial"/>
          <w:sz w:val="17"/>
          <w:szCs w:val="17"/>
          <w:b w:val="1"/>
          <w:bCs w:val="1"/>
          <w:color w:val="auto"/>
        </w:rPr>
      </w:pPr>
    </w:p>
    <w:p>
      <w:pPr>
        <w:ind w:left="436" w:hanging="436"/>
        <w:spacing w:after="0"/>
        <w:tabs>
          <w:tab w:leader="none" w:pos="436"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The phrase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meeting all of the following criteria:</w:t>
      </w:r>
    </w:p>
    <w:p>
      <w:pPr>
        <w:spacing w:after="0" w:line="130" w:lineRule="exact"/>
        <w:rPr>
          <w:rFonts w:ascii="Arial" w:cs="Arial" w:eastAsia="Arial" w:hAnsi="Arial"/>
          <w:sz w:val="18"/>
          <w:szCs w:val="18"/>
          <w:b w:val="1"/>
          <w:bCs w:val="1"/>
          <w:color w:val="auto"/>
        </w:rPr>
      </w:pPr>
    </w:p>
    <w:p>
      <w:pPr>
        <w:ind w:left="976" w:right="60" w:hanging="544"/>
        <w:spacing w:after="0" w:line="277" w:lineRule="auto"/>
        <w:tabs>
          <w:tab w:leader="none" w:pos="976" w:val="left"/>
        </w:tabs>
        <w:numPr>
          <w:ilvl w:val="1"/>
          <w:numId w:val="400"/>
        </w:numPr>
        <w:rPr>
          <w:rFonts w:ascii="Arial" w:cs="Arial" w:eastAsia="Arial" w:hAnsi="Arial"/>
          <w:sz w:val="18"/>
          <w:szCs w:val="18"/>
          <w:b w:val="1"/>
          <w:bCs w:val="1"/>
          <w:color w:val="auto"/>
        </w:rPr>
      </w:pPr>
      <w:r>
        <w:rPr>
          <w:rFonts w:ascii="Arial" w:cs="Arial" w:eastAsia="Arial" w:hAnsi="Arial"/>
          <w:sz w:val="18"/>
          <w:szCs w:val="18"/>
          <w:color w:val="auto"/>
        </w:rPr>
        <w:t>The information is a trade secret or other non-public, proprietary information owned by a Party or its direct and indirect subsidiaries under Applicable Laws (this Party is referred to at times in this Section as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and</w:t>
      </w:r>
    </w:p>
    <w:p>
      <w:pPr>
        <w:spacing w:after="0" w:line="75" w:lineRule="exact"/>
        <w:rPr>
          <w:rFonts w:ascii="Arial" w:cs="Arial" w:eastAsia="Arial" w:hAnsi="Arial"/>
          <w:sz w:val="18"/>
          <w:szCs w:val="18"/>
          <w:b w:val="1"/>
          <w:bCs w:val="1"/>
          <w:color w:val="auto"/>
        </w:rPr>
      </w:pPr>
    </w:p>
    <w:p>
      <w:pPr>
        <w:ind w:left="976" w:right="160" w:hanging="544"/>
        <w:spacing w:after="0" w:line="342" w:lineRule="auto"/>
        <w:tabs>
          <w:tab w:leader="none" w:pos="976" w:val="left"/>
        </w:tabs>
        <w:numPr>
          <w:ilvl w:val="1"/>
          <w:numId w:val="400"/>
        </w:numPr>
        <w:rPr>
          <w:rFonts w:ascii="Arial" w:cs="Arial" w:eastAsia="Arial" w:hAnsi="Arial"/>
          <w:sz w:val="16"/>
          <w:szCs w:val="16"/>
          <w:b w:val="1"/>
          <w:bCs w:val="1"/>
          <w:color w:val="auto"/>
        </w:rPr>
      </w:pPr>
      <w:r>
        <w:rPr>
          <w:rFonts w:ascii="Arial" w:cs="Arial" w:eastAsia="Arial" w:hAnsi="Arial"/>
          <w:sz w:val="16"/>
          <w:szCs w:val="16"/>
          <w:color w:val="auto"/>
        </w:rPr>
        <w:t>The other Party (referred to at times in this Section as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requests such information from the Disclosing Party for the Authorized Purposes during the Term (i.e., neither Party wants </w:t>
      </w:r>
      <w:r>
        <w:rPr>
          <w:rFonts w:ascii="Arial" w:cs="Arial" w:eastAsia="Arial" w:hAnsi="Arial"/>
          <w:sz w:val="16"/>
          <w:szCs w:val="16"/>
          <w:i w:val="1"/>
          <w:iCs w:val="1"/>
          <w:color w:val="auto"/>
        </w:rPr>
        <w:t>unsolicited</w:t>
      </w:r>
      <w:r>
        <w:rPr>
          <w:rFonts w:ascii="Arial" w:cs="Arial" w:eastAsia="Arial" w:hAnsi="Arial"/>
          <w:sz w:val="16"/>
          <w:szCs w:val="16"/>
          <w:color w:val="auto"/>
        </w:rPr>
        <w:t xml:space="preserve"> Confidential Information from the other Party); and</w:t>
      </w:r>
    </w:p>
    <w:p>
      <w:pPr>
        <w:spacing w:after="0" w:line="29" w:lineRule="exact"/>
        <w:rPr>
          <w:rFonts w:ascii="Arial" w:cs="Arial" w:eastAsia="Arial" w:hAnsi="Arial"/>
          <w:sz w:val="16"/>
          <w:szCs w:val="16"/>
          <w:b w:val="1"/>
          <w:bCs w:val="1"/>
          <w:color w:val="auto"/>
        </w:rPr>
      </w:pPr>
    </w:p>
    <w:p>
      <w:pPr>
        <w:ind w:left="976" w:hanging="544"/>
        <w:spacing w:after="0" w:line="255" w:lineRule="auto"/>
        <w:tabs>
          <w:tab w:leader="none" w:pos="976" w:val="left"/>
        </w:tabs>
        <w:numPr>
          <w:ilvl w:val="1"/>
          <w:numId w:val="400"/>
        </w:numPr>
        <w:rPr>
          <w:rFonts w:ascii="Arial" w:cs="Arial" w:eastAsia="Arial" w:hAnsi="Arial"/>
          <w:sz w:val="18"/>
          <w:szCs w:val="18"/>
          <w:b w:val="1"/>
          <w:bCs w:val="1"/>
          <w:color w:val="auto"/>
        </w:rPr>
      </w:pPr>
      <w:r>
        <w:rPr>
          <w:rFonts w:ascii="Arial" w:cs="Arial" w:eastAsia="Arial" w:hAnsi="Arial"/>
          <w:sz w:val="18"/>
          <w:szCs w:val="18"/>
          <w:color w:val="auto"/>
        </w:rPr>
        <w:t>The Disclosing Party discloses such requested information to the Receiving Party during the Term either labelled as “Confidential” or words of similar intent, or describes the disclosed information in reasonable detail in a written notice to the Receiving Party delivered, either at the time of disclosure or within five (5) days of disclosure. If a Disclosing Party neglects to label or deliver timely written notice to the Receiving Party identifying the disclosed information as confidential in nature, the disclosed information will only be treated as Confidential Information under this Agreement if the Disclosing Party is able to demonstrate by clear and convincing evidence that the Receiving Party knew that the disclosed information was a trade secret or other non-public, proprietary information of the Disclosing Party at the time of disclosure.</w:t>
      </w:r>
    </w:p>
    <w:p>
      <w:pPr>
        <w:spacing w:after="0" w:line="81" w:lineRule="exact"/>
        <w:rPr>
          <w:rFonts w:ascii="Arial" w:cs="Arial" w:eastAsia="Arial" w:hAnsi="Arial"/>
          <w:sz w:val="18"/>
          <w:szCs w:val="18"/>
          <w:b w:val="1"/>
          <w:bCs w:val="1"/>
          <w:color w:val="auto"/>
        </w:rPr>
      </w:pPr>
    </w:p>
    <w:p>
      <w:pPr>
        <w:ind w:left="996"/>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criteria in Clause (2) and Clause (3) will not apply to Confidential Information of a Disclosing Party observed or heard by a Receiving Party in a plant, warehouse, facility or system of the Disclosing Party. The existence and terms of this Agreement, and the existence, nature and extent of the business relationship between the Parties, will be considered the Confidential Information of each Party.</w:t>
      </w:r>
    </w:p>
    <w:p>
      <w:pPr>
        <w:spacing w:after="0" w:line="52" w:lineRule="exact"/>
        <w:rPr>
          <w:rFonts w:ascii="Arial" w:cs="Arial" w:eastAsia="Arial" w:hAnsi="Arial"/>
          <w:sz w:val="18"/>
          <w:szCs w:val="18"/>
          <w:b w:val="1"/>
          <w:bCs w:val="1"/>
          <w:color w:val="auto"/>
        </w:rPr>
      </w:pPr>
    </w:p>
    <w:p>
      <w:pPr>
        <w:ind w:left="436" w:right="160" w:hanging="436"/>
        <w:spacing w:after="0" w:line="288" w:lineRule="auto"/>
        <w:tabs>
          <w:tab w:leader="none" w:pos="436" w:val="left"/>
        </w:tabs>
        <w:numPr>
          <w:ilvl w:val="0"/>
          <w:numId w:val="400"/>
        </w:numPr>
        <w:rPr>
          <w:rFonts w:ascii="Arial" w:cs="Arial" w:eastAsia="Arial" w:hAnsi="Arial"/>
          <w:sz w:val="16"/>
          <w:szCs w:val="16"/>
          <w:b w:val="1"/>
          <w:bCs w:val="1"/>
          <w:color w:val="auto"/>
        </w:rPr>
      </w:pPr>
      <w:r>
        <w:rPr>
          <w:rFonts w:ascii="Arial" w:cs="Arial" w:eastAsia="Arial" w:hAnsi="Arial"/>
          <w:sz w:val="16"/>
          <w:szCs w:val="16"/>
          <w:color w:val="auto"/>
        </w:rPr>
        <w:t>The phrase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also means the Know-How of a Disclosing Party and its direct and indirect subsidiaries that a Receiving Party and its direct and indirect subsidiaries learned of, acquired or otherwise used prior to the Effective Date. The phrase “</w:t>
      </w:r>
      <w:r>
        <w:rPr>
          <w:rFonts w:ascii="Arial" w:cs="Arial" w:eastAsia="Arial" w:hAnsi="Arial"/>
          <w:sz w:val="16"/>
          <w:szCs w:val="16"/>
          <w:u w:val="single" w:color="auto"/>
          <w:color w:val="auto"/>
        </w:rPr>
        <w:t>Know-How</w:t>
      </w:r>
      <w:r>
        <w:rPr>
          <w:rFonts w:ascii="Arial" w:cs="Arial" w:eastAsia="Arial" w:hAnsi="Arial"/>
          <w:sz w:val="16"/>
          <w:szCs w:val="16"/>
          <w:color w:val="auto"/>
        </w:rPr>
        <w:t>” means trade secret and other confidential, proprietary information of a Party or its Affiliate concerning the manufacture, storage, packaging, marketing, sale and delivery of its products. Examples of Know-How may be in the form of drawings, equipment specifications, formulae, formulations, guidelines, manuals, methods, plans, policies, procedures, processes, properties and applications of raw materials and products, tools, dies and molds. A Receiving Party and its direct and indirect subsidiaries may continue to use the Know-How of the Disclosing Party and its direct and indirect subsidiaries in the possession of the Receiving Party and its direct and indirect subsidiaries as of the Effective Date for the Authorized Purposes and in connection with the operation of the business of the Receiving Party and its direct and indirect subsidiaries. Nothing in this Subsection or any other provisions of this Agreement will obligate a Party to disclose or license the use of its Know-How of any kind and in any form arising, discovered, acquired or developed after the Effective Date to the other Party.</w:t>
      </w:r>
    </w:p>
    <w:p>
      <w:pPr>
        <w:spacing w:after="0" w:line="74" w:lineRule="exact"/>
        <w:rPr>
          <w:rFonts w:ascii="Arial" w:cs="Arial" w:eastAsia="Arial" w:hAnsi="Arial"/>
          <w:sz w:val="16"/>
          <w:szCs w:val="16"/>
          <w:b w:val="1"/>
          <w:bCs w:val="1"/>
          <w:color w:val="auto"/>
        </w:rPr>
      </w:pPr>
    </w:p>
    <w:p>
      <w:pPr>
        <w:ind w:left="436" w:right="680" w:hanging="436"/>
        <w:spacing w:after="0" w:line="277" w:lineRule="auto"/>
        <w:tabs>
          <w:tab w:leader="none" w:pos="436"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The phrase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does </w:t>
      </w:r>
      <w:r>
        <w:rPr>
          <w:rFonts w:ascii="Arial" w:cs="Arial" w:eastAsia="Arial" w:hAnsi="Arial"/>
          <w:sz w:val="18"/>
          <w:szCs w:val="18"/>
          <w:i w:val="1"/>
          <w:iCs w:val="1"/>
          <w:color w:val="auto"/>
        </w:rPr>
        <w:t>not</w:t>
      </w:r>
      <w:r>
        <w:rPr>
          <w:rFonts w:ascii="Arial" w:cs="Arial" w:eastAsia="Arial" w:hAnsi="Arial"/>
          <w:sz w:val="18"/>
          <w:szCs w:val="18"/>
          <w:color w:val="auto"/>
        </w:rPr>
        <w:t xml:space="preserve"> include, and there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any duties of confidentiality or other restrictions under this Agreement for, the following types of information:</w:t>
      </w:r>
    </w:p>
    <w:p>
      <w:pPr>
        <w:spacing w:after="0" w:line="75" w:lineRule="exact"/>
        <w:rPr>
          <w:rFonts w:ascii="Arial" w:cs="Arial" w:eastAsia="Arial" w:hAnsi="Arial"/>
          <w:sz w:val="18"/>
          <w:szCs w:val="18"/>
          <w:b w:val="1"/>
          <w:bCs w:val="1"/>
          <w:color w:val="auto"/>
        </w:rPr>
      </w:pPr>
    </w:p>
    <w:p>
      <w:pPr>
        <w:ind w:left="976" w:right="600" w:hanging="544"/>
        <w:spacing w:after="0" w:line="277" w:lineRule="auto"/>
        <w:tabs>
          <w:tab w:leader="none" w:pos="976" w:val="left"/>
        </w:tabs>
        <w:numPr>
          <w:ilvl w:val="1"/>
          <w:numId w:val="401"/>
        </w:numPr>
        <w:rPr>
          <w:rFonts w:ascii="Arial" w:cs="Arial" w:eastAsia="Arial" w:hAnsi="Arial"/>
          <w:sz w:val="18"/>
          <w:szCs w:val="18"/>
          <w:b w:val="1"/>
          <w:bCs w:val="1"/>
          <w:color w:val="auto"/>
        </w:rPr>
      </w:pPr>
      <w:r>
        <w:rPr>
          <w:rFonts w:ascii="Arial" w:cs="Arial" w:eastAsia="Arial" w:hAnsi="Arial"/>
          <w:sz w:val="18"/>
          <w:szCs w:val="18"/>
          <w:color w:val="auto"/>
        </w:rPr>
        <w:t>Information which is or becomes available as part of the public domain through any means other than as a result of a breach of this Agreement by the Receiving Party; or</w:t>
      </w:r>
    </w:p>
    <w:p>
      <w:pPr>
        <w:spacing w:after="0" w:line="9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Page 11 of 17</w:t>
      </w:r>
    </w:p>
    <w:p>
      <w:pPr>
        <w:sectPr>
          <w:pgSz w:w="11900" w:h="16838" w:orient="portrait"/>
          <w:cols w:equalWidth="0" w:num="1">
            <w:col w:w="10996"/>
          </w:cols>
          <w:pgMar w:left="444" w:top="269" w:right="459" w:bottom="1440" w:gutter="0" w:footer="0" w:header="0"/>
        </w:sectPr>
      </w:pPr>
    </w:p>
    <w:bookmarkStart w:id="468" w:name="page469"/>
    <w:bookmarkEnd w:id="468"/>
    <w:p>
      <w:pPr>
        <w:ind w:left="976" w:right="200" w:hanging="544"/>
        <w:spacing w:after="0" w:line="277" w:lineRule="auto"/>
        <w:tabs>
          <w:tab w:leader="none" w:pos="976" w:val="left"/>
        </w:tabs>
        <w:numPr>
          <w:ilvl w:val="1"/>
          <w:numId w:val="40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other than Know-How received prior the Effective Date, which is known to the Receiving Party before the disclosure of the same information by the Disclosing Party; or</w:t>
      </w:r>
    </w:p>
    <w:p>
      <w:pPr>
        <w:spacing w:after="0" w:line="75" w:lineRule="exact"/>
        <w:rPr>
          <w:rFonts w:ascii="Arial" w:cs="Arial" w:eastAsia="Arial" w:hAnsi="Arial"/>
          <w:sz w:val="18"/>
          <w:szCs w:val="18"/>
          <w:b w:val="1"/>
          <w:bCs w:val="1"/>
          <w:color w:val="auto"/>
        </w:rPr>
      </w:pPr>
    </w:p>
    <w:p>
      <w:pPr>
        <w:ind w:left="976" w:right="960" w:hanging="544"/>
        <w:spacing w:after="0" w:line="277" w:lineRule="auto"/>
        <w:tabs>
          <w:tab w:leader="none" w:pos="976" w:val="left"/>
        </w:tabs>
        <w:numPr>
          <w:ilvl w:val="1"/>
          <w:numId w:val="402"/>
        </w:numPr>
        <w:rPr>
          <w:rFonts w:ascii="Arial" w:cs="Arial" w:eastAsia="Arial" w:hAnsi="Arial"/>
          <w:sz w:val="18"/>
          <w:szCs w:val="18"/>
          <w:b w:val="1"/>
          <w:bCs w:val="1"/>
          <w:color w:val="auto"/>
        </w:rPr>
      </w:pPr>
      <w:r>
        <w:rPr>
          <w:rFonts w:ascii="Arial" w:cs="Arial" w:eastAsia="Arial" w:hAnsi="Arial"/>
          <w:sz w:val="18"/>
          <w:szCs w:val="18"/>
          <w:color w:val="auto"/>
        </w:rPr>
        <w:t>Information which is or becomes available to the Receiving Party from a third-party who is not under any duty to preserve the confidentiality of such information; or</w:t>
      </w:r>
    </w:p>
    <w:p>
      <w:pPr>
        <w:spacing w:after="0" w:line="75" w:lineRule="exact"/>
        <w:rPr>
          <w:rFonts w:ascii="Arial" w:cs="Arial" w:eastAsia="Arial" w:hAnsi="Arial"/>
          <w:sz w:val="18"/>
          <w:szCs w:val="18"/>
          <w:b w:val="1"/>
          <w:bCs w:val="1"/>
          <w:color w:val="auto"/>
        </w:rPr>
      </w:pPr>
    </w:p>
    <w:p>
      <w:pPr>
        <w:ind w:left="976" w:right="560" w:hanging="544"/>
        <w:spacing w:after="0" w:line="277" w:lineRule="auto"/>
        <w:tabs>
          <w:tab w:leader="none" w:pos="976" w:val="left"/>
        </w:tabs>
        <w:numPr>
          <w:ilvl w:val="1"/>
          <w:numId w:val="402"/>
        </w:numPr>
        <w:rPr>
          <w:rFonts w:ascii="Arial" w:cs="Arial" w:eastAsia="Arial" w:hAnsi="Arial"/>
          <w:sz w:val="18"/>
          <w:szCs w:val="18"/>
          <w:b w:val="1"/>
          <w:bCs w:val="1"/>
          <w:color w:val="auto"/>
        </w:rPr>
      </w:pPr>
      <w:r>
        <w:rPr>
          <w:rFonts w:ascii="Arial" w:cs="Arial" w:eastAsia="Arial" w:hAnsi="Arial"/>
          <w:sz w:val="18"/>
          <w:szCs w:val="18"/>
          <w:color w:val="auto"/>
        </w:rPr>
        <w:t>Information which is furnished by the Disclosing Party to a third-party without imposing any duty on the third-party to preserve the confidentiality of such information; or</w:t>
      </w:r>
    </w:p>
    <w:p>
      <w:pPr>
        <w:spacing w:after="0" w:line="75" w:lineRule="exact"/>
        <w:rPr>
          <w:rFonts w:ascii="Arial" w:cs="Arial" w:eastAsia="Arial" w:hAnsi="Arial"/>
          <w:sz w:val="18"/>
          <w:szCs w:val="18"/>
          <w:b w:val="1"/>
          <w:bCs w:val="1"/>
          <w:color w:val="auto"/>
        </w:rPr>
      </w:pPr>
    </w:p>
    <w:p>
      <w:pPr>
        <w:ind w:left="976" w:right="60" w:hanging="544"/>
        <w:spacing w:after="0" w:line="264" w:lineRule="auto"/>
        <w:tabs>
          <w:tab w:leader="none" w:pos="976" w:val="left"/>
        </w:tabs>
        <w:numPr>
          <w:ilvl w:val="1"/>
          <w:numId w:val="402"/>
        </w:numPr>
        <w:rPr>
          <w:rFonts w:ascii="Arial" w:cs="Arial" w:eastAsia="Arial" w:hAnsi="Arial"/>
          <w:sz w:val="18"/>
          <w:szCs w:val="18"/>
          <w:b w:val="1"/>
          <w:bCs w:val="1"/>
          <w:color w:val="auto"/>
        </w:rPr>
      </w:pPr>
      <w:r>
        <w:rPr>
          <w:rFonts w:ascii="Arial" w:cs="Arial" w:eastAsia="Arial" w:hAnsi="Arial"/>
          <w:sz w:val="18"/>
          <w:szCs w:val="18"/>
          <w:color w:val="auto"/>
        </w:rPr>
        <w:t>Information which is independently developed by the Receiving Party without the use of or reliance on any trade secret or other non-public, proprietary information provided by the Disclosing Party as Confidential Information under this Agreement or under any prior agreement between the Parties; or</w:t>
      </w:r>
    </w:p>
    <w:p>
      <w:pPr>
        <w:spacing w:after="0" w:line="86" w:lineRule="exact"/>
        <w:rPr>
          <w:rFonts w:ascii="Arial" w:cs="Arial" w:eastAsia="Arial" w:hAnsi="Arial"/>
          <w:sz w:val="18"/>
          <w:szCs w:val="18"/>
          <w:b w:val="1"/>
          <w:bCs w:val="1"/>
          <w:color w:val="auto"/>
        </w:rPr>
      </w:pPr>
    </w:p>
    <w:p>
      <w:pPr>
        <w:ind w:left="976" w:right="320" w:hanging="544"/>
        <w:spacing w:after="0" w:line="264" w:lineRule="auto"/>
        <w:tabs>
          <w:tab w:leader="none" w:pos="976" w:val="left"/>
        </w:tabs>
        <w:numPr>
          <w:ilvl w:val="1"/>
          <w:numId w:val="402"/>
        </w:numPr>
        <w:rPr>
          <w:rFonts w:ascii="Arial" w:cs="Arial" w:eastAsia="Arial" w:hAnsi="Arial"/>
          <w:sz w:val="18"/>
          <w:szCs w:val="18"/>
          <w:b w:val="1"/>
          <w:bCs w:val="1"/>
          <w:color w:val="auto"/>
        </w:rPr>
      </w:pPr>
      <w:r>
        <w:rPr>
          <w:rFonts w:ascii="Arial" w:cs="Arial" w:eastAsia="Arial" w:hAnsi="Arial"/>
          <w:sz w:val="18"/>
          <w:szCs w:val="18"/>
          <w:color w:val="auto"/>
        </w:rPr>
        <w:t>Information that ceases to be a trade secret or other non-public, proprietary information of the Disclosing Party under Applicable Laws through any means other than those enumerated above and that does not involve nor result from a breach of this Agreement by the Receiving Party.</w:t>
      </w:r>
    </w:p>
    <w:p>
      <w:pPr>
        <w:spacing w:after="0" w:line="86" w:lineRule="exact"/>
        <w:rPr>
          <w:rFonts w:ascii="Arial" w:cs="Arial" w:eastAsia="Arial" w:hAnsi="Arial"/>
          <w:sz w:val="18"/>
          <w:szCs w:val="18"/>
          <w:b w:val="1"/>
          <w:bCs w:val="1"/>
          <w:color w:val="auto"/>
        </w:rPr>
      </w:pPr>
    </w:p>
    <w:p>
      <w:pPr>
        <w:ind w:left="436" w:hanging="436"/>
        <w:spacing w:after="0" w:line="270" w:lineRule="auto"/>
        <w:tabs>
          <w:tab w:leader="none" w:pos="436" w:val="left"/>
        </w:tabs>
        <w:numPr>
          <w:ilvl w:val="0"/>
          <w:numId w:val="403"/>
        </w:numPr>
        <w:rPr>
          <w:rFonts w:ascii="Arial" w:cs="Arial" w:eastAsia="Arial" w:hAnsi="Arial"/>
          <w:sz w:val="17"/>
          <w:szCs w:val="17"/>
          <w:b w:val="1"/>
          <w:bCs w:val="1"/>
          <w:color w:val="auto"/>
        </w:rPr>
      </w:pPr>
      <w:r>
        <w:rPr>
          <w:rFonts w:ascii="Arial" w:cs="Arial" w:eastAsia="Arial" w:hAnsi="Arial"/>
          <w:sz w:val="17"/>
          <w:szCs w:val="17"/>
          <w:color w:val="auto"/>
        </w:rPr>
        <w:t>A Party may request and disclose Confidential Information in any form or medium. Confidential Information may include, without limitation, information concerning the assets, liabilities, financing, financial statements, ownership, goods, services, customers, suppliers, marketing, manufacturing, equipment, software, technology, supply chain, business strategies, plans, models, policies, methods, processes, formulae, specifications, drawings, schematics, software and technical know-how of a Disclosing Party. A Receiving Party will take all commercially reasonable actions required to safeguard the Confidential Information of a Disclosing Party in the possession of such Receiving Party against the unauthorized disclosure or use of the Confidential Information by other persons. A Receiving Party will promptly notify the Disclosing Party if the Receiving Party learns of any unauthorized disclosure or use of the Confidential Information of the Disclosing Party by any person. A Receiving Party will cooperate in good faith with the Disclosing Party to prevent any unauthorized disclosure or use of the Confidential Information of the Disclosing Party by any person. A Receiving Party will not be obligated to incur any liability, expense or risk in extending such cooperation to a Disclosing Party, however.</w:t>
      </w:r>
    </w:p>
    <w:p>
      <w:pPr>
        <w:spacing w:after="0" w:line="83" w:lineRule="exact"/>
        <w:rPr>
          <w:rFonts w:ascii="Arial" w:cs="Arial" w:eastAsia="Arial" w:hAnsi="Arial"/>
          <w:sz w:val="17"/>
          <w:szCs w:val="17"/>
          <w:b w:val="1"/>
          <w:bCs w:val="1"/>
          <w:color w:val="auto"/>
        </w:rPr>
      </w:pPr>
    </w:p>
    <w:p>
      <w:pPr>
        <w:ind w:left="436" w:hanging="436"/>
        <w:spacing w:after="0"/>
        <w:tabs>
          <w:tab w:leader="none" w:pos="436"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A Receiving Party will not disclose nor use the Confidential Information of a Disclosing Party except as follows:</w:t>
      </w:r>
    </w:p>
    <w:p>
      <w:pPr>
        <w:spacing w:after="0" w:line="130" w:lineRule="exact"/>
        <w:rPr>
          <w:rFonts w:ascii="Arial" w:cs="Arial" w:eastAsia="Arial" w:hAnsi="Arial"/>
          <w:sz w:val="18"/>
          <w:szCs w:val="18"/>
          <w:b w:val="1"/>
          <w:bCs w:val="1"/>
          <w:color w:val="auto"/>
        </w:rPr>
      </w:pPr>
    </w:p>
    <w:p>
      <w:pPr>
        <w:ind w:left="976" w:right="80" w:hanging="544"/>
        <w:spacing w:after="0" w:line="288" w:lineRule="auto"/>
        <w:tabs>
          <w:tab w:leader="none" w:pos="976" w:val="left"/>
        </w:tabs>
        <w:numPr>
          <w:ilvl w:val="1"/>
          <w:numId w:val="403"/>
        </w:numPr>
        <w:rPr>
          <w:rFonts w:ascii="Arial" w:cs="Arial" w:eastAsia="Arial" w:hAnsi="Arial"/>
          <w:sz w:val="16"/>
          <w:szCs w:val="16"/>
          <w:b w:val="1"/>
          <w:bCs w:val="1"/>
          <w:color w:val="auto"/>
        </w:rPr>
      </w:pPr>
      <w:r>
        <w:rPr>
          <w:rFonts w:ascii="Arial" w:cs="Arial" w:eastAsia="Arial" w:hAnsi="Arial"/>
          <w:sz w:val="16"/>
          <w:szCs w:val="16"/>
          <w:color w:val="auto"/>
        </w:rPr>
        <w:t>A Receiving Party and its Representatives may use the Confidential Information of a Disclosing Party for the Authorized Purposes. A “</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the Affiliates of a Party and the directors, officers, managers, employees, accountants, attorneys, auditors and other agents and consultants of a Party and its Affiliates. An “</w:t>
      </w:r>
      <w:r>
        <w:rPr>
          <w:rFonts w:ascii="Arial" w:cs="Arial" w:eastAsia="Arial" w:hAnsi="Arial"/>
          <w:sz w:val="16"/>
          <w:szCs w:val="16"/>
          <w:u w:val="single" w:color="auto"/>
          <w:color w:val="auto"/>
        </w:rPr>
        <w:t>Affiliate</w:t>
      </w:r>
      <w:r>
        <w:rPr>
          <w:rFonts w:ascii="Arial" w:cs="Arial" w:eastAsia="Arial" w:hAnsi="Arial"/>
          <w:sz w:val="16"/>
          <w:szCs w:val="16"/>
          <w:color w:val="auto"/>
        </w:rPr>
        <w:t>” of a Party means a legal entity that owns and controls, or is owned and controlled by, or is under common ownership and control with, a Party (other than the other Party or any of its direct and indirect subsidiaries), with ownership and control of a legal entity being determined by the ownership of the majority voting interest in the legal entity. A Receiving Party may disclose Confidential Information of a Disclosing Party on a “</w:t>
      </w:r>
      <w:r>
        <w:rPr>
          <w:rFonts w:ascii="Arial" w:cs="Arial" w:eastAsia="Arial" w:hAnsi="Arial"/>
          <w:sz w:val="16"/>
          <w:szCs w:val="16"/>
          <w:i w:val="1"/>
          <w:iCs w:val="1"/>
          <w:color w:val="auto"/>
        </w:rPr>
        <w:t>need to know</w:t>
      </w:r>
      <w:r>
        <w:rPr>
          <w:rFonts w:ascii="Arial" w:cs="Arial" w:eastAsia="Arial" w:hAnsi="Arial"/>
          <w:sz w:val="16"/>
          <w:szCs w:val="16"/>
          <w:color w:val="auto"/>
        </w:rPr>
        <w:t>” basis to only those Representatives of the Receiving Party who require such information for the Authorized Purposes. Before making such a disclosure, the Receiving Party will advise the Representatives of the confidential nature of the information being shared and ensure that duties and restrictions are, or have been, imposed on the Representatives receiving the Confidential Information similar to those imposed on the Receiving Party under this Agreement. A Receiving Party will be liable for any breach of this Agreement by its Representatives.</w:t>
      </w:r>
    </w:p>
    <w:p>
      <w:pPr>
        <w:spacing w:after="0" w:line="74" w:lineRule="exact"/>
        <w:rPr>
          <w:rFonts w:ascii="Arial" w:cs="Arial" w:eastAsia="Arial" w:hAnsi="Arial"/>
          <w:sz w:val="16"/>
          <w:szCs w:val="16"/>
          <w:b w:val="1"/>
          <w:bCs w:val="1"/>
          <w:color w:val="auto"/>
        </w:rPr>
      </w:pPr>
    </w:p>
    <w:p>
      <w:pPr>
        <w:ind w:left="976" w:right="20" w:hanging="544"/>
        <w:spacing w:after="0" w:line="291" w:lineRule="auto"/>
        <w:tabs>
          <w:tab w:leader="none" w:pos="976" w:val="left"/>
        </w:tabs>
        <w:numPr>
          <w:ilvl w:val="1"/>
          <w:numId w:val="403"/>
        </w:numPr>
        <w:rPr>
          <w:rFonts w:ascii="Arial" w:cs="Arial" w:eastAsia="Arial" w:hAnsi="Arial"/>
          <w:sz w:val="16"/>
          <w:szCs w:val="16"/>
          <w:b w:val="1"/>
          <w:bCs w:val="1"/>
          <w:color w:val="auto"/>
        </w:rPr>
      </w:pPr>
      <w:r>
        <w:rPr>
          <w:rFonts w:ascii="Arial" w:cs="Arial" w:eastAsia="Arial" w:hAnsi="Arial"/>
          <w:sz w:val="16"/>
          <w:szCs w:val="16"/>
          <w:color w:val="auto"/>
        </w:rPr>
        <w:t>A Receiving Party may disclose Confidential Information of a Disclosing Party to a court, governmental entity or any other person in order for the Receiving Party and its Affiliates to comply with Applicable Laws, accounting standards and securities exchange requirements. If legally permissible and reasonably possible, a Receiving Party will notify the Disclosing Party prior to disclosing its Confidential Information pursuant to this Section and cooperate in good faith with any lawful efforts by the Disclosing Party to avoid or limit the disclosure of its Confidential Information. A Receiving Party will not be obligated to incur any liability, expense or risk in extending such cooperation to a Disclosing Party. Based on legal advice of its attorney, a Receiving Party may disclose the Confidential Information of the Disclosing Party by any deadline established under an Applicable Laws, accounting standard and securities exchange requirement.</w:t>
      </w:r>
    </w:p>
    <w:p>
      <w:pPr>
        <w:spacing w:after="0" w:line="96"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12 of 17</w:t>
      </w:r>
    </w:p>
    <w:p>
      <w:pPr>
        <w:sectPr>
          <w:pgSz w:w="11900" w:h="16838" w:orient="portrait"/>
          <w:cols w:equalWidth="0" w:num="1">
            <w:col w:w="11016"/>
          </w:cols>
          <w:pgMar w:left="444" w:top="273" w:right="439" w:bottom="1440" w:gutter="0" w:footer="0" w:header="0"/>
        </w:sectPr>
      </w:pPr>
    </w:p>
    <w:bookmarkStart w:id="469" w:name="page470"/>
    <w:bookmarkEnd w:id="469"/>
    <w:p>
      <w:pPr>
        <w:ind w:left="976" w:right="100" w:hanging="544"/>
        <w:spacing w:after="0" w:line="276" w:lineRule="auto"/>
        <w:tabs>
          <w:tab w:leader="none" w:pos="976" w:val="left"/>
        </w:tabs>
        <w:numPr>
          <w:ilvl w:val="1"/>
          <w:numId w:val="40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Receiving Party may disclose and use the Confidential Information of a Disclosing Party to enforce or interpret this Agreement or any other agreement with the Disclosing Party in any arbitration, court or other legal proceeding. A Receiving Party may disclose and use this Confidential Information of a Disclosing Party to defend the Receiving Party or its Affiliates or their respective Representatives in any arbitration, court or other legal proceeding. In either circumstance, the Receiving Party will ensure that a protective order, agreement or other mechanism is in place to preserve the confidentiality of the Confidential Information.</w:t>
      </w:r>
    </w:p>
    <w:p>
      <w:pPr>
        <w:spacing w:after="0" w:line="77" w:lineRule="exact"/>
        <w:rPr>
          <w:rFonts w:ascii="Arial" w:cs="Arial" w:eastAsia="Arial" w:hAnsi="Arial"/>
          <w:sz w:val="17"/>
          <w:szCs w:val="17"/>
          <w:b w:val="1"/>
          <w:bCs w:val="1"/>
          <w:color w:val="auto"/>
        </w:rPr>
      </w:pPr>
    </w:p>
    <w:p>
      <w:pPr>
        <w:ind w:left="976" w:right="420" w:hanging="544"/>
        <w:spacing w:after="0" w:line="312" w:lineRule="auto"/>
        <w:tabs>
          <w:tab w:leader="none" w:pos="976" w:val="left"/>
        </w:tabs>
        <w:numPr>
          <w:ilvl w:val="1"/>
          <w:numId w:val="404"/>
        </w:numPr>
        <w:rPr>
          <w:rFonts w:ascii="Arial" w:cs="Arial" w:eastAsia="Arial" w:hAnsi="Arial"/>
          <w:sz w:val="16"/>
          <w:szCs w:val="16"/>
          <w:b w:val="1"/>
          <w:bCs w:val="1"/>
          <w:color w:val="auto"/>
        </w:rPr>
      </w:pPr>
      <w:r>
        <w:rPr>
          <w:rFonts w:ascii="Arial" w:cs="Arial" w:eastAsia="Arial" w:hAnsi="Arial"/>
          <w:sz w:val="16"/>
          <w:szCs w:val="16"/>
          <w:color w:val="auto"/>
        </w:rPr>
        <w:t>A Receiving Party and its Representatives may disclose and use the Confidential Information for any other purpose consented to by a Disclosing Party in a written notice signed by an officer of the Disclosing Party delivered to the Receiving Party. The other purpose described in the written notice will become one of the “Authorized Purposes” from and after the date of such written notice.</w:t>
      </w:r>
    </w:p>
    <w:p>
      <w:pPr>
        <w:spacing w:after="0" w:line="52" w:lineRule="exact"/>
        <w:rPr>
          <w:rFonts w:ascii="Arial" w:cs="Arial" w:eastAsia="Arial" w:hAnsi="Arial"/>
          <w:sz w:val="16"/>
          <w:szCs w:val="16"/>
          <w:b w:val="1"/>
          <w:bCs w:val="1"/>
          <w:color w:val="auto"/>
        </w:rPr>
      </w:pPr>
    </w:p>
    <w:p>
      <w:pPr>
        <w:ind w:left="436" w:hanging="436"/>
        <w:spacing w:after="0"/>
        <w:tabs>
          <w:tab w:leader="none" w:pos="436" w:val="left"/>
        </w:tabs>
        <w:numPr>
          <w:ilvl w:val="0"/>
          <w:numId w:val="405"/>
        </w:numPr>
        <w:rPr>
          <w:rFonts w:ascii="Arial" w:cs="Arial" w:eastAsia="Arial" w:hAnsi="Arial"/>
          <w:sz w:val="16"/>
          <w:szCs w:val="16"/>
          <w:b w:val="1"/>
          <w:bCs w:val="1"/>
          <w:color w:val="auto"/>
        </w:rPr>
      </w:pPr>
      <w:r>
        <w:rPr>
          <w:rFonts w:ascii="Arial" w:cs="Arial" w:eastAsia="Arial" w:hAnsi="Arial"/>
          <w:sz w:val="16"/>
          <w:szCs w:val="16"/>
          <w:color w:val="auto"/>
        </w:rPr>
        <w:t>In disclosing its Confidential Information to a Receiving Party, a Disclosing Party represents, warrants and covenants to the Receiving Party that:</w:t>
      </w:r>
    </w:p>
    <w:p>
      <w:pPr>
        <w:spacing w:after="0" w:line="153" w:lineRule="exact"/>
        <w:rPr>
          <w:rFonts w:ascii="Arial" w:cs="Arial" w:eastAsia="Arial" w:hAnsi="Arial"/>
          <w:sz w:val="16"/>
          <w:szCs w:val="16"/>
          <w:b w:val="1"/>
          <w:bCs w:val="1"/>
          <w:color w:val="auto"/>
        </w:rPr>
      </w:pPr>
    </w:p>
    <w:p>
      <w:pPr>
        <w:ind w:left="976" w:hanging="544"/>
        <w:spacing w:after="0"/>
        <w:tabs>
          <w:tab w:leader="none" w:pos="976" w:val="left"/>
        </w:tabs>
        <w:numPr>
          <w:ilvl w:val="1"/>
          <w:numId w:val="405"/>
        </w:numPr>
        <w:rPr>
          <w:rFonts w:ascii="Arial" w:cs="Arial" w:eastAsia="Arial" w:hAnsi="Arial"/>
          <w:sz w:val="16"/>
          <w:szCs w:val="16"/>
          <w:b w:val="1"/>
          <w:bCs w:val="1"/>
          <w:color w:val="auto"/>
        </w:rPr>
      </w:pPr>
      <w:r>
        <w:rPr>
          <w:rFonts w:ascii="Arial" w:cs="Arial" w:eastAsia="Arial" w:hAnsi="Arial"/>
          <w:sz w:val="16"/>
          <w:szCs w:val="16"/>
          <w:color w:val="auto"/>
        </w:rPr>
        <w:t>The Disclosing Party owns and has the right to disclose and authorize the use of Confidential Information as provided in this Agreement.</w:t>
      </w:r>
    </w:p>
    <w:p>
      <w:pPr>
        <w:spacing w:after="0" w:line="153" w:lineRule="exact"/>
        <w:rPr>
          <w:rFonts w:ascii="Arial" w:cs="Arial" w:eastAsia="Arial" w:hAnsi="Arial"/>
          <w:sz w:val="16"/>
          <w:szCs w:val="16"/>
          <w:b w:val="1"/>
          <w:bCs w:val="1"/>
          <w:color w:val="auto"/>
        </w:rPr>
      </w:pPr>
    </w:p>
    <w:p>
      <w:pPr>
        <w:ind w:left="976" w:right="320" w:hanging="544"/>
        <w:spacing w:after="0" w:line="277" w:lineRule="auto"/>
        <w:tabs>
          <w:tab w:leader="none" w:pos="976" w:val="left"/>
        </w:tabs>
        <w:numPr>
          <w:ilvl w:val="1"/>
          <w:numId w:val="405"/>
        </w:numPr>
        <w:rPr>
          <w:rFonts w:ascii="Arial" w:cs="Arial" w:eastAsia="Arial" w:hAnsi="Arial"/>
          <w:sz w:val="18"/>
          <w:szCs w:val="18"/>
          <w:b w:val="1"/>
          <w:bCs w:val="1"/>
          <w:color w:val="auto"/>
        </w:rPr>
      </w:pPr>
      <w:r>
        <w:rPr>
          <w:rFonts w:ascii="Arial" w:cs="Arial" w:eastAsia="Arial" w:hAnsi="Arial"/>
          <w:sz w:val="18"/>
          <w:szCs w:val="18"/>
          <w:color w:val="auto"/>
        </w:rPr>
        <w:t>The Receiving Party and its Representatives may use the Confidential Information of the Disclosing Party for the Authorized Purposes provided in this Agreement.</w:t>
      </w:r>
    </w:p>
    <w:p>
      <w:pPr>
        <w:spacing w:after="0" w:line="75" w:lineRule="exact"/>
        <w:rPr>
          <w:rFonts w:ascii="Arial" w:cs="Arial" w:eastAsia="Arial" w:hAnsi="Arial"/>
          <w:sz w:val="18"/>
          <w:szCs w:val="18"/>
          <w:b w:val="1"/>
          <w:bCs w:val="1"/>
          <w:color w:val="auto"/>
        </w:rPr>
      </w:pPr>
    </w:p>
    <w:p>
      <w:pPr>
        <w:ind w:left="976" w:right="240" w:hanging="544"/>
        <w:spacing w:after="0" w:line="259" w:lineRule="auto"/>
        <w:tabs>
          <w:tab w:leader="none" w:pos="976" w:val="left"/>
        </w:tabs>
        <w:numPr>
          <w:ilvl w:val="1"/>
          <w:numId w:val="405"/>
        </w:numPr>
        <w:rPr>
          <w:rFonts w:ascii="Arial" w:cs="Arial" w:eastAsia="Arial" w:hAnsi="Arial"/>
          <w:sz w:val="18"/>
          <w:szCs w:val="18"/>
          <w:b w:val="1"/>
          <w:bCs w:val="1"/>
          <w:color w:val="auto"/>
        </w:rPr>
      </w:pPr>
      <w:r>
        <w:rPr>
          <w:rFonts w:ascii="Arial" w:cs="Arial" w:eastAsia="Arial" w:hAnsi="Arial"/>
          <w:sz w:val="18"/>
          <w:szCs w:val="18"/>
          <w:color w:val="auto"/>
        </w:rPr>
        <w:t>The Disclosing Party will indemnify, defend and hold harmless the Receiving Party and its Representatives against any claim of a third-party that the disclosure and use of the Confidential Information of the Disclosing Party as provided in this Agreement infringes on a patent, trademark, copyright, trade secret or other intellectual property of the third-party registered in or otherwise recognized and enforceable under Applicable Laws.</w:t>
      </w:r>
    </w:p>
    <w:p>
      <w:pPr>
        <w:spacing w:after="0" w:line="78" w:lineRule="exact"/>
        <w:rPr>
          <w:rFonts w:ascii="Arial" w:cs="Arial" w:eastAsia="Arial" w:hAnsi="Arial"/>
          <w:sz w:val="18"/>
          <w:szCs w:val="18"/>
          <w:b w:val="1"/>
          <w:bCs w:val="1"/>
          <w:color w:val="auto"/>
        </w:rPr>
      </w:pPr>
    </w:p>
    <w:p>
      <w:pPr>
        <w:ind w:left="996"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for the limited representations and warranties in this Section, a Disclosing Party disclaims all other representations and warranties of any kind related to its Confidential Information, whether express, implied or arising by operation of law, including the disclaimer, without limitation, of any representation and warranties concerning merchantability, fitness for a particular purpose, truth, accuracy or completeness.</w:t>
      </w:r>
    </w:p>
    <w:p>
      <w:pPr>
        <w:spacing w:after="0" w:line="92" w:lineRule="exact"/>
        <w:rPr>
          <w:rFonts w:ascii="Arial" w:cs="Arial" w:eastAsia="Arial" w:hAnsi="Arial"/>
          <w:sz w:val="18"/>
          <w:szCs w:val="18"/>
          <w:b w:val="1"/>
          <w:bCs w:val="1"/>
          <w:color w:val="auto"/>
        </w:rPr>
      </w:pPr>
    </w:p>
    <w:p>
      <w:pPr>
        <w:ind w:left="436" w:right="40" w:hanging="436"/>
        <w:spacing w:after="0" w:line="257" w:lineRule="auto"/>
        <w:tabs>
          <w:tab w:leader="none" w:pos="436" w:val="left"/>
        </w:tabs>
        <w:numPr>
          <w:ilvl w:val="0"/>
          <w:numId w:val="405"/>
        </w:numPr>
        <w:rPr>
          <w:rFonts w:ascii="Arial" w:cs="Arial" w:eastAsia="Arial" w:hAnsi="Arial"/>
          <w:sz w:val="18"/>
          <w:szCs w:val="18"/>
          <w:b w:val="1"/>
          <w:bCs w:val="1"/>
          <w:color w:val="auto"/>
        </w:rPr>
      </w:pPr>
      <w:r>
        <w:rPr>
          <w:rFonts w:ascii="Arial" w:cs="Arial" w:eastAsia="Arial" w:hAnsi="Arial"/>
          <w:sz w:val="18"/>
          <w:szCs w:val="18"/>
          <w:color w:val="auto"/>
        </w:rPr>
        <w:t xml:space="preserve">For Confidential Information that is </w:t>
      </w:r>
      <w:r>
        <w:rPr>
          <w:rFonts w:ascii="Arial" w:cs="Arial" w:eastAsia="Arial" w:hAnsi="Arial"/>
          <w:sz w:val="18"/>
          <w:szCs w:val="18"/>
          <w:i w:val="1"/>
          <w:iCs w:val="1"/>
          <w:color w:val="auto"/>
        </w:rPr>
        <w:t>not</w:t>
      </w:r>
      <w:r>
        <w:rPr>
          <w:rFonts w:ascii="Arial" w:cs="Arial" w:eastAsia="Arial" w:hAnsi="Arial"/>
          <w:sz w:val="18"/>
          <w:szCs w:val="18"/>
          <w:color w:val="auto"/>
        </w:rPr>
        <w:t xml:space="preserve"> a trade secret of a Disclosing Party under Applicable Laws, the rights and obligations of the Parties under this Section will continue until the earlier of (i) sixty (60) months from the date of disclosure to a Receiving Party or (ii) the date such information ceases to be considered Confidential Information under this Agreement. For Confidential Information that is a trade secret of a Disclosing Party under Applicable Laws, the rights and obligations of the Parties under this Section will continue until such information ceases to be a trade secret of the Disclosing Party under Applicable Laws.</w:t>
      </w:r>
    </w:p>
    <w:p>
      <w:pPr>
        <w:spacing w:after="0" w:line="93" w:lineRule="exact"/>
        <w:rPr>
          <w:rFonts w:ascii="Arial" w:cs="Arial" w:eastAsia="Arial" w:hAnsi="Arial"/>
          <w:sz w:val="18"/>
          <w:szCs w:val="18"/>
          <w:b w:val="1"/>
          <w:bCs w:val="1"/>
          <w:color w:val="auto"/>
        </w:rPr>
      </w:pPr>
    </w:p>
    <w:p>
      <w:pPr>
        <w:ind w:left="436" w:hanging="436"/>
        <w:spacing w:after="0" w:line="270" w:lineRule="auto"/>
        <w:tabs>
          <w:tab w:leader="none" w:pos="436" w:val="left"/>
        </w:tabs>
        <w:numPr>
          <w:ilvl w:val="0"/>
          <w:numId w:val="405"/>
        </w:numPr>
        <w:rPr>
          <w:rFonts w:ascii="Arial" w:cs="Arial" w:eastAsia="Arial" w:hAnsi="Arial"/>
          <w:sz w:val="17"/>
          <w:szCs w:val="17"/>
          <w:b w:val="1"/>
          <w:bCs w:val="1"/>
          <w:color w:val="auto"/>
        </w:rPr>
      </w:pPr>
      <w:r>
        <w:rPr>
          <w:rFonts w:ascii="Arial" w:cs="Arial" w:eastAsia="Arial" w:hAnsi="Arial"/>
          <w:sz w:val="17"/>
          <w:szCs w:val="17"/>
          <w:color w:val="auto"/>
        </w:rPr>
        <w:t>A Receiving Party will return or destroy all forms of Confidential Information of the Disclosing Party in the custody of the Receiving Party and its Representatives within ten (10) days of receipt of a written request from the Disclosing Party and after the expiration or earlier termination of this Agreement. This will include, without limitation, all copies, records, documents and other information representing, comprising, containing, referencing or created based on Confidential Information of the Disclosing Party. Notwithstanding the foregoing, a Receiving Party and its Representatives may retain copies of Confidential Information of the Disclosing Party which (x) the Receiving Party and its Representatives are required to retain to comply with Applicable Laws, accounting standards and securities exchange requirements (but only for the duration and in the manner so required for these limited purposes); or (y) have been archived in electronic form by the Receiving Party and its Representatives and which would be unduly burdensome for the Receiving Party and its Representatives to have to search for and delete the Confidential Information of the Disclosing Party.</w:t>
      </w:r>
    </w:p>
    <w:p>
      <w:pPr>
        <w:spacing w:after="0" w:line="11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13 of 17</w:t>
      </w:r>
    </w:p>
    <w:p>
      <w:pPr>
        <w:sectPr>
          <w:pgSz w:w="11900" w:h="16838" w:orient="portrait"/>
          <w:cols w:equalWidth="0" w:num="1">
            <w:col w:w="10996"/>
          </w:cols>
          <w:pgMar w:left="444" w:top="274" w:right="459" w:bottom="1440" w:gutter="0" w:footer="0" w:header="0"/>
        </w:sectPr>
      </w:pPr>
    </w:p>
    <w:bookmarkStart w:id="470" w:name="page471"/>
    <w:bookmarkEnd w:id="470"/>
    <w:p>
      <w:pPr>
        <w:ind w:left="440" w:right="220" w:hanging="436"/>
        <w:spacing w:after="0" w:line="290" w:lineRule="auto"/>
        <w:tabs>
          <w:tab w:leader="none" w:pos="440" w:val="left"/>
        </w:tabs>
        <w:numPr>
          <w:ilvl w:val="0"/>
          <w:numId w:val="40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the limited right to disclose and use Confidential Information of a Disclosing Party for the Authorized Purposes provided in the this Section and except for any license of intellectual property granted by a Disclosing Party to the Receiving Party in a Purchase Schedule, this Agreement does not grant a Receiving Party or its Representatives any right, title, interest or ownership in the Confidential Information of the Disclosing Party nor in any patent, trademark, copyright or other intellectual property of the Disclosing Party. As between the Parties during the Term, to be effective, the grant of any right, title, interest and ownership in and to any Confidential Information of Party or in an patents, trademarks, copyrights and other intellectual property of the Party must be in writing and signed by the chief executive officers of the Parties. During the Term, a Party will not develop intellectual property for, on behalf of, or in collaboration with, the other Party unless the Parties have entered into a Purchase Schedule or other separate written agreement signed by an officer of each Party.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X. Dispute Resolution</w:t>
      </w:r>
    </w:p>
    <w:p>
      <w:pPr>
        <w:spacing w:after="0" w:line="256" w:lineRule="exact"/>
        <w:rPr>
          <w:sz w:val="20"/>
          <w:szCs w:val="20"/>
          <w:color w:val="auto"/>
        </w:rPr>
      </w:pPr>
    </w:p>
    <w:p>
      <w:pPr>
        <w:ind w:left="440" w:right="80" w:hanging="436"/>
        <w:spacing w:after="0" w:line="312" w:lineRule="auto"/>
        <w:tabs>
          <w:tab w:leader="none" w:pos="440"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Negotiation</w:t>
      </w:r>
      <w:r>
        <w:rPr>
          <w:rFonts w:ascii="Arial" w:cs="Arial" w:eastAsia="Arial" w:hAnsi="Arial"/>
          <w:sz w:val="16"/>
          <w:szCs w:val="16"/>
          <w:color w:val="auto"/>
        </w:rPr>
        <w:t>. If a Party believes that the other Party has breached this Agreement or if there is a dispute between the Parties over the interpretation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this Agreement (a “</w:t>
      </w:r>
      <w:r>
        <w:rPr>
          <w:rFonts w:ascii="Arial" w:cs="Arial" w:eastAsia="Arial" w:hAnsi="Arial"/>
          <w:sz w:val="16"/>
          <w:szCs w:val="16"/>
          <w:u w:val="single" w:color="auto"/>
          <w:color w:val="auto"/>
        </w:rPr>
        <w:t>Dispute</w:t>
      </w:r>
      <w:r>
        <w:rPr>
          <w:rFonts w:ascii="Arial" w:cs="Arial" w:eastAsia="Arial" w:hAnsi="Arial"/>
          <w:sz w:val="16"/>
          <w:szCs w:val="16"/>
          <w:color w:val="auto"/>
        </w:rPr>
        <w:t>”), the Parties will endeavor to resolve the Dispute through good faith negotiation for a period of thirty (30) days after a Party notifies the other Party of the Dispute and before either Party requests mediation or files litigation to resolve the Dispute.</w:t>
      </w:r>
    </w:p>
    <w:p>
      <w:pPr>
        <w:spacing w:after="0" w:line="52" w:lineRule="exact"/>
        <w:rPr>
          <w:rFonts w:ascii="Arial" w:cs="Arial" w:eastAsia="Arial" w:hAnsi="Arial"/>
          <w:sz w:val="16"/>
          <w:szCs w:val="16"/>
          <w:b w:val="1"/>
          <w:bCs w:val="1"/>
          <w:color w:val="auto"/>
        </w:rPr>
      </w:pPr>
    </w:p>
    <w:p>
      <w:pPr>
        <w:ind w:left="440" w:right="300" w:hanging="436"/>
        <w:spacing w:after="0" w:line="288" w:lineRule="auto"/>
        <w:tabs>
          <w:tab w:leader="none" w:pos="440"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Mediation</w:t>
      </w:r>
      <w:r>
        <w:rPr>
          <w:rFonts w:ascii="Arial" w:cs="Arial" w:eastAsia="Arial" w:hAnsi="Arial"/>
          <w:sz w:val="16"/>
          <w:szCs w:val="16"/>
          <w:color w:val="auto"/>
        </w:rPr>
        <w:t>. If the Parties have been unable to resolve a Dispute through good faith negotiation as provided in the prior Subsection, a Party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request that the Parties attempt to resolve the Dispute through mediation by notifying the other Party with a copy to JAMS. The Parties will attempt to select a mutually acceptable JAMS mediator, and a mediation location in Lake County, Illinois or Cook County, Illinois, within ten</w:t>
      </w:r>
    </w:p>
    <w:p>
      <w:pPr>
        <w:ind w:left="4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(10) days of the notice requesting mediation. If the Parties are unable to agree on a JAMS mediator or mediation location, JAMS will appoint the mediator and a mediation location in Lake County, Illinois or Cook County, Illinois. The mediation will be held at the selected mediation location within thirty (30) days of the notice requesting mediation before a JAMS mediator and in compliance with JAMS mediation guidelines. Each party will bear its own costs in preparing for and participating in the mediation and one-half of the fees and expenses charged by JAMS for conducting the mediation.</w:t>
      </w:r>
    </w:p>
    <w:p>
      <w:pPr>
        <w:spacing w:after="0" w:line="96" w:lineRule="exact"/>
        <w:rPr>
          <w:rFonts w:ascii="Arial" w:cs="Arial" w:eastAsia="Arial" w:hAnsi="Arial"/>
          <w:sz w:val="16"/>
          <w:szCs w:val="16"/>
          <w:b w:val="1"/>
          <w:bCs w:val="1"/>
          <w:color w:val="auto"/>
        </w:rPr>
      </w:pPr>
    </w:p>
    <w:p>
      <w:pPr>
        <w:ind w:left="440" w:right="140" w:hanging="436"/>
        <w:spacing w:after="0" w:line="289" w:lineRule="auto"/>
        <w:tabs>
          <w:tab w:leader="none" w:pos="440"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If the Parties are unable to resolve a Dispute through negotiation or mediation as provided in the prior Subsections, a Party may file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litigation against the other Party in a court of competent jurisdiction in the United States of America. With respect to litigation involving only the Parties or their Affiliates, the Parties irrevocably consent to the exclusive personal jurisdiction and venue of the U.S. federal and Illinois state courts of competent subject matter jurisdiction located in Lake County, Illinois or Cook County, Illinois and their respective higher courts of appeal for the limited purpose of resolving a Dispute, and the Parties waive, to the fullest extent permitted by Applicable Laws, any defense of inconvenient forum. The Parties waive any right to trial by jury as to any Disputes resolved through litigation. Notwithstanding the foregoing, a Party may file litigation to resolve a Dispute without undergoing either negotiation or mediation as provided in the prior Subsections for any Dispute involving: (i) infringement on intellectual property; (ii) the unauthorized use or disclosure of Confidential Information; or (iii) a request for a temporary restraining order, a preliminary or permanent injunction or any similar types of equitable relief.</w:t>
      </w:r>
    </w:p>
    <w:p>
      <w:pPr>
        <w:spacing w:after="0" w:line="72" w:lineRule="exact"/>
        <w:rPr>
          <w:rFonts w:ascii="Arial" w:cs="Arial" w:eastAsia="Arial" w:hAnsi="Arial"/>
          <w:sz w:val="16"/>
          <w:szCs w:val="16"/>
          <w:b w:val="1"/>
          <w:bCs w:val="1"/>
          <w:color w:val="auto"/>
        </w:rPr>
      </w:pPr>
    </w:p>
    <w:p>
      <w:pPr>
        <w:ind w:left="440" w:right="60" w:hanging="436"/>
        <w:spacing w:after="0" w:line="270" w:lineRule="auto"/>
        <w:tabs>
          <w:tab w:leader="none" w:pos="440" w:val="left"/>
        </w:tabs>
        <w:numPr>
          <w:ilvl w:val="0"/>
          <w:numId w:val="4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Remedies. </w:t>
      </w:r>
      <w:r>
        <w:rPr>
          <w:rFonts w:ascii="Arial" w:cs="Arial" w:eastAsia="Arial" w:hAnsi="Arial"/>
          <w:sz w:val="17"/>
          <w:szCs w:val="17"/>
          <w:color w:val="auto"/>
        </w:rPr>
        <w:t>Except as expressly limited in the preceding Subsections and the other provisions in this Agreement, a Party may immediately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any rights and remedies available to the Party under Applicable Laws upon a breach of this Agreement by the other Party. A Party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suspend performance under nor terminate this Agreement or any accepted purchase order for a product being purchased and sold under this Agreement unless: (1) the other Party is in material breach of this Agreement and has either refused to cure the material breach or has failed to cure the material breach within thirty (30) day of its receipt of written notice of the failure; and (2) the Parties have been unable to resolve the Dispute related to the material breach through negotiation or mediation, or the breaching Party has refused or failed to attempt to resolve the Dispute through negotiation or mediation, as provided in this Section. Notwithstanding the foregoing, a Party may suspend performance or terminate this Agreement or any accepted purchase order for Services being purchased and sold under this Agreement immediately on written notice to the other Party, and without providing the other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14 of 17</w:t>
      </w:r>
    </w:p>
    <w:p>
      <w:pPr>
        <w:sectPr>
          <w:pgSz w:w="11900" w:h="16838" w:orient="portrait"/>
          <w:cols w:equalWidth="0" w:num="1">
            <w:col w:w="11020"/>
          </w:cols>
          <w:pgMar w:left="440" w:top="274" w:right="439" w:bottom="1440" w:gutter="0" w:footer="0" w:header="0"/>
        </w:sectPr>
      </w:pPr>
    </w:p>
    <w:bookmarkStart w:id="471" w:name="page472"/>
    <w:bookmarkEnd w:id="471"/>
    <w:p>
      <w:pPr>
        <w:ind w:left="436"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an opportunity to cure the material breach or attempting to resolve a Dispute over the material breach by negotiation or mediation as provided in this Section, for a material breach by the other Party involving substantial harm to the reputation, goodwill and business of the non-breaching Party that cannot reasonably be avoided or fully redressed by providing the other Party an opportunity to cure the material breach.</w:t>
      </w:r>
    </w:p>
    <w:p>
      <w:pPr>
        <w:spacing w:after="0" w:line="52" w:lineRule="exact"/>
        <w:rPr>
          <w:sz w:val="20"/>
          <w:szCs w:val="20"/>
          <w:color w:val="auto"/>
        </w:rPr>
      </w:pPr>
    </w:p>
    <w:p>
      <w:pPr>
        <w:ind w:left="436" w:right="80" w:hanging="436"/>
        <w:spacing w:after="0" w:line="272" w:lineRule="auto"/>
        <w:tabs>
          <w:tab w:leader="none" w:pos="436" w:val="left"/>
        </w:tabs>
        <w:numPr>
          <w:ilvl w:val="0"/>
          <w:numId w:val="4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Late Fees and Collection Costs</w:t>
      </w:r>
      <w:r>
        <w:rPr>
          <w:rFonts w:ascii="Arial" w:cs="Arial" w:eastAsia="Arial" w:hAnsi="Arial"/>
          <w:sz w:val="17"/>
          <w:szCs w:val="17"/>
          <w:color w:val="auto"/>
        </w:rPr>
        <w:t>. If a Party (the “Payor”) fails to pay the other Party (the “Payee”) an amount owed under this Agreement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due date, then the Payor will owe the Payee: (i) the delinquent amount; and (ii) a late payment fee equal to two percent (2%) of the delinquent amount for each full or partial calendar month past the due date that the delinquent amount remains unpaid. In addition, if the Payee has to file litigation to collect the amount owed and the Payee prevails in the litigation, Payor will reimburse Payee for actual, reasonable, substantiated out-of-pocket expenses incurred by Payee in collecting the delinquent amount and accrued late payment fees on the delinquent amount. Under no circumstance will the late payment fee payable to Payee exceed the amount that a creditor may lawfully impose on a debtor on a delinquent amount under Applicable Law.</w:t>
      </w:r>
    </w:p>
    <w:p>
      <w:pPr>
        <w:spacing w:after="0" w:line="390"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u w:val="single" w:color="auto"/>
          <w:color w:val="auto"/>
        </w:rPr>
        <w:t>XI. Miscellaneous</w:t>
      </w:r>
    </w:p>
    <w:p>
      <w:pPr>
        <w:spacing w:after="0" w:line="256" w:lineRule="exact"/>
        <w:rPr>
          <w:sz w:val="20"/>
          <w:szCs w:val="20"/>
          <w:color w:val="auto"/>
        </w:rPr>
      </w:pPr>
    </w:p>
    <w:p>
      <w:pPr>
        <w:ind w:left="436" w:right="60" w:hanging="436"/>
        <w:spacing w:after="0" w:line="255" w:lineRule="auto"/>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including its appended Exhibits and Purchase Schedules entered into during the Term, constitutes the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between the Parties with respect to the receipt, storage and delivery of Reynolds Products at the Warehouses. This Agreement supersedes all prior and simultaneous representations, discussions, negotiations, letters, proposals, agreements and understandings, whether written or oral, with respect to this subject matter. This Agreement will not be binding on either Party unless and until signed by the chief executive officers of each Party. No handwritten or other addition, deletion or other modification to the printed portions of this Agreement will be binding upon either Party to this Agreement.</w:t>
      </w:r>
    </w:p>
    <w:p>
      <w:pPr>
        <w:spacing w:after="0" w:line="98" w:lineRule="exact"/>
        <w:rPr>
          <w:rFonts w:ascii="Arial" w:cs="Arial" w:eastAsia="Arial" w:hAnsi="Arial"/>
          <w:sz w:val="18"/>
          <w:szCs w:val="18"/>
          <w:b w:val="1"/>
          <w:bCs w:val="1"/>
          <w:color w:val="auto"/>
        </w:rPr>
      </w:pPr>
    </w:p>
    <w:p>
      <w:pPr>
        <w:ind w:left="436" w:right="120" w:hanging="436"/>
        <w:spacing w:after="0" w:line="255" w:lineRule="auto"/>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Party may not amend this Agreement nor supplement the terms and conditions in this Agreement through the inclusion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or different terms and conditions in any quotation, purchase order, invoice, bill of lading, letter, email or other document or communication. This Section does not prevent the reliance on the descriptive information in transaction documents identifying the ordered Products (e.g., the type and quantity of ordered products and scheduled date and location for delivery). No amendment of this Agreement will be valid or effective unless made in writing and signed and exchanged by officers of the Parties. A Party may approve or reject a request for an amendment in its sole and absolute discretion.</w:t>
      </w:r>
    </w:p>
    <w:p>
      <w:pPr>
        <w:spacing w:after="0" w:line="94" w:lineRule="exact"/>
        <w:rPr>
          <w:rFonts w:ascii="Arial" w:cs="Arial" w:eastAsia="Arial" w:hAnsi="Arial"/>
          <w:sz w:val="18"/>
          <w:szCs w:val="18"/>
          <w:b w:val="1"/>
          <w:bCs w:val="1"/>
          <w:color w:val="auto"/>
        </w:rPr>
      </w:pPr>
    </w:p>
    <w:p>
      <w:pPr>
        <w:ind w:left="436" w:right="120" w:hanging="436"/>
        <w:spacing w:after="0" w:line="258" w:lineRule="auto"/>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failure of either party to insist in any one or more instances upon strict performance of any of the provisions of this Agreement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advantage of any of its rights shall not operate as a continuing waiver of such rights. No right or obligation under this Agreement will be considered to have been waived by a Party unless such waiver is in writing and is signed by an officer of the waiving Party and delivered to the other Party. No consent to or waiver of a breach by either Party will constitute a consent to, waiver of, or excuse for any other, different, or subsequent breach by such Party.</w:t>
      </w:r>
    </w:p>
    <w:p>
      <w:pPr>
        <w:spacing w:after="0" w:line="89" w:lineRule="exact"/>
        <w:rPr>
          <w:rFonts w:ascii="Arial" w:cs="Arial" w:eastAsia="Arial" w:hAnsi="Arial"/>
          <w:sz w:val="18"/>
          <w:szCs w:val="18"/>
          <w:b w:val="1"/>
          <w:bCs w:val="1"/>
          <w:color w:val="auto"/>
        </w:rPr>
      </w:pPr>
    </w:p>
    <w:p>
      <w:pPr>
        <w:ind w:left="436" w:right="120" w:hanging="436"/>
        <w:spacing w:after="0" w:line="261" w:lineRule="auto"/>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all claims or causes of action arising out of or related to this Agreement shall be governed in all respects,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as to validity, interpretation and effect, by the laws of the State of Illinois and the United States of America, without giving effect to its principles or rules of conflict of laws. The United Nations Convention on Contracts for the International Sale of Goods will not govern nor otherwise be applicable to this Agreement.</w:t>
      </w:r>
    </w:p>
    <w:p>
      <w:pPr>
        <w:spacing w:after="0" w:line="89" w:lineRule="exact"/>
        <w:rPr>
          <w:rFonts w:ascii="Arial" w:cs="Arial" w:eastAsia="Arial" w:hAnsi="Arial"/>
          <w:sz w:val="18"/>
          <w:szCs w:val="18"/>
          <w:b w:val="1"/>
          <w:bCs w:val="1"/>
          <w:color w:val="auto"/>
        </w:rPr>
      </w:pPr>
    </w:p>
    <w:p>
      <w:pPr>
        <w:ind w:left="436" w:right="60" w:hanging="436"/>
        <w:spacing w:after="0" w:line="264" w:lineRule="auto"/>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term of provision of this Agreement, or the application thereof shall be found invalid, void or unenforceable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or governmental organization having jurisdiction over the subject matter, the remaining provisions, and any application thereof, shall nevertheless continue in full force and effect.</w:t>
      </w:r>
    </w:p>
    <w:p>
      <w:pPr>
        <w:spacing w:after="0" w:line="86" w:lineRule="exact"/>
        <w:rPr>
          <w:rFonts w:ascii="Arial" w:cs="Arial" w:eastAsia="Arial" w:hAnsi="Arial"/>
          <w:sz w:val="18"/>
          <w:szCs w:val="18"/>
          <w:b w:val="1"/>
          <w:bCs w:val="1"/>
          <w:color w:val="auto"/>
        </w:rPr>
      </w:pPr>
    </w:p>
    <w:p>
      <w:pPr>
        <w:ind w:left="436" w:hanging="436"/>
        <w:spacing w:after="0" w:line="312" w:lineRule="auto"/>
        <w:tabs>
          <w:tab w:leader="none" w:pos="436"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Assignment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its rights and obligations, is not assignable nor otherwise transferable by either Party, in whole or in part, except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prior written consent of the other Party, which consent will not be unreasonably withheld, conditioned or delayed. Notwithstanding the foregoing, either Party may assign this Agreement in its entirety to any of its Affiliates or to a successor-in-interest in connection with any merger,</w:t>
      </w:r>
    </w:p>
    <w:p>
      <w:pPr>
        <w:spacing w:after="0" w:line="75"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Page 15 of 17</w:t>
      </w:r>
    </w:p>
    <w:p>
      <w:pPr>
        <w:sectPr>
          <w:pgSz w:w="11900" w:h="16838" w:orient="portrait"/>
          <w:cols w:equalWidth="0" w:num="1">
            <w:col w:w="10976"/>
          </w:cols>
          <w:pgMar w:left="444" w:top="274" w:right="479" w:bottom="1440" w:gutter="0" w:footer="0" w:header="0"/>
        </w:sectPr>
      </w:pPr>
    </w:p>
    <w:bookmarkStart w:id="472" w:name="page473"/>
    <w:bookmarkEnd w:id="472"/>
    <w:p>
      <w:pPr>
        <w:ind w:left="43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consolidation, sale of assets or equity interests or other forms of strategic transaction written notice to, but without the prior written of, the other Party provided that: (i) the assignee assumes all rights, obligations and liabilities of the assignor under this Agreement; and (ii) the assignee is not a competitor of the other Party. An assignment of this Agreement, in whole or in part, will not release the assigning Party of its obligations and liabilities under this Agreement, whether arising before or after the effective date of the assignment, unless the other Party approves the release in a written notice to the assigning Party. The assigning Party will provide the other Party with written notice of such assignment prior to or promptly following the effective date of such assignment. A change of majority ownership of a Party will be deemed an assignment of this Agreement unless the assignment is the result of Reynolds Group Holdings Limited ceasing to control the majority ownership of a Party. The restrictions in this Section will not preclude a Party for authorizing one or more of its Affiliates to manufacture, store, purchase, sell or deliver a product, or exercise any other right or perform any other obligation, on behalf of the Party under this Agreement. Subject to the foregoing, all of the terms, conditions and provisions of this Agreement shall be binding upon and shall inure to the benefit of the successors and assignees of the respective Parties.</w:t>
      </w:r>
    </w:p>
    <w:p>
      <w:pPr>
        <w:spacing w:after="0" w:line="88" w:lineRule="exact"/>
        <w:rPr>
          <w:sz w:val="20"/>
          <w:szCs w:val="20"/>
          <w:color w:val="auto"/>
        </w:rPr>
      </w:pPr>
    </w:p>
    <w:p>
      <w:pPr>
        <w:ind w:left="436" w:hanging="436"/>
        <w:spacing w:after="0"/>
        <w:tabs>
          <w:tab w:leader="none" w:pos="436"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Third Party Beneficiaries</w:t>
      </w:r>
      <w:r>
        <w:rPr>
          <w:rFonts w:ascii="Arial" w:cs="Arial" w:eastAsia="Arial" w:hAnsi="Arial"/>
          <w:sz w:val="18"/>
          <w:szCs w:val="18"/>
          <w:color w:val="auto"/>
        </w:rPr>
        <w:t>. There are no intended third-party beneficiaries of this Agreement.</w:t>
      </w:r>
    </w:p>
    <w:p>
      <w:pPr>
        <w:spacing w:after="0" w:line="130" w:lineRule="exact"/>
        <w:rPr>
          <w:rFonts w:ascii="Arial" w:cs="Arial" w:eastAsia="Arial" w:hAnsi="Arial"/>
          <w:sz w:val="18"/>
          <w:szCs w:val="18"/>
          <w:b w:val="1"/>
          <w:bCs w:val="1"/>
          <w:color w:val="auto"/>
        </w:rPr>
      </w:pPr>
    </w:p>
    <w:p>
      <w:pPr>
        <w:ind w:left="436" w:right="80" w:hanging="436"/>
        <w:spacing w:after="0" w:line="276" w:lineRule="auto"/>
        <w:tabs>
          <w:tab w:leader="none" w:pos="436" w:val="left"/>
        </w:tabs>
        <w:numPr>
          <w:ilvl w:val="0"/>
          <w:numId w:val="4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 Faith and Cooperation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where this Agreement states that a Party may expressly exercise a right or render a decision in its “sole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absolute discretion”, a Party will exercise its rights under this Agreement in its good faith business judgment. A Party will perform its obligations under this Agreement in a commercially reasonable manner consistent with industry practices and in compliance with Applicable Laws. A Party will promptly take such actions, provide such information and sign such documents as the other Party may reasonably request to obtain the benefits and exercise the rights granted, and to perform the obligations imposed, under this Agreement.</w:t>
      </w:r>
    </w:p>
    <w:p>
      <w:pPr>
        <w:spacing w:after="0" w:line="77" w:lineRule="exact"/>
        <w:rPr>
          <w:rFonts w:ascii="Arial" w:cs="Arial" w:eastAsia="Arial" w:hAnsi="Arial"/>
          <w:sz w:val="17"/>
          <w:szCs w:val="17"/>
          <w:b w:val="1"/>
          <w:bCs w:val="1"/>
          <w:color w:val="auto"/>
        </w:rPr>
      </w:pPr>
    </w:p>
    <w:p>
      <w:pPr>
        <w:ind w:left="436" w:hanging="436"/>
        <w:spacing w:after="0" w:line="255" w:lineRule="auto"/>
        <w:tabs>
          <w:tab w:leader="none" w:pos="436"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required or permitted to be provided by a Party under this Agreement will be made to the notice address of the receiving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or to an alternate notice address later designated by the receiving Party in accordance with this Subsection. Notices will be effective upon actual receipt by the receiving Party. An emailed notice will be effective against a receiving Party only if the Receiving Party acknowledge receipt of the emailed notice in a return notice to the notifying Party. A receiving Party agrees to acknowledge receipt of an email notice in good faith promptly following receipt. A Party may change its address for notice by giving notice to the other party Pursuant to this Subsection.</w:t>
      </w:r>
    </w:p>
    <w:p>
      <w:pPr>
        <w:spacing w:after="0" w:line="85"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Address for notice to Pactiv:</w:t>
      </w:r>
    </w:p>
    <w:p>
      <w:pPr>
        <w:spacing w:after="0" w:line="117" w:lineRule="exact"/>
        <w:rPr>
          <w:sz w:val="20"/>
          <w:szCs w:val="20"/>
          <w:color w:val="auto"/>
        </w:rPr>
      </w:pPr>
    </w:p>
    <w:p>
      <w:pPr>
        <w:ind w:left="996"/>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996"/>
        <w:spacing w:after="0"/>
        <w:rPr>
          <w:sz w:val="20"/>
          <w:szCs w:val="20"/>
          <w:color w:val="auto"/>
        </w:rPr>
      </w:pPr>
      <w:r>
        <w:rPr>
          <w:rFonts w:ascii="Arial" w:cs="Arial" w:eastAsia="Arial" w:hAnsi="Arial"/>
          <w:sz w:val="18"/>
          <w:szCs w:val="18"/>
          <w:color w:val="auto"/>
        </w:rPr>
        <w:t>1900 West Field Court</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Attn: John McGrath, Chief Executive Officer</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jmcgrath@pactiv.com</w:t>
      </w:r>
    </w:p>
    <w:p>
      <w:pPr>
        <w:spacing w:after="0" w:line="103" w:lineRule="exact"/>
        <w:rPr>
          <w:sz w:val="20"/>
          <w:szCs w:val="20"/>
          <w:color w:val="auto"/>
        </w:rPr>
      </w:pPr>
    </w:p>
    <w:p>
      <w:pPr>
        <w:ind w:left="996"/>
        <w:spacing w:after="0"/>
        <w:rPr>
          <w:sz w:val="20"/>
          <w:szCs w:val="20"/>
          <w:color w:val="auto"/>
        </w:rPr>
      </w:pPr>
      <w:r>
        <w:rPr>
          <w:rFonts w:ascii="Arial" w:cs="Arial" w:eastAsia="Arial" w:hAnsi="Arial"/>
          <w:sz w:val="18"/>
          <w:szCs w:val="18"/>
          <w:color w:val="auto"/>
        </w:rPr>
        <w:t>For any notice concerning an Operations Change, breach or termination, with a copy to:</w:t>
      </w:r>
    </w:p>
    <w:p>
      <w:pPr>
        <w:spacing w:after="0" w:line="117" w:lineRule="exact"/>
        <w:rPr>
          <w:sz w:val="20"/>
          <w:szCs w:val="20"/>
          <w:color w:val="auto"/>
        </w:rPr>
      </w:pPr>
    </w:p>
    <w:p>
      <w:pPr>
        <w:ind w:left="996"/>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996"/>
        <w:spacing w:after="0"/>
        <w:rPr>
          <w:sz w:val="20"/>
          <w:szCs w:val="20"/>
          <w:color w:val="auto"/>
        </w:rPr>
      </w:pPr>
      <w:r>
        <w:rPr>
          <w:rFonts w:ascii="Arial" w:cs="Arial" w:eastAsia="Arial" w:hAnsi="Arial"/>
          <w:sz w:val="18"/>
          <w:szCs w:val="18"/>
          <w:color w:val="auto"/>
        </w:rPr>
        <w:t>1900 West Field Court</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Attn: Steven R. Karl, General Counsel</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skarl@pactiv.com</w:t>
      </w:r>
    </w:p>
    <w:p>
      <w:pPr>
        <w:spacing w:after="0" w:line="103"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Address for notices to RCP:</w:t>
      </w:r>
    </w:p>
    <w:p>
      <w:pPr>
        <w:spacing w:after="0" w:line="117" w:lineRule="exact"/>
        <w:rPr>
          <w:sz w:val="20"/>
          <w:szCs w:val="20"/>
          <w:color w:val="auto"/>
        </w:rPr>
      </w:pPr>
    </w:p>
    <w:p>
      <w:pPr>
        <w:ind w:left="996"/>
        <w:spacing w:after="0"/>
        <w:rPr>
          <w:sz w:val="20"/>
          <w:szCs w:val="20"/>
          <w:color w:val="auto"/>
        </w:rPr>
      </w:pPr>
      <w:r>
        <w:rPr>
          <w:rFonts w:ascii="Arial" w:cs="Arial" w:eastAsia="Arial" w:hAnsi="Arial"/>
          <w:sz w:val="18"/>
          <w:szCs w:val="18"/>
          <w:color w:val="auto"/>
        </w:rPr>
        <w:t>Reynolds Consumer Products LLC</w:t>
      </w:r>
    </w:p>
    <w:p>
      <w:pPr>
        <w:spacing w:after="0" w:line="23" w:lineRule="exact"/>
        <w:rPr>
          <w:sz w:val="20"/>
          <w:szCs w:val="20"/>
          <w:color w:val="auto"/>
        </w:rPr>
      </w:pPr>
    </w:p>
    <w:p>
      <w:pPr>
        <w:ind w:left="996"/>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Attention: Lance Mitchell, Chief Executive Officer</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Lance.Mitchell@ReynoldsBrands.com</w:t>
      </w:r>
    </w:p>
    <w:p>
      <w:pPr>
        <w:spacing w:after="0" w:line="13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16 of 17</w:t>
      </w:r>
    </w:p>
    <w:p>
      <w:pPr>
        <w:sectPr>
          <w:pgSz w:w="11900" w:h="16838" w:orient="portrait"/>
          <w:cols w:equalWidth="0" w:num="1">
            <w:col w:w="10996"/>
          </w:cols>
          <w:pgMar w:left="444" w:top="273" w:right="459" w:bottom="1440" w:gutter="0" w:footer="0" w:header="0"/>
        </w:sectPr>
      </w:pPr>
    </w:p>
    <w:bookmarkStart w:id="473" w:name="page474"/>
    <w:bookmarkEnd w:id="473"/>
    <w:p>
      <w:pPr>
        <w:ind w:left="99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notice concerning a breach or termination, with a copy to:</w:t>
      </w:r>
    </w:p>
    <w:p>
      <w:pPr>
        <w:spacing w:after="0" w:line="117" w:lineRule="exact"/>
        <w:rPr>
          <w:sz w:val="20"/>
          <w:szCs w:val="20"/>
          <w:color w:val="auto"/>
        </w:rPr>
      </w:pPr>
    </w:p>
    <w:p>
      <w:pPr>
        <w:ind w:left="996"/>
        <w:spacing w:after="0"/>
        <w:rPr>
          <w:sz w:val="20"/>
          <w:szCs w:val="20"/>
          <w:color w:val="auto"/>
        </w:rPr>
      </w:pPr>
      <w:r>
        <w:rPr>
          <w:rFonts w:ascii="Arial" w:cs="Arial" w:eastAsia="Arial" w:hAnsi="Arial"/>
          <w:sz w:val="18"/>
          <w:szCs w:val="18"/>
          <w:color w:val="auto"/>
        </w:rPr>
        <w:t>Reynolds Consumer Products LLC</w:t>
      </w:r>
    </w:p>
    <w:p>
      <w:pPr>
        <w:spacing w:after="0" w:line="23" w:lineRule="exact"/>
        <w:rPr>
          <w:sz w:val="20"/>
          <w:szCs w:val="20"/>
          <w:color w:val="auto"/>
        </w:rPr>
      </w:pPr>
    </w:p>
    <w:p>
      <w:pPr>
        <w:ind w:left="996"/>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Attention: David Watson, General Counsel</w:t>
      </w:r>
    </w:p>
    <w:p>
      <w:pPr>
        <w:spacing w:after="0" w:line="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David.Watson@ReynoldsBrands.com</w:t>
      </w:r>
    </w:p>
    <w:p>
      <w:pPr>
        <w:spacing w:after="0" w:line="116" w:lineRule="exact"/>
        <w:rPr>
          <w:sz w:val="20"/>
          <w:szCs w:val="20"/>
          <w:color w:val="auto"/>
        </w:rPr>
      </w:pPr>
    </w:p>
    <w:p>
      <w:pPr>
        <w:ind w:left="436" w:right="100" w:hanging="436"/>
        <w:spacing w:after="0" w:line="291" w:lineRule="auto"/>
        <w:tabs>
          <w:tab w:leader="none" w:pos="436"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Contractors</w:t>
      </w:r>
      <w:r>
        <w:rPr>
          <w:rFonts w:ascii="Arial" w:cs="Arial" w:eastAsia="Arial" w:hAnsi="Arial"/>
          <w:sz w:val="16"/>
          <w:szCs w:val="16"/>
          <w:color w:val="auto"/>
        </w:rPr>
        <w:t>. The relationship of the Parties established by this Agreement is that of independent contractors, and nothing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shall be construed to: (a) give either Party the power to direct and control the day-to-day activities of the other Party,</w:t>
      </w:r>
    </w:p>
    <w:p>
      <w:pPr>
        <w:ind w:left="436"/>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 establish the Parties as partners, joint ventures, co-owners or otherwise as participants in a joint or common undertaking, or (c) allow a Party to bind the other Party in any manner or otherwise create or assume any obligation on behalf of the other Party for any purpose whatsoever. A Party will not be considered an agent of the other Party.</w:t>
      </w:r>
    </w:p>
    <w:p>
      <w:pPr>
        <w:spacing w:after="0" w:line="217" w:lineRule="exact"/>
        <w:rPr>
          <w:rFonts w:ascii="Arial" w:cs="Arial" w:eastAsia="Arial" w:hAnsi="Arial"/>
          <w:sz w:val="16"/>
          <w:szCs w:val="16"/>
          <w:b w:val="1"/>
          <w:bCs w:val="1"/>
          <w:color w:val="auto"/>
        </w:rPr>
      </w:pPr>
    </w:p>
    <w:p>
      <w:pPr>
        <w:jc w:val="both"/>
        <w:ind w:left="436" w:right="40" w:hanging="436"/>
        <w:spacing w:after="0" w:line="264" w:lineRule="auto"/>
        <w:tabs>
          <w:tab w:leader="none" w:pos="436"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Non-Exclusive Supply Relationship</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is not evidence of, nor does it create, any form of exclusive supply relationship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concerning the receipt, storage or delivery of Reynolds Products at any Warehouse. Nothing in the Agreement obligates Reynolds to store any Reynolds Products at a Warehouse during the Term.</w:t>
      </w:r>
    </w:p>
    <w:p>
      <w:pPr>
        <w:spacing w:after="0" w:line="208" w:lineRule="exact"/>
        <w:rPr>
          <w:rFonts w:ascii="Arial" w:cs="Arial" w:eastAsia="Arial" w:hAnsi="Arial"/>
          <w:sz w:val="18"/>
          <w:szCs w:val="18"/>
          <w:b w:val="1"/>
          <w:bCs w:val="1"/>
          <w:color w:val="auto"/>
        </w:rPr>
      </w:pPr>
    </w:p>
    <w:p>
      <w:pPr>
        <w:ind w:left="436" w:hanging="436"/>
        <w:spacing w:after="0"/>
        <w:tabs>
          <w:tab w:leader="none" w:pos="436"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Construction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the context otherwise requires, the following rules of construction will be applied to in the interpretation of the agreement:</w:t>
      </w:r>
    </w:p>
    <w:p>
      <w:pPr>
        <w:spacing w:after="0" w:line="46" w:lineRule="exact"/>
        <w:rPr>
          <w:rFonts w:ascii="Arial" w:cs="Arial" w:eastAsia="Arial" w:hAnsi="Arial"/>
          <w:sz w:val="16"/>
          <w:szCs w:val="16"/>
          <w:b w:val="1"/>
          <w:bCs w:val="1"/>
          <w:color w:val="auto"/>
        </w:rPr>
      </w:pPr>
    </w:p>
    <w:p>
      <w:pPr>
        <w:ind w:left="436"/>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(1) headings are for convenience only and do not affect interpretation; (2) singular includes the plural and vice-versa; (3) gender includes all genders; (4) if a word or phrase is defined, its other grammatical forms have a corresponding meaning; (5) the meaning of general words is not limited by specific examples introduced by “includes”, “including” or “for example” or similar expressions; (6) the word “person” includes an individual, corporation, company, trust, partnership, limited partnership, unincorporated body, joint venture, consortium or other legal entity; (7) a reference in any Purchase Schedule or Exhibit to an section, subsection or clause is a reference to a section, subsection or clause in that Purchase Schedule or Exhibit unless otherwise identified; (8) reference to an Exhibit is a reference to an Exhibit described, appended or otherwise identified in this Agreement; (9) a reference to conduct includes, without limitation, an omission, statement or undertaking, whether or not in writing; (10) a reference to a third-party is a reference to a person who is not a Party to this agreement; (11) where a period of time is specified for the performance of any act and dates from a given day or the day of an act or event, the period shall be exclusive of that date; and (12) the Parties agree that this Agreement is the product of negotiation between sophisticated parties and individuals, all of whom were or have been given the opportunity to be represented by counsel, and each of whom had an opportunity to participate in, and did participate in, negotiation of the terms hereof; accordingly, the Parties acknowledge and agree that the Agreement is not a contract of adhesion and that ambiguities in the Agreement, if any, shall not be construed strictly or in favor of or against either Party, but rather shall be given a fair and reasonable construction.</w:t>
      </w:r>
    </w:p>
    <w:p>
      <w:pPr>
        <w:spacing w:after="0" w:line="197" w:lineRule="exact"/>
        <w:rPr>
          <w:rFonts w:ascii="Arial" w:cs="Arial" w:eastAsia="Arial" w:hAnsi="Arial"/>
          <w:sz w:val="16"/>
          <w:szCs w:val="16"/>
          <w:b w:val="1"/>
          <w:bCs w:val="1"/>
          <w:color w:val="auto"/>
        </w:rPr>
      </w:pPr>
    </w:p>
    <w:p>
      <w:pPr>
        <w:ind w:left="436" w:right="20" w:hanging="436"/>
        <w:spacing w:after="0" w:line="312" w:lineRule="auto"/>
        <w:tabs>
          <w:tab w:leader="none" w:pos="436"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Execution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may be executed in any number of counterparts, each of which shall be deemed an original as against the Party whose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signature appears thereon, but all of which taken together shall constitute but one and the same instrument. Acceptance of this Agreement may be made by e-mail, mail or other commercially reasonable means showing the signatures of the chief executive officers of the Parties.</w:t>
      </w:r>
    </w:p>
    <w:p>
      <w:pPr>
        <w:spacing w:after="0" w:line="14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REMAINDER OF PAGE INTENTIONALLY LEFT BLANK</w:t>
      </w:r>
    </w:p>
    <w:p>
      <w:pPr>
        <w:spacing w:after="0" w:line="225" w:lineRule="exact"/>
        <w:rPr>
          <w:sz w:val="20"/>
          <w:szCs w:val="20"/>
          <w:color w:val="auto"/>
        </w:rPr>
      </w:pPr>
    </w:p>
    <w:p>
      <w:pPr>
        <w:ind w:left="3616"/>
        <w:spacing w:after="0"/>
        <w:rPr>
          <w:sz w:val="20"/>
          <w:szCs w:val="20"/>
          <w:color w:val="auto"/>
        </w:rPr>
      </w:pPr>
      <w:r>
        <w:rPr>
          <w:rFonts w:ascii="Arial" w:cs="Arial" w:eastAsia="Arial" w:hAnsi="Arial"/>
          <w:sz w:val="18"/>
          <w:szCs w:val="18"/>
          <w:b w:val="1"/>
          <w:bCs w:val="1"/>
          <w:u w:val="single" w:color="auto"/>
          <w:color w:val="auto"/>
        </w:rPr>
        <w:t>SIGNATURE PAGE AND EXHIBITS FOLLOW</w:t>
      </w:r>
    </w:p>
    <w:p>
      <w:pPr>
        <w:spacing w:after="0" w:line="158" w:lineRule="exact"/>
        <w:rPr>
          <w:sz w:val="20"/>
          <w:szCs w:val="20"/>
          <w:color w:val="auto"/>
        </w:rPr>
      </w:pPr>
    </w:p>
    <w:p>
      <w:pPr>
        <w:ind w:left="4456"/>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Between Reynolds Consumer Products LLC and Pactiv LLC</w:t>
      </w:r>
    </w:p>
    <w:p>
      <w:pPr>
        <w:spacing w:after="0" w:line="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Page 17 of 17</w:t>
      </w:r>
    </w:p>
    <w:p>
      <w:pPr>
        <w:sectPr>
          <w:pgSz w:w="11900" w:h="16838" w:orient="portrait"/>
          <w:cols w:equalWidth="0" w:num="1">
            <w:col w:w="10996"/>
          </w:cols>
          <w:pgMar w:left="444" w:top="273" w:right="459" w:bottom="1440" w:gutter="0" w:footer="0" w:header="0"/>
        </w:sectPr>
      </w:pPr>
    </w:p>
    <w:bookmarkStart w:id="474" w:name="page475"/>
    <w:bookmarkEnd w:id="47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6"/>
          <w:szCs w:val="16"/>
          <w:color w:val="auto"/>
        </w:rPr>
        <w:t>the Parties have executed this Warehouse and Freight Services Supply Agreement effective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PACTIV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McGrath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REYNOLDS CONSUMER PRODUCTS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Lance Mitchell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Execution Copy 10-24-2019</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Warehouse and Freight Services Agreement Dated November 1, 2019</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Between Pactiv LLC</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And Reynolds Consumer Products LLC</w:t>
      </w:r>
    </w:p>
    <w:p>
      <w:pPr>
        <w:sectPr>
          <w:pgSz w:w="11900" w:h="16838" w:orient="portrait"/>
          <w:cols w:equalWidth="0" w:num="1">
            <w:col w:w="10480"/>
          </w:cols>
          <w:pgMar w:left="440" w:top="270" w:right="97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5"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 xml:space="preserve">TRANSITION SERVICES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 2019, between</w:t>
      </w:r>
      <w:r>
        <w:rPr>
          <w:rFonts w:ascii="Arial" w:cs="Arial" w:eastAsia="Arial" w:hAnsi="Arial"/>
          <w:sz w:val="18"/>
          <w:szCs w:val="18"/>
          <w:b w:val="1"/>
          <w:bCs w:val="1"/>
          <w:color w:val="auto"/>
        </w:rPr>
        <w:t xml:space="preserve"> Pactiv LLC, </w:t>
      </w:r>
      <w:r>
        <w:rPr>
          <w:rFonts w:ascii="Arial" w:cs="Arial" w:eastAsia="Arial" w:hAnsi="Arial"/>
          <w:sz w:val="18"/>
          <w:szCs w:val="18"/>
          <w:color w:val="auto"/>
        </w:rPr>
        <w:t>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u w:val="single" w:color="auto"/>
          <w:color w:val="auto"/>
        </w:rPr>
        <w:t>PACTIV</w:t>
      </w:r>
      <w:r>
        <w:rPr>
          <w:rFonts w:ascii="Arial" w:cs="Arial" w:eastAsia="Arial" w:hAnsi="Arial"/>
          <w:sz w:val="18"/>
          <w:szCs w:val="18"/>
          <w:color w:val="auto"/>
        </w:rPr>
        <w:t xml:space="preserve">”), and </w:t>
      </w:r>
      <w:r>
        <w:rPr>
          <w:rFonts w:ascii="Arial" w:cs="Arial" w:eastAsia="Arial" w:hAnsi="Arial"/>
          <w:sz w:val="18"/>
          <w:szCs w:val="18"/>
          <w:b w:val="1"/>
          <w:bCs w:val="1"/>
          <w:color w:val="auto"/>
        </w:rPr>
        <w:t>Reynolds Consumer Products LLC</w:t>
      </w:r>
      <w:r>
        <w:rPr>
          <w:rFonts w:ascii="Arial" w:cs="Arial" w:eastAsia="Arial" w:hAnsi="Arial"/>
          <w:sz w:val="18"/>
          <w:szCs w:val="18"/>
          <w:color w:val="auto"/>
        </w:rPr>
        <w:t>,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RCP</w:t>
      </w:r>
      <w:r>
        <w:rPr>
          <w:rFonts w:ascii="Arial" w:cs="Arial" w:eastAsia="Arial" w:hAnsi="Arial"/>
          <w:sz w:val="18"/>
          <w:szCs w:val="18"/>
          <w:color w:val="auto"/>
        </w:rPr>
        <w:t>”). Each Party or any of its Affiliates providing services hereunder shall be a “</w:t>
      </w:r>
      <w:r>
        <w:rPr>
          <w:rFonts w:ascii="Arial" w:cs="Arial" w:eastAsia="Arial" w:hAnsi="Arial"/>
          <w:sz w:val="18"/>
          <w:szCs w:val="18"/>
          <w:u w:val="single" w:color="auto"/>
          <w:color w:val="auto"/>
        </w:rPr>
        <w:t>Provider</w:t>
      </w:r>
      <w:r>
        <w:rPr>
          <w:rFonts w:ascii="Arial" w:cs="Arial" w:eastAsia="Arial" w:hAnsi="Arial"/>
          <w:sz w:val="18"/>
          <w:szCs w:val="18"/>
          <w:color w:val="auto"/>
        </w:rPr>
        <w:t>,” and each Party or any of its Affiliates receiving services hereunder shall be a “</w:t>
      </w:r>
      <w:r>
        <w:rPr>
          <w:rFonts w:ascii="Arial" w:cs="Arial" w:eastAsia="Arial" w:hAnsi="Arial"/>
          <w:sz w:val="18"/>
          <w:szCs w:val="18"/>
          <w:u w:val="single" w:color="auto"/>
          <w:color w:val="auto"/>
        </w:rPr>
        <w:t>Recipient</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 PACTIV and Company are subsidiaries of Reynolds Group Holdings Limited, a company organized under the laws of New Zealand (“RGHL”). In order to align business operations related to warehousing and manufacturing, certain PACTIV facilities are transferring to RCP effective November 1, 2019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w:t>
      </w:r>
    </w:p>
    <w:p>
      <w:pPr>
        <w:spacing w:after="0" w:line="18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B. In order to facilitate the transfer of the PACTIV facilities to the Company, (i) PACTIV will provide, or cause its Affiliates to provide, certain services to the Company and its Affiliates, and (ii) the Company will provide, or cause its Affiliates to provide, certain services to PACTIV and its Affiliates, all on the terms and conditions set forth 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respective meanings set forth below throughout this Agreement:</w:t>
      </w:r>
    </w:p>
    <w:p>
      <w:pPr>
        <w:spacing w:after="0" w:line="117" w:lineRule="exact"/>
        <w:rPr>
          <w:sz w:val="20"/>
          <w:szCs w:val="20"/>
          <w:color w:val="auto"/>
        </w:rPr>
      </w:pPr>
    </w:p>
    <w:p>
      <w:pPr>
        <w:ind w:left="440" w:right="2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For the avoidance of doubt, for the purposes of this Agreement and all exhibits thereto, the term Affiliate shall not apply to the relationship between PACTIV or RGHL or either of their respective Affiliates on the one hand and RCP and its direct and indirect subsidiaries on the other hand.</w:t>
      </w:r>
    </w:p>
    <w:p>
      <w:pPr>
        <w:spacing w:after="0" w:line="70"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the average of the daily “prime rate” (expressed rate per annum)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for each of the days in the applicable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percent (2%).</w:t>
      </w:r>
    </w:p>
    <w:p>
      <w:pPr>
        <w:spacing w:after="0" w:line="62"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manufacture and sale of consumer products including cooking products, waste &amp; storage products, and tableware by the Company and activities ancillary thereto.</w:t>
      </w:r>
    </w:p>
    <w:p>
      <w:pPr>
        <w:sectPr>
          <w:pgSz w:w="11900" w:h="16838" w:orient="portrait"/>
          <w:cols w:equalWidth="0" w:num="1">
            <w:col w:w="11020"/>
          </w:cols>
          <w:pgMar w:left="440" w:top="121" w:right="439" w:bottom="1440" w:gutter="0" w:footer="0" w:header="0"/>
        </w:sectPr>
      </w:pPr>
    </w:p>
    <w:bookmarkStart w:id="476" w:name="page477"/>
    <w:bookmarkEnd w:id="47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a Saturday, (b) a Sunday, or (c) any other day on which commercial banks are authorized or required by law to be closed in the City of New York.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information of a Party, its Affiliates, members, licensors, consultants, service providers, advisors or agents that is confidential or proprietary, however recorded or preserved, whether written or oral. Confidential Information includes trade secrets, pricing data, employee information, customer information, cost information, supplier information, financial and tax matters, third-party contract terms, inventions, know-how, processes, methods, models, technical information, schedules, code, ideas, concepts, data, software and business plans (regardless of whether such information is identified as confidential).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Negotiations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governmental or quasi-governmental entity of any nature (including any governmental agency, branch, department, official, or entity and any court or other tribunal) or (iii) body exercising, or entitled to exercise any administrative, executive, judicial, legislative, police, regulatory or taxing authority or power of any nature, including any arbitral tribunal.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 law, statute, order, ordinance, rule, regulation, judgment, injunction, order, or decree.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action, cease and desist letter, demand, suit, arbitration proceeding, administrative or regulatory proceeding, citation, summons or subpoena of any nature, civil, criminal, regulatory or otherwise, in law or in equity.</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damages, liabilities, losses, obligations, claims of any kind, interest and expenses (including reasonable fees and expenses of attorneys).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PACTIV or Company, as applicable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with respect to any Party, (i) the employees, officers and directors of such Party or its Affiliates or (ii) agents, accountants, attorneys, independent contractors and other third parties engaged by such Party or its Affiliates.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880" w:top="274" w:right="47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Provider</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 Transition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Services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Incident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Regulations</w:t>
      </w:r>
      <w:r>
        <w:rPr>
          <w:rFonts w:ascii="Arial" w:cs="Arial" w:eastAsia="Arial" w:hAnsi="Arial"/>
          <w:sz w:val="16"/>
          <w:szCs w:val="16"/>
          <w:color w:val="auto"/>
        </w:rPr>
        <w:t>” means a Party’s and its Affiliates’ system security policies, procedures and requirements, as amended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Coordinator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Standard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the Transition Services and the Reverse Transition Services, unless the context requires otherwise.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federal, state, local or foreign income, alternative, minimum, accumulated earnings, personal holding company, franchise, capital stock, profits, windfall profits, gross receipts, sales, use, value added, transfer, registration, stamp, premium, excise, customs duties, severance, environmental (including taxes under section 59A of the Code), real property, personal property, ad valorem, occupancy, license, occupation, employment, payroll, social security, disability, unemployment, workers’ compensation, withholding, estimated or other similar tax, duty, fee, assessment or other governmental charge or deficiencies thereof (including all interest and penalties thereon and additions thereto).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TSA 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3" w:right="439" w:bottom="1440" w:gutter="0" w:footer="0" w:header="0"/>
        </w:sectPr>
      </w:pPr>
    </w:p>
    <w:bookmarkStart w:id="478" w:name="page479"/>
    <w:bookmarkEnd w:id="478"/>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90" w:lineRule="auto"/>
        <w:tabs>
          <w:tab w:leader="none" w:pos="1108"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During the applicable Term of any Service, and in accordance with the terms and conditions of this Agreement, PACTIV shall provide, or shall cause its Affiliates or, subject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third parties to provide, to the Company or one or more of its Affiliates (in connection with the conduct of the Business) the services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Transition Services</w:t>
      </w:r>
      <w:r>
        <w:rPr>
          <w:rFonts w:ascii="Arial" w:cs="Arial" w:eastAsia="Arial" w:hAnsi="Arial"/>
          <w:sz w:val="16"/>
          <w:szCs w:val="16"/>
          <w:color w:val="auto"/>
        </w:rPr>
        <w:t xml:space="preserve">”). Notwithstanding the content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PACTIV agrees to consider in good faith to any reasonable request by the Company for access to any additional service that is necessary for the operation of the Business, at fees to be agreed upon after good faith negotiation between the parties. PACTIV will not be in in breach of this Agreement if PACTIV declines to provide a requested additional service for any good faith reason, including the failure of the Parties to agree to the scope, term, and fee for the additional service. Any such additional services so provided by PACTIV shall constitute Services hereunder and be subject in all respects to the provisions of this Agreement as if fully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date hereof.</w:t>
      </w:r>
    </w:p>
    <w:p>
      <w:pPr>
        <w:spacing w:after="0" w:line="58" w:lineRule="exact"/>
        <w:rPr>
          <w:rFonts w:ascii="Arial" w:cs="Arial" w:eastAsia="Arial" w:hAnsi="Arial"/>
          <w:sz w:val="16"/>
          <w:szCs w:val="16"/>
          <w:color w:val="auto"/>
        </w:rPr>
      </w:pPr>
    </w:p>
    <w:p>
      <w:pPr>
        <w:jc w:val="both"/>
        <w:ind w:left="440" w:right="60" w:firstLine="428"/>
        <w:spacing w:after="0" w:line="264" w:lineRule="auto"/>
        <w:tabs>
          <w:tab w:leader="none" w:pos="111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During the applicable Term of any Service, and in accordance with the terms and conditions of this Agreement, Company shall provide, or shall cause its Affiliates or,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third parties to provide, to PACTIV or one or more of its Affiliates, the services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Reverse Transition Services</w:t>
      </w:r>
      <w:r>
        <w:rPr>
          <w:rFonts w:ascii="Arial" w:cs="Arial" w:eastAsia="Arial" w:hAnsi="Arial"/>
          <w:sz w:val="18"/>
          <w:szCs w:val="18"/>
          <w:color w:val="auto"/>
        </w:rPr>
        <w:t>”).</w:t>
      </w:r>
    </w:p>
    <w:p>
      <w:pPr>
        <w:spacing w:after="0" w:line="18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Performance by Affiliates or Subcontractors</w:t>
      </w:r>
      <w:r>
        <w:rPr>
          <w:rFonts w:ascii="Arial" w:cs="Arial" w:eastAsia="Arial" w:hAnsi="Arial"/>
          <w:sz w:val="17"/>
          <w:szCs w:val="17"/>
          <w:color w:val="auto"/>
        </w:rPr>
        <w:t xml:space="preserve">. Either Party may, in its sole discretion, engage, or cause one of their Affiliates to engage, one or more parties (including other third parties or Affiliates) to provide some or all of the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such Party is using such Affiliate or third party to perform the same Services for itself and its Affiliates (to the extent applicable), (ii) such arrangement would not increase the cost to Recipient for such Services, and (iii) if such third party is not already engaged with respect to such Service as of the date hereof, Provider shall obtain the prior written consent of Recipient (not to be unreasonably withheld). Provider shall (x) be responsible for the performance or non-performance of any such parties and (y) in all cases remain responsible for ensuring that obligations with respect to the standards of Services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are satisfied with respect to any Services provided by such Affiliate or third party.</w:t>
      </w:r>
    </w:p>
    <w:p>
      <w:pPr>
        <w:spacing w:after="0" w:line="178"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Scope of Services</w:t>
      </w:r>
      <w:r>
        <w:rPr>
          <w:rFonts w:ascii="Arial" w:cs="Arial" w:eastAsia="Arial" w:hAnsi="Arial"/>
          <w:sz w:val="18"/>
          <w:szCs w:val="18"/>
          <w:color w:val="auto"/>
        </w:rPr>
        <w:t xml:space="preserve">. Other than as expressly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or as agreed by the Parties in writing, in no event shall Provider be obligated to provide any Service to the Recipient for any purpose other than to facilitate, on a transitional basis, the Recipient’s ability to conduct business as conducted immediately preceding the date 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 LEVELS; SERVICE COORDINATORS; TSA COMMITTEE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Quality of Services</w:t>
      </w:r>
      <w:r>
        <w:rPr>
          <w:rFonts w:ascii="Arial" w:cs="Arial" w:eastAsia="Arial" w:hAnsi="Arial"/>
          <w:sz w:val="18"/>
          <w:szCs w:val="18"/>
          <w:color w:val="auto"/>
        </w:rPr>
        <w:t>.</w:t>
      </w:r>
    </w:p>
    <w:p>
      <w:pPr>
        <w:spacing w:after="0" w:line="117" w:lineRule="exact"/>
        <w:rPr>
          <w:sz w:val="20"/>
          <w:szCs w:val="20"/>
          <w:color w:val="auto"/>
        </w:rPr>
      </w:pPr>
    </w:p>
    <w:p>
      <w:pPr>
        <w:ind w:left="440" w:right="160" w:firstLine="428"/>
        <w:spacing w:after="0" w:line="291" w:lineRule="auto"/>
        <w:tabs>
          <w:tab w:leader="none" w:pos="1108" w:val="left"/>
        </w:tabs>
        <w:numPr>
          <w:ilvl w:val="1"/>
          <w:numId w:val="413"/>
        </w:numPr>
        <w:rPr>
          <w:rFonts w:ascii="Arial" w:cs="Arial" w:eastAsia="Arial" w:hAnsi="Arial"/>
          <w:sz w:val="16"/>
          <w:szCs w:val="16"/>
          <w:color w:val="auto"/>
        </w:rPr>
      </w:pPr>
      <w:r>
        <w:rPr>
          <w:rFonts w:ascii="Arial" w:cs="Arial" w:eastAsia="Arial" w:hAnsi="Arial"/>
          <w:sz w:val="16"/>
          <w:szCs w:val="16"/>
          <w:color w:val="auto"/>
        </w:rPr>
        <w:t>Provider shall perform the Services (i) at a level of quality substantially similar in all material respects to that at which such Services were performed or enjoyed during the twelve (12) month period prior to the date hereof and (ii) in accordance with applicable Law (collectively,</w:t>
      </w:r>
    </w:p>
    <w:p>
      <w:pPr>
        <w:ind w:left="440" w:right="20" w:firstLine="4"/>
        <w:spacing w:after="0" w:line="255" w:lineRule="auto"/>
        <w:tabs>
          <w:tab w:leader="none" w:pos="65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and (ii), the “</w:t>
      </w:r>
      <w:r>
        <w:rPr>
          <w:rFonts w:ascii="Arial" w:cs="Arial" w:eastAsia="Arial" w:hAnsi="Arial"/>
          <w:sz w:val="18"/>
          <w:szCs w:val="18"/>
          <w:u w:val="single" w:color="auto"/>
          <w:color w:val="auto"/>
        </w:rPr>
        <w:t>Service Standard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3.1(c)</w:t>
      </w:r>
      <w:r>
        <w:rPr>
          <w:rFonts w:ascii="Arial" w:cs="Arial" w:eastAsia="Arial" w:hAnsi="Arial"/>
          <w:sz w:val="18"/>
          <w:szCs w:val="18"/>
          <w:color w:val="auto"/>
        </w:rPr>
        <w:t>, internal controls of Provider and its Affiliates with respect to the Service Standard shall remain materially the same in effect throughout the term of this Agreement. Each Party acknowledges that the other Party and their Affiliates are not professional service providers of the Services.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479" w:name="page480"/>
    <w:bookmarkEnd w:id="479"/>
    <w:p>
      <w:pPr>
        <w:ind w:left="440" w:right="340" w:firstLine="428"/>
        <w:spacing w:after="0" w:line="259" w:lineRule="auto"/>
        <w:tabs>
          <w:tab w:leader="none" w:pos="1118"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material failure of a Provider to perform the Services, as applicable, in accordance with the Service Standards, Recipient shall provide Provider with written notice of such material failure, and Provider will use commercially reasonable efforts to remedy such failure as soon as reasonably possible and in the same manner that Provider would remedy such a failure for their other businesses undergoing such a material failure.</w:t>
      </w:r>
    </w:p>
    <w:p>
      <w:pPr>
        <w:spacing w:after="0" w:line="78" w:lineRule="exact"/>
        <w:rPr>
          <w:rFonts w:ascii="Arial" w:cs="Arial" w:eastAsia="Arial" w:hAnsi="Arial"/>
          <w:sz w:val="18"/>
          <w:szCs w:val="18"/>
          <w:color w:val="auto"/>
        </w:rPr>
      </w:pPr>
    </w:p>
    <w:p>
      <w:pPr>
        <w:ind w:left="440" w:firstLine="428"/>
        <w:spacing w:after="0" w:line="268" w:lineRule="auto"/>
        <w:tabs>
          <w:tab w:leader="none" w:pos="110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A Provider may, from time to time: (i) reasonably supplement, modify, upgrade, substitute or otherwise alter (“</w:t>
      </w:r>
      <w:r>
        <w:rPr>
          <w:rFonts w:ascii="Arial" w:cs="Arial" w:eastAsia="Arial" w:hAnsi="Arial"/>
          <w:sz w:val="17"/>
          <w:szCs w:val="17"/>
          <w:u w:val="single" w:color="auto"/>
          <w:color w:val="auto"/>
        </w:rPr>
        <w:t>Change</w:t>
      </w:r>
      <w:r>
        <w:rPr>
          <w:rFonts w:ascii="Arial" w:cs="Arial" w:eastAsia="Arial" w:hAnsi="Arial"/>
          <w:sz w:val="17"/>
          <w:szCs w:val="17"/>
          <w:color w:val="auto"/>
        </w:rPr>
        <w:t xml:space="preserve">”) any Service in a manner consistent with Changes made with respect to similar services provided by Provider on their own behalf or to their Affiliates, including taking any physical or information security measures with respect to such Service, in a manner that does not (x) adversely affect in any material respect the quality or availability of such Service or (y) materially increase the fees payable in connection with such Changed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such Change is reasonably likely to modify, substitute or otherwise alter the receipt or use of such Service, Provider shall provide Recipient with reasonable advance written notice of the implementation of the Change to the extent practicable under the circumstances;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Service Standard shall continue to apply to such Service following any Change. If a Change is required by applicable Law or is in response to a threatened Security Incident, Provider may make any and all changes to the Service necessary to comply with applicable Law and any changes thereto or to respond to such threatened Security Incident in a manner consistent with responses made by Provider on its own behalf or in respect of their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Provider shall provide Recipient such reasonable advance written notice of the implementation of any such Change as may be practicable under the circumstances; and (ii) with reasonable advance written notice to Recipient, temporarily suspend the provision of a Service as necessary to conduct Systems maintenance or patching without such suspension constituting a breach of the Service Standard.</w:t>
      </w:r>
    </w:p>
    <w:p>
      <w:pPr>
        <w:spacing w:after="0" w:line="79" w:lineRule="exact"/>
        <w:rPr>
          <w:rFonts w:ascii="Arial" w:cs="Arial" w:eastAsia="Arial" w:hAnsi="Arial"/>
          <w:sz w:val="17"/>
          <w:szCs w:val="17"/>
          <w:color w:val="auto"/>
        </w:rPr>
      </w:pPr>
    </w:p>
    <w:p>
      <w:pPr>
        <w:ind w:left="440" w:right="80" w:firstLine="428"/>
        <w:spacing w:after="0" w:line="259" w:lineRule="auto"/>
        <w:tabs>
          <w:tab w:leader="none" w:pos="111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 Provider need not provide any Service if it is not permitted to do so by applicable Law. To the extent that any Service is not permitted pursuant to applicable Law, the Parties will cooperate in good faith to enter into arrangements reasonably acceptable to each of the Parties under which the Recipient would obtain the benefit of such Service to the same extent (or as nearly as practicable) as if such Service were permitted by applicable Law.</w:t>
      </w:r>
    </w:p>
    <w:p>
      <w:pPr>
        <w:spacing w:after="0" w:line="18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Policies</w:t>
      </w:r>
      <w:r>
        <w:rPr>
          <w:rFonts w:ascii="Arial" w:cs="Arial" w:eastAsia="Arial" w:hAnsi="Arial"/>
          <w:sz w:val="18"/>
          <w:szCs w:val="18"/>
          <w:color w:val="auto"/>
        </w:rPr>
        <w:t xml:space="preserve">. Each Party shall, and shall cause any of its Affiliates or third parties providing or receiving Services (as the case may be) to, follow the reasonable policies, procedures and practices of the other Party and its Affiliates applicable to the Services that are known or made known to such Party. A failure of a Recipient to act in accordance with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that prevents a Provider from providing a Service hereunder shall, upon reasonable advance written notice to the Recipient (where practicable), relieves Provider of its obligations under the Service until such time as the failure has been cured.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80" w:name="page481"/>
    <w:bookmarkEnd w:id="4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8"/>
          <w:szCs w:val="18"/>
          <w:u w:val="single" w:color="auto"/>
          <w:color w:val="auto"/>
        </w:rPr>
        <w:t>Service Coordinators and Dispute Resolution</w:t>
      </w:r>
      <w:r>
        <w:rPr>
          <w:rFonts w:ascii="Arial" w:cs="Arial" w:eastAsia="Arial" w:hAnsi="Arial"/>
          <w:sz w:val="18"/>
          <w:szCs w:val="18"/>
          <w:color w:val="auto"/>
        </w:rPr>
        <w:t>.</w:t>
      </w:r>
    </w:p>
    <w:p>
      <w:pPr>
        <w:spacing w:after="0" w:line="117" w:lineRule="exact"/>
        <w:rPr>
          <w:sz w:val="20"/>
          <w:szCs w:val="20"/>
          <w:color w:val="auto"/>
        </w:rPr>
      </w:pPr>
    </w:p>
    <w:p>
      <w:pPr>
        <w:ind w:left="440" w:right="100" w:firstLine="428"/>
        <w:spacing w:after="0" w:line="271" w:lineRule="auto"/>
        <w:tabs>
          <w:tab w:leader="none" w:pos="1108" w:val="left"/>
        </w:tabs>
        <w:numPr>
          <w:ilvl w:val="0"/>
          <w:numId w:val="416"/>
        </w:numPr>
        <w:rPr>
          <w:rFonts w:ascii="Arial" w:cs="Arial" w:eastAsia="Arial" w:hAnsi="Arial"/>
          <w:sz w:val="17"/>
          <w:szCs w:val="17"/>
          <w:color w:val="auto"/>
        </w:rPr>
      </w:pPr>
      <w:r>
        <w:rPr>
          <w:rFonts w:ascii="Arial" w:cs="Arial" w:eastAsia="Arial" w:hAnsi="Arial"/>
          <w:sz w:val="17"/>
          <w:szCs w:val="17"/>
          <w:color w:val="auto"/>
        </w:rPr>
        <w:t>PACTIV and Company shall each nominate a representative to act as the primary contact person with respect to the performance of the Services (each, a “</w:t>
      </w:r>
      <w:r>
        <w:rPr>
          <w:rFonts w:ascii="Arial" w:cs="Arial" w:eastAsia="Arial" w:hAnsi="Arial"/>
          <w:sz w:val="17"/>
          <w:szCs w:val="17"/>
          <w:u w:val="single" w:color="auto"/>
          <w:color w:val="auto"/>
        </w:rPr>
        <w:t>Service Coordinator</w:t>
      </w:r>
      <w:r>
        <w:rPr>
          <w:rFonts w:ascii="Arial" w:cs="Arial" w:eastAsia="Arial" w:hAnsi="Arial"/>
          <w:sz w:val="17"/>
          <w:szCs w:val="17"/>
          <w:color w:val="auto"/>
        </w:rPr>
        <w:t xml:space="preserve">”). Unless otherwise agreed upon by the Parties, the Parties shall direct all initial communications relating to this Agreement and the Services to the Service Coordinators. The initial Service Coordinators for PACTIV and Company, including their contact information,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Either Party may replace its Service Coordinator at any time by providing notice and contact information for the newly designated Service Coordinator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The Service Coordinators shall oversee the implementation and ongoing operation of this Agreement. The Parties shall ensure that their respective Service Coordinators shall meet in person or telephonically at such times as are reasonably requested by PACTIV or Company to review and discuss the status of, and any issues arising in connection with, the Services or this Agreement.</w:t>
      </w:r>
    </w:p>
    <w:p>
      <w:pPr>
        <w:spacing w:after="0" w:line="70" w:lineRule="exact"/>
        <w:rPr>
          <w:rFonts w:ascii="Arial" w:cs="Arial" w:eastAsia="Arial" w:hAnsi="Arial"/>
          <w:sz w:val="17"/>
          <w:szCs w:val="17"/>
          <w:color w:val="auto"/>
        </w:rPr>
      </w:pPr>
    </w:p>
    <w:p>
      <w:pPr>
        <w:ind w:left="440" w:firstLine="428"/>
        <w:spacing w:after="0" w:line="290" w:lineRule="auto"/>
        <w:tabs>
          <w:tab w:leader="none" w:pos="111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In the event a dispute arises between the Parties under this Agreement, telephonic negotiations shall be conducted between the Parties’ respective Service Coordinators within ten (10) days following a written request from any Party (“</w:t>
      </w:r>
      <w:r>
        <w:rPr>
          <w:rFonts w:ascii="Arial" w:cs="Arial" w:eastAsia="Arial" w:hAnsi="Arial"/>
          <w:sz w:val="16"/>
          <w:szCs w:val="16"/>
          <w:u w:val="single" w:color="auto"/>
          <w:color w:val="auto"/>
        </w:rPr>
        <w:t>Dispute Negotiations</w:t>
      </w:r>
      <w:r>
        <w:rPr>
          <w:rFonts w:ascii="Arial" w:cs="Arial" w:eastAsia="Arial" w:hAnsi="Arial"/>
          <w:sz w:val="16"/>
          <w:szCs w:val="16"/>
          <w:color w:val="auto"/>
        </w:rPr>
        <w:t xml:space="preserve">”). If the Service Coordinators are unable to resolve the dispute within ten (10) days after the Parties have commenced Dispute Negotiations, then either PACTIV or the Company, by written request to the other Party, may request that such dispute be referred for resolution to the respective presidents (or similar position) of the divisions implicated by the matter for the Parties, or more senior executive of a Party if such Party so designates, which presidents (or other executives) will have fifteen (15) days to resolve such dispute. If the presidents of the relevant divisions (or other executives) for each Party do not agree to a resolution of such dispute within fifteen (15) days after the reference of the matter to them, or if the dispute is not otherwise resolved in a friendly manner as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then any unresolved dispute may be resolved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166"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Limitation of Services Provided</w:t>
      </w:r>
      <w:r>
        <w:rPr>
          <w:rFonts w:ascii="Arial" w:cs="Arial" w:eastAsia="Arial" w:hAnsi="Arial"/>
          <w:sz w:val="17"/>
          <w:szCs w:val="17"/>
          <w:color w:val="auto"/>
        </w:rPr>
        <w:t>. Except to the extent required to meet the Service Standards, in providing the Services, the Parties are not obligated to: (i) hire any additional employees; (ii) maintain the employment of any specific employee; (iii) purchase, lease or license any additional equipment or software; or (iv) make any capital investment to provide or continue providing the Services. The Parties have no responsibility to verify the correctness of any information given to them on behalf of the other Party for the purposes of providing the Services.</w:t>
      </w:r>
    </w:p>
    <w:p>
      <w:pPr>
        <w:spacing w:after="0" w:line="171"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Third Party Licenses and Consents</w:t>
      </w:r>
      <w:r>
        <w:rPr>
          <w:rFonts w:ascii="Arial" w:cs="Arial" w:eastAsia="Arial" w:hAnsi="Arial"/>
          <w:sz w:val="16"/>
          <w:szCs w:val="16"/>
          <w:color w:val="auto"/>
        </w:rPr>
        <w:t>. The Parties will cooperate and assist each other, and use commercially reasonable efforts, to obtain, or direct its Affiliates to obtain, any third party consents required under the terms of any agreement between a Party or any of its Affiliates, on the one hand, and a third party, on the other hand, in order for a Party or its Affiliates to provide the Services during the Term. Notwithstanding the foregoing, if the provision of any Service as contemplated by this Agreement requires the consent, license or approval of any third party not previously obtained, the Parties shall use commercially reasonable efforts, to obtain as promptly as possible after the Commencement Date, any third party consents, permits, licenses and approvals required under the terms of any third party agreement in order for Provider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81" w:name="page482"/>
    <w:bookmarkEnd w:id="48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the Services hereunder. The cost of obtaining any consent, permit, license or approval with respect to any Service shall be borne by the Recipient of the relevant Services. If any such consent, permit, license or approval is not obtained, the Parties will cooperate in good faith to enter into reasonably acceptable arrangements under which Recipient would obtain the benefit of such Service to the same extent (or as nearly as practicable) as if such consent were obtained (at Recipient’s cost), and each Party will continue to use commercially reasonable efforts to obtain any such required consent or amendment. The Parties acknowledge that it may not be practical to try to anticipate and identify every possible legal, regulatory, and logistical impediment to the provision of Services hereunder. Accordingly, each Party will promptly notify the other Party if it reasonably determines that there is a legal, regulatory, or logistical impediment to the provision of any Service, and the Parties shall each use commercially reasonable efforts to overcome such impediments so that the Services may be provided otherwise in accordance with the terms of this Agreement. All computer systems or software (“</w:t>
      </w:r>
      <w:r>
        <w:rPr>
          <w:rFonts w:ascii="Arial" w:cs="Arial" w:eastAsia="Arial" w:hAnsi="Arial"/>
          <w:sz w:val="17"/>
          <w:szCs w:val="17"/>
          <w:u w:val="single" w:color="auto"/>
          <w:color w:val="auto"/>
        </w:rPr>
        <w:t>Systems</w:t>
      </w:r>
      <w:r>
        <w:rPr>
          <w:rFonts w:ascii="Arial" w:cs="Arial" w:eastAsia="Arial" w:hAnsi="Arial"/>
          <w:sz w:val="17"/>
          <w:szCs w:val="17"/>
          <w:color w:val="auto"/>
        </w:rPr>
        <w:t>”), data, facilities and other resources owned by a Party, its Affiliates or third parties used in connection with the provision or receipt of the Services, as applicable, shall remain the property of such Party, its Affiliates or third parties.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SYSTEMS</w:t>
      </w:r>
    </w:p>
    <w:p>
      <w:pPr>
        <w:spacing w:after="0" w:line="21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Security Breaches</w:t>
      </w:r>
      <w:r>
        <w:rPr>
          <w:rFonts w:ascii="Arial" w:cs="Arial" w:eastAsia="Arial" w:hAnsi="Arial"/>
          <w:sz w:val="16"/>
          <w:szCs w:val="16"/>
          <w:color w:val="auto"/>
        </w:rPr>
        <w:t>. If any Party discovers (a) any material breach of the Security Regulations or of the systems used to provide the Services or (b) any breach or threatened breach of the Security Regulations that involves or may reasonably be expected to involve unauthorized access, disclosure or use of the other Party’s or its Affiliates’ Confidential Information (each of (a) and (b), a “</w:t>
      </w:r>
      <w:r>
        <w:rPr>
          <w:rFonts w:ascii="Arial" w:cs="Arial" w:eastAsia="Arial" w:hAnsi="Arial"/>
          <w:sz w:val="16"/>
          <w:szCs w:val="16"/>
          <w:u w:val="single" w:color="auto"/>
          <w:color w:val="auto"/>
        </w:rPr>
        <w:t>Security Incident</w:t>
      </w:r>
      <w:r>
        <w:rPr>
          <w:rFonts w:ascii="Arial" w:cs="Arial" w:eastAsia="Arial" w:hAnsi="Arial"/>
          <w:sz w:val="16"/>
          <w:szCs w:val="16"/>
          <w:color w:val="auto"/>
        </w:rPr>
        <w:t>”), such Party shall, at the cost of the Party responsible for the Security Incident, (i) promptly (both orally, if practicable, and in any event in writing) notify the other Party of the Security Incident and (ii) reasonably cooperate with the other Party (1) to take commercially reasonable measures necessary to control and contain the security of such Confidential Information, (2) to remedy any such Security Incident, including using commercially reasonable efforts to identify and address any root causes for such Security Incident, (3) to furnish full details of the Security Incident to the other Party and keep such other Party advised of all material measures taken and other developments with respect to such Security Incident, (4) in any litigation or formal action with third parties or in connection with any regulatory, investigatory or other action of any Governmental Authority and (5) in notifying the other Party’s or its Affiliates’ customers and Personnel and other persons of the Security Incident to the extent reasonably requested by the other Party.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Systems Security</w:t>
      </w:r>
      <w:r>
        <w:rPr>
          <w:rFonts w:ascii="Arial" w:cs="Arial" w:eastAsia="Arial" w:hAnsi="Arial"/>
          <w:sz w:val="18"/>
          <w:szCs w:val="18"/>
          <w:color w:val="auto"/>
        </w:rPr>
        <w:t>.</w:t>
      </w:r>
    </w:p>
    <w:p>
      <w:pPr>
        <w:spacing w:after="0" w:line="117" w:lineRule="exact"/>
        <w:rPr>
          <w:sz w:val="20"/>
          <w:szCs w:val="20"/>
          <w:color w:val="auto"/>
        </w:rPr>
      </w:pPr>
    </w:p>
    <w:p>
      <w:pPr>
        <w:ind w:left="440" w:right="140" w:firstLine="428"/>
        <w:spacing w:after="0" w:line="257" w:lineRule="auto"/>
        <w:tabs>
          <w:tab w:leader="none" w:pos="110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PACTIV, Company, their Affiliates or their respective Personnel receive access to any of PACTIV’s, Company’s, or their respective Affiliates’, as applicable, Systems in connection with the Services, the accessing Party or its Personnel, as the case may be, shall comply with all of such other Party’s and its Affiliates’ reasonable Security Regulations known to such accessing Party or its Personnel or made known to such accessing Party or its Personnel in writing, and will not tamper with, compromise or circumvent any security, Security Regulations or audit measures employed by such other Party or its relevant Affiliate.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82" w:name="page483"/>
    <w:bookmarkEnd w:id="482"/>
    <w:p>
      <w:pPr>
        <w:ind w:left="440" w:right="80" w:firstLine="428"/>
        <w:spacing w:after="0" w:line="279" w:lineRule="auto"/>
        <w:tabs>
          <w:tab w:leader="none" w:pos="1118" w:val="left"/>
        </w:tabs>
        <w:numPr>
          <w:ilvl w:val="0"/>
          <w:numId w:val="4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and shall cause its Affiliates to, as required by applicable Law, (i) ensure that only those of its Personnel who are specifically authorized to have access to the Systems of the other Party or its Affiliates gain such access and (ii) prevent unauthorized access, use, destruction, alteration or loss of information contained therein, including by notifying its Personnel regarding the restrictions set forth in this Agreement and establishing appropriate policies designed to effectively enforce such restrictions.</w:t>
      </w:r>
    </w:p>
    <w:p>
      <w:pPr>
        <w:spacing w:after="0" w:line="63" w:lineRule="exact"/>
        <w:rPr>
          <w:rFonts w:ascii="Arial" w:cs="Arial" w:eastAsia="Arial" w:hAnsi="Arial"/>
          <w:sz w:val="17"/>
          <w:szCs w:val="17"/>
          <w:color w:val="auto"/>
        </w:rPr>
      </w:pPr>
    </w:p>
    <w:p>
      <w:pPr>
        <w:jc w:val="both"/>
        <w:ind w:left="440" w:firstLine="428"/>
        <w:spacing w:after="0" w:line="302" w:lineRule="auto"/>
        <w:tabs>
          <w:tab w:leader="none" w:pos="1108" w:val="left"/>
        </w:tabs>
        <w:numPr>
          <w:ilvl w:val="0"/>
          <w:numId w:val="418"/>
        </w:numPr>
        <w:rPr>
          <w:rFonts w:ascii="Arial" w:cs="Arial" w:eastAsia="Arial" w:hAnsi="Arial"/>
          <w:sz w:val="16"/>
          <w:szCs w:val="16"/>
          <w:color w:val="auto"/>
        </w:rPr>
      </w:pPr>
      <w:r>
        <w:rPr>
          <w:rFonts w:ascii="Arial" w:cs="Arial" w:eastAsia="Arial" w:hAnsi="Arial"/>
          <w:sz w:val="16"/>
          <w:szCs w:val="16"/>
          <w:color w:val="auto"/>
        </w:rPr>
        <w:t>Each Party shall, and shall cause their respective Affiliates to, access and use only those Systems of the other Party and its Affiliates, and only such data and information within such Systems, to which they have been granted the right to access and use. Any Party and its Affiliates shall have the right to deny the Personnel of the other Party or its Affiliates access to such first Party’s or its Affiliates’ Systems, after prior written notice and consultation with the other Party, in the event the Party reasonably believes that such Personnel pose a security concern.</w:t>
      </w:r>
    </w:p>
    <w:p>
      <w:pPr>
        <w:spacing w:after="0" w:line="154"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Viruses</w:t>
      </w:r>
      <w:r>
        <w:rPr>
          <w:rFonts w:ascii="Arial" w:cs="Arial" w:eastAsia="Arial" w:hAnsi="Arial"/>
          <w:sz w:val="18"/>
          <w:szCs w:val="18"/>
          <w:color w:val="auto"/>
        </w:rPr>
        <w:t>. Provider and Recipient shall each use its commercially reasonable efforts consistent with its past practices to prevent the introduction or coding of viruses or similar items into the Systems of the other Party. Without limiting the rights and remedies of any party hereunder, in the event a virus or similar item is introduced into the Systems of a Party, whether or not such introduction is attributable to the other Party (including such other Party’s failure to perform its obligations under this Agreement), the other Party shall, as soon as practicable, use its commercially reasonable efforts to assist such Party in reducing the effects of the virus or similar item, and if the virus or similar item causes a loss of operational efficiency or loss of data, upon such Party’s request, work as soon as practicable to contain and remedy the problem and to restore lost data resulting from such introduction.</w:t>
      </w:r>
    </w:p>
    <w:p>
      <w:pPr>
        <w:spacing w:after="0" w:line="189"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Providers’ Software</w:t>
      </w:r>
      <w:r>
        <w:rPr>
          <w:rFonts w:ascii="Arial" w:cs="Arial" w:eastAsia="Arial" w:hAnsi="Arial"/>
          <w:sz w:val="17"/>
          <w:szCs w:val="17"/>
          <w:color w:val="auto"/>
        </w:rPr>
        <w:t>. Except as authorized by this Agreement or by Provider’s express written consent, Recipient shall not, and shall cause its Affiliates not to, copy, modify, reverse engineer, decompile or in any way alter any software of Provider or any of its Affiliates.</w:t>
      </w:r>
    </w:p>
    <w:p>
      <w:pPr>
        <w:spacing w:after="0" w:line="147"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System Upgrades</w:t>
      </w:r>
      <w:r>
        <w:rPr>
          <w:rFonts w:ascii="Arial" w:cs="Arial" w:eastAsia="Arial" w:hAnsi="Arial"/>
          <w:sz w:val="16"/>
          <w:szCs w:val="16"/>
          <w:color w:val="auto"/>
        </w:rPr>
        <w:t>. No Provider shall be required to purchase, upgrade, enhance or otherwise modify any Systems used by any Recipient as of the date hereof in connection with the business of any Party, or to provide any support or maintenance services for any Systems that have been upgraded, enhanced or otherwise modified from the Systems that are used in connection with the business of any Party as of the date 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ind w:right="200" w:firstLine="441"/>
        <w:spacing w:after="0" w:line="28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Recipient shall pay Provider (i) the fee for each Service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 Providers’ and their Affiliates’ reasonable and documented out-of-pocket expenses incurred in providing the Services, including the third-party fees and expenses that are charged to Recipient or their Affiliates in connection with provision of the Services (including any fees and expenses charged by subcontractors permitted to provide the Services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but excluding payments made to employees of Provider or any of their Affiliates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and</w:t>
      </w:r>
    </w:p>
    <w:p>
      <w:pPr>
        <w:spacing w:after="0" w:line="2" w:lineRule="exact"/>
        <w:rPr>
          <w:sz w:val="20"/>
          <w:szCs w:val="20"/>
          <w:color w:val="auto"/>
        </w:rPr>
      </w:pPr>
    </w:p>
    <w:p>
      <w:pPr>
        <w:ind w:left="5460" w:right="5140" w:hanging="5456"/>
        <w:spacing w:after="0" w:line="378" w:lineRule="auto"/>
        <w:tabs>
          <w:tab w:leader="none" w:pos="31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any other fees as agreed to by the Parties in writing (collectively, the “</w:t>
      </w:r>
      <w:r>
        <w:rPr>
          <w:rFonts w:ascii="Arial" w:cs="Arial" w:eastAsia="Arial" w:hAnsi="Arial"/>
          <w:sz w:val="16"/>
          <w:szCs w:val="16"/>
          <w:u w:val="single" w:color="auto"/>
          <w:color w:val="auto"/>
        </w:rPr>
        <w:t>Fees</w:t>
      </w:r>
      <w:r>
        <w:rPr>
          <w:rFonts w:ascii="Arial" w:cs="Arial" w:eastAsia="Arial" w:hAnsi="Arial"/>
          <w:sz w:val="16"/>
          <w:szCs w:val="16"/>
          <w:color w:val="auto"/>
        </w:rPr>
        <w:t>”). 8</w:t>
      </w:r>
    </w:p>
    <w:p>
      <w:pPr>
        <w:sectPr>
          <w:pgSz w:w="11900" w:h="16838" w:orient="portrait"/>
          <w:cols w:equalWidth="0" w:num="1">
            <w:col w:w="11020"/>
          </w:cols>
          <w:pgMar w:left="440" w:top="273" w:right="439" w:bottom="1440" w:gutter="0" w:footer="0" w:header="0"/>
        </w:sectPr>
      </w:pPr>
    </w:p>
    <w:bookmarkStart w:id="483" w:name="page484"/>
    <w:bookmarkEnd w:id="483"/>
    <w:p>
      <w:pPr>
        <w:ind w:right="4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 </w:t>
      </w:r>
      <w:r>
        <w:rPr>
          <w:rFonts w:ascii="Arial" w:cs="Arial" w:eastAsia="Arial" w:hAnsi="Arial"/>
          <w:sz w:val="17"/>
          <w:szCs w:val="17"/>
          <w:u w:val="single" w:color="auto"/>
          <w:color w:val="auto"/>
        </w:rPr>
        <w:t>Responsibility for Wages and Fees</w:t>
      </w:r>
      <w:r>
        <w:rPr>
          <w:rFonts w:ascii="Arial" w:cs="Arial" w:eastAsia="Arial" w:hAnsi="Arial"/>
          <w:sz w:val="17"/>
          <w:szCs w:val="17"/>
          <w:color w:val="auto"/>
        </w:rPr>
        <w:t>. Any employees of Provider or any of their Affiliates providing Services to Recipient under this Agreement will remain employees of Provider or such Affiliate and shall not be deemed to be employees of Recipient for any purpose. Provider or such Affiliate shall be solely responsible for the payment and provision of all wages, bonuses and commissions, employee benefits, including severance and worker’s compensation, and the withholding and payment of applicable Taxes relating to such employment.</w:t>
      </w:r>
    </w:p>
    <w:p>
      <w:pPr>
        <w:spacing w:after="0" w:line="17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Invoices</w:t>
      </w:r>
      <w:r>
        <w:rPr>
          <w:rFonts w:ascii="Arial" w:cs="Arial" w:eastAsia="Arial" w:hAnsi="Arial"/>
          <w:sz w:val="17"/>
          <w:szCs w:val="17"/>
          <w:color w:val="auto"/>
        </w:rPr>
        <w:t>. Provider shall submit or cause to be submitted to Recipient in writing, within 15 days after the end of each month, an invoice setting forth the Fees for the Services provided to Recipient during such month in reasonable detail, as applicable, due under such invoice.</w:t>
      </w:r>
    </w:p>
    <w:p>
      <w:pPr>
        <w:spacing w:after="0" w:line="147" w:lineRule="exact"/>
        <w:rPr>
          <w:sz w:val="20"/>
          <w:szCs w:val="20"/>
          <w:color w:val="auto"/>
        </w:rPr>
      </w:pPr>
    </w:p>
    <w:p>
      <w:pPr>
        <w:jc w:val="both"/>
        <w:ind w:right="240" w:firstLine="441"/>
        <w:spacing w:after="0" w:line="28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Recipient shall pay, or cause to be paid, the Fees shown on an invoice no later than of the last business day of the month Recipient received such invoice unless disputed in accordance with </w:t>
      </w:r>
      <w:r>
        <w:rPr>
          <w:rFonts w:ascii="Arial" w:cs="Arial" w:eastAsia="Arial" w:hAnsi="Arial"/>
          <w:sz w:val="17"/>
          <w:szCs w:val="17"/>
          <w:u w:val="single" w:color="auto"/>
          <w:color w:val="auto"/>
        </w:rPr>
        <w:t>Section 5.7</w:t>
      </w:r>
      <w:r>
        <w:rPr>
          <w:rFonts w:ascii="Arial" w:cs="Arial" w:eastAsia="Arial" w:hAnsi="Arial"/>
          <w:sz w:val="17"/>
          <w:szCs w:val="17"/>
          <w:color w:val="auto"/>
        </w:rPr>
        <w:t>. Any amount not received from the invoiced Party within such period shall bear interest at the Applicable Rate, from and including the last date of such period to, but excluding, the date of payment.</w:t>
      </w:r>
    </w:p>
    <w:p>
      <w:pPr>
        <w:spacing w:after="0" w:line="166"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Sales Tax, Etc</w:t>
      </w:r>
      <w:r>
        <w:rPr>
          <w:rFonts w:ascii="Arial" w:cs="Arial" w:eastAsia="Arial" w:hAnsi="Arial"/>
          <w:sz w:val="17"/>
          <w:szCs w:val="17"/>
          <w:color w:val="auto"/>
        </w:rPr>
        <w:t>. Provider shall be entitled to invoice and collect from Recipient any additional amounts required for state, local and foreign sales Tax, value added Tax, goods and services Tax or similar Tax with respect to the provision of the Services hereunder, as applicable (“</w:t>
      </w:r>
      <w:r>
        <w:rPr>
          <w:rFonts w:ascii="Arial" w:cs="Arial" w:eastAsia="Arial" w:hAnsi="Arial"/>
          <w:sz w:val="17"/>
          <w:szCs w:val="17"/>
          <w:u w:val="single" w:color="auto"/>
          <w:color w:val="auto"/>
        </w:rPr>
        <w:t>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Services Taxes</w:t>
      </w:r>
      <w:r>
        <w:rPr>
          <w:rFonts w:ascii="Arial" w:cs="Arial" w:eastAsia="Arial" w:hAnsi="Arial"/>
          <w:sz w:val="17"/>
          <w:szCs w:val="17"/>
          <w:color w:val="auto"/>
        </w:rPr>
        <w:t>”). Notwithstanding the previous sentence, if the Recipient is exempt from liability for such Sale and Services Taxes, it shall provide Provider with a certificate (or other proof) evidencing an exemption from liability for such Sale and Services Taxes. Provider shall be responsible for any losses (including any deficiency, interest and penalties) imposed as a result of a failure to timely remit such Sale and Services Taxes to the applicable tax authority to the extent the Recipient timely remits such Sale and Services Taxes to Provider or Provider’s failure to do so results from Provider’s failure to timely charge or invoice such Sale and Services Taxes. The Recipient shall be entitled to any refund of any such Sale and Services Taxes paid in excess of liability as determined at a later date. Provider shall promptly notify the Recipient of any deficiency claim or similar notice by a tax authority with respect to Sale and Services Taxes payable hereunder, and of any pending audit or other proceeding that could lead to the imposition of Sales and Services Taxes payable hereunder.</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 Offset</w:t>
      </w:r>
      <w:r>
        <w:rPr>
          <w:rFonts w:ascii="Arial" w:cs="Arial" w:eastAsia="Arial" w:hAnsi="Arial"/>
          <w:sz w:val="18"/>
          <w:szCs w:val="18"/>
          <w:color w:val="auto"/>
        </w:rPr>
        <w:t>. Recipient shall not withhold any payments due under this Agreement in order to offset payments due (or to become due) to Recipient pursuant to this Agreement unless such withholding is mutually agreed to by the Parties in writing or is provided for in the final ruling of a court. Any required adjustment to payments due hereunder will be made as a subsequent invoice.</w:t>
      </w:r>
    </w:p>
    <w:p>
      <w:pPr>
        <w:spacing w:after="0" w:line="18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Invoice Disputes</w:t>
      </w:r>
      <w:r>
        <w:rPr>
          <w:rFonts w:ascii="Arial" w:cs="Arial" w:eastAsia="Arial" w:hAnsi="Arial"/>
          <w:sz w:val="18"/>
          <w:szCs w:val="18"/>
          <w:color w:val="auto"/>
        </w:rPr>
        <w:t xml:space="preserve">. In the event of an invoice dispute, the disputing Party shall deliver a written statement to the other Party no later than the date payment is due on the disputed invoice listing all disputed items and providing a reasonably detailed description of each disputed item. Amounts not so disputed shall be deemed accepted and shall be paid, notwithstanding disputes on other items, within the period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 The Parties shall seek to resolve all such disputes expeditiously and in good faith. Provider shall continue performing the Services in accordance with this Agreement pending resolution of any dispute.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484" w:name="page485"/>
    <w:bookmarkEnd w:id="484"/>
    <w:p>
      <w:pPr>
        <w:ind w:right="12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5.8 </w:t>
      </w:r>
      <w:r>
        <w:rPr>
          <w:rFonts w:ascii="Arial" w:cs="Arial" w:eastAsia="Arial" w:hAnsi="Arial"/>
          <w:sz w:val="18"/>
          <w:szCs w:val="18"/>
          <w:u w:val="single" w:color="auto"/>
          <w:color w:val="auto"/>
        </w:rPr>
        <w:t>Audit</w:t>
      </w:r>
      <w:r>
        <w:rPr>
          <w:rFonts w:ascii="Arial" w:cs="Arial" w:eastAsia="Arial" w:hAnsi="Arial"/>
          <w:sz w:val="18"/>
          <w:szCs w:val="18"/>
          <w:color w:val="auto"/>
        </w:rPr>
        <w:t>. At the request of Recipient, Provider shall provide to Recipient and its Affiliates reasonable access to Provider’s applicable Personnel and records with respect to the amount charged in connection with any Service so that Recipient may confirm that the pass through costs incurred by Provider or, to the extent such Service is provided on an hourly basis, information related to hours worked in connection with such Service, are commensurate with the amount charged to Recipient for such Service. In the event that Recipient believes that the amount charged to Recipient materially exceeds the pass through costs actually incurred by Provider or hours charged in connection with such Service, the Parties shall review such matter in good faith.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 AND TERMINATION</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Term of Services</w:t>
      </w:r>
      <w:r>
        <w:rPr>
          <w:rFonts w:ascii="Arial" w:cs="Arial" w:eastAsia="Arial" w:hAnsi="Arial"/>
          <w:sz w:val="16"/>
          <w:szCs w:val="16"/>
          <w:color w:val="auto"/>
        </w:rPr>
        <w:t xml:space="preserve">. With respect to each of the Services, the term thereof will be for a period commencing as of the date hereof, unless a different date is specified as the commencement date for any applicable Service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(either, a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and shall continue until 12 months following the Commencement Date unless (i) such other date as is specified as the termination date for any applicable Service in this Agreement or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 (the “</w:t>
      </w:r>
      <w:r>
        <w:rPr>
          <w:rFonts w:ascii="Arial" w:cs="Arial" w:eastAsia="Arial" w:hAnsi="Arial"/>
          <w:sz w:val="16"/>
          <w:szCs w:val="16"/>
          <w:u w:val="single" w:color="auto"/>
          <w:color w:val="auto"/>
        </w:rPr>
        <w:t>Term</w:t>
      </w:r>
      <w:r>
        <w:rPr>
          <w:rFonts w:ascii="Arial" w:cs="Arial" w:eastAsia="Arial" w:hAnsi="Arial"/>
          <w:sz w:val="16"/>
          <w:szCs w:val="16"/>
          <w:color w:val="auto"/>
        </w:rPr>
        <w:t>”) or (ii) earlier terminated pursuant to this Agreement (a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Termination of Services</w:t>
      </w:r>
      <w:r>
        <w:rPr>
          <w:rFonts w:ascii="Arial" w:cs="Arial" w:eastAsia="Arial" w:hAnsi="Arial"/>
          <w:sz w:val="16"/>
          <w:szCs w:val="16"/>
          <w:color w:val="auto"/>
        </w:rPr>
        <w:t>. Except as agreed by the Parties in writing or as otherwise stated in the Exhibits, Company may terminate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convenience any Transition Service, and PACTIV may terminate for convenience any Reverse Transition Service, upon 30 days’ prior written notice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that any unamortized costs associated with Provider’s purchase of any license or other costs incurred specifically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purpose of providing the Services hereunder will be passed through to the Terminating Party. Upon termination of any Service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6.2</w:t>
      </w:r>
      <w:r>
        <w:rPr>
          <w:rFonts w:ascii="Arial" w:cs="Arial" w:eastAsia="Arial" w:hAnsi="Arial"/>
          <w:sz w:val="16"/>
          <w:szCs w:val="16"/>
          <w:color w:val="auto"/>
        </w:rPr>
        <w:t>, the Terminating Party’s obligation to pay for such Service will cease except any sums accrued or due as of the date of such early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Services rendered (which shall include (i) any amounts contemplated by 6.2(b), plus (ii) a pro rata portion of any fees applicable to the current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which such Services are being performed if the applicable fee is determined on a period by period basis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applicable). The provisions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any assignment of this Agreement subject to </w:t>
      </w:r>
      <w:r>
        <w:rPr>
          <w:rFonts w:ascii="Arial" w:cs="Arial" w:eastAsia="Arial" w:hAnsi="Arial"/>
          <w:sz w:val="16"/>
          <w:szCs w:val="16"/>
          <w:u w:val="single" w:color="auto"/>
          <w:color w:val="auto"/>
        </w:rPr>
        <w:t>Section 10.10(b)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Parties will negotiate in good faith regarding fee allocations and, if necessary, early termination or partial termination of any Services.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85" w:name="page486"/>
    <w:bookmarkEnd w:id="485"/>
    <w:p>
      <w:pPr>
        <w:jc w:val="both"/>
        <w:ind w:right="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shall terminate when the Termination Date has occurred for all Services. In addition, this Agreement may be terminated by either Party (the “</w:t>
      </w:r>
      <w:r>
        <w:rPr>
          <w:rFonts w:ascii="Arial" w:cs="Arial" w:eastAsia="Arial" w:hAnsi="Arial"/>
          <w:sz w:val="18"/>
          <w:szCs w:val="18"/>
          <w:u w:val="single" w:color="auto"/>
          <w:color w:val="auto"/>
        </w:rPr>
        <w:t>Terminating Party</w:t>
      </w:r>
      <w:r>
        <w:rPr>
          <w:rFonts w:ascii="Arial" w:cs="Arial" w:eastAsia="Arial" w:hAnsi="Arial"/>
          <w:sz w:val="18"/>
          <w:szCs w:val="18"/>
          <w:color w:val="auto"/>
        </w:rPr>
        <w:t>”) upon written notice to the other Party (which notice, in case of material breach, shall specify the basis for such claim for breach), if:</w:t>
      </w:r>
    </w:p>
    <w:p>
      <w:pPr>
        <w:spacing w:after="0" w:line="73" w:lineRule="exact"/>
        <w:rPr>
          <w:sz w:val="20"/>
          <w:szCs w:val="20"/>
          <w:color w:val="auto"/>
        </w:rPr>
      </w:pPr>
    </w:p>
    <w:p>
      <w:pPr>
        <w:ind w:left="440" w:right="180" w:firstLine="428"/>
        <w:spacing w:after="0" w:line="264" w:lineRule="auto"/>
        <w:tabs>
          <w:tab w:leader="none" w:pos="110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other Party or its Affiliates materially breaches this Agreement and such breach is not cured, to the reasonable satisfaction of the Terminating Party, within thirty (30) days of written notice thereof, it being understood that a good-faith dispute over an invoice or Service shall not constitute a material breach of this Agreement; or</w:t>
      </w:r>
    </w:p>
    <w:p>
      <w:pPr>
        <w:spacing w:after="0" w:line="73" w:lineRule="exact"/>
        <w:rPr>
          <w:rFonts w:ascii="Arial" w:cs="Arial" w:eastAsia="Arial" w:hAnsi="Arial"/>
          <w:sz w:val="18"/>
          <w:szCs w:val="18"/>
          <w:color w:val="auto"/>
        </w:rPr>
      </w:pPr>
    </w:p>
    <w:p>
      <w:pPr>
        <w:ind w:left="440" w:firstLine="428"/>
        <w:spacing w:after="0" w:line="257" w:lineRule="auto"/>
        <w:tabs>
          <w:tab w:leader="none" w:pos="111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other Party files for bankruptcy or similar proceeding, is the subject of an involuntary filing for bankruptcy or similar proceeding (not dismissed within sixty (60) days), makes a general assignment of all or substantially all of its assets for the benefit of creditors, becomes or is declared insolvent, becomes the subject of any proceedings (not dismissed within sixty (60) days) related to its liquidation, insolvency, bankruptcy or the appointment of a trustee or a receiver, takes any corporate action for its winding up or dissolution, or a court approves reorganization proceedings on such Party.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any termination or expiration of this Agreement or any Service provided hereunder:</w:t>
      </w:r>
    </w:p>
    <w:p>
      <w:pPr>
        <w:spacing w:after="0" w:line="117" w:lineRule="exact"/>
        <w:rPr>
          <w:sz w:val="20"/>
          <w:szCs w:val="20"/>
          <w:color w:val="auto"/>
        </w:rPr>
      </w:pPr>
    </w:p>
    <w:p>
      <w:pPr>
        <w:ind w:left="440" w:firstLine="428"/>
        <w:spacing w:after="0" w:line="257" w:lineRule="auto"/>
        <w:tabs>
          <w:tab w:leader="none" w:pos="110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each Party shall, and shall cause its Affiliates to, as soon as practicable, return to the other Party any equipment, books, records, files and other property, not including current or archived copies of computer files, of the other Party, its Affiliates and their respective third-party service providers, that is in the Party’s or its Affiliates’ possession or control (and, in case of termination of one or more specific Services, only the equipment, books, records, files and other property, not including current or archived copies of computer files, that are used in connection with the provision or receipt solely of such Services and of no other Services); and</w:t>
      </w:r>
    </w:p>
    <w:p>
      <w:pPr>
        <w:spacing w:after="0" w:line="80" w:lineRule="exact"/>
        <w:rPr>
          <w:rFonts w:ascii="Arial" w:cs="Arial" w:eastAsia="Arial" w:hAnsi="Arial"/>
          <w:sz w:val="18"/>
          <w:szCs w:val="18"/>
          <w:color w:val="auto"/>
        </w:rPr>
      </w:pPr>
    </w:p>
    <w:p>
      <w:pPr>
        <w:ind w:left="440" w:right="40" w:firstLine="428"/>
        <w:spacing w:after="0" w:line="264" w:lineRule="auto"/>
        <w:tabs>
          <w:tab w:leader="none" w:pos="111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intellectual property license granted by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termination of a specific Service, such license shall terminate only to the extent such license was necessary for the provision or receipt of such Service and is not necessary for any other Service that has not yet terminated.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following Articles and Sections shall survive the termination or expiration of this Agreement, including the rights and obligations of each Party thereunder: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BOOKS AND RECORDS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TSA Books and Records</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91" w:lineRule="auto"/>
        <w:tabs>
          <w:tab w:leader="none" w:pos="1108" w:val="left"/>
        </w:tabs>
        <w:numPr>
          <w:ilvl w:val="1"/>
          <w:numId w:val="422"/>
        </w:numPr>
        <w:rPr>
          <w:rFonts w:ascii="Arial" w:cs="Arial" w:eastAsia="Arial" w:hAnsi="Arial"/>
          <w:sz w:val="16"/>
          <w:szCs w:val="16"/>
          <w:color w:val="auto"/>
        </w:rPr>
      </w:pPr>
      <w:r>
        <w:rPr>
          <w:rFonts w:ascii="Arial" w:cs="Arial" w:eastAsia="Arial" w:hAnsi="Arial"/>
          <w:sz w:val="16"/>
          <w:szCs w:val="16"/>
          <w:color w:val="auto"/>
        </w:rPr>
        <w:t>The Parties shall, and shall cause each of their respective Affiliates to, take reasonable steps to maintain books and records of all material transactions pertaining to, and all data used by it, in the performance of the Services (the “</w:t>
      </w:r>
      <w:r>
        <w:rPr>
          <w:rFonts w:ascii="Arial" w:cs="Arial" w:eastAsia="Arial" w:hAnsi="Arial"/>
          <w:sz w:val="16"/>
          <w:szCs w:val="16"/>
          <w:u w:val="single" w:color="auto"/>
          <w:color w:val="auto"/>
        </w:rPr>
        <w:t>TSA Records</w:t>
      </w:r>
      <w:r>
        <w:rPr>
          <w:rFonts w:ascii="Arial" w:cs="Arial" w:eastAsia="Arial" w:hAnsi="Arial"/>
          <w:sz w:val="16"/>
          <w:szCs w:val="16"/>
          <w:color w:val="auto"/>
        </w:rPr>
        <w:t>”). The TSA Records shall be maintained</w:t>
      </w:r>
    </w:p>
    <w:p>
      <w:pPr>
        <w:ind w:left="440" w:right="160" w:firstLine="4"/>
        <w:spacing w:after="0" w:line="261" w:lineRule="auto"/>
        <w:tabs>
          <w:tab w:leader="none" w:pos="68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in a format substantially similar to the format such books and records are maintained as of the date hereof, (b) in accordance with any and all applicable Laws and (c) in accordance with the maintaining Party’s business record retention policies.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86" w:name="page487"/>
    <w:bookmarkEnd w:id="486"/>
    <w:p>
      <w:pPr>
        <w:ind w:firstLine="428"/>
        <w:spacing w:after="0" w:line="286" w:lineRule="auto"/>
        <w:tabs>
          <w:tab w:leader="none" w:pos="678" w:val="left"/>
        </w:tabs>
        <w:numPr>
          <w:ilvl w:val="0"/>
          <w:numId w:val="4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Party shall make the TSA Records it maintains available to the other Party and its Affiliates and their respective auditors or other representatives, and in any event to any Governmental Authority, during normal business hours on reasonable prior notice (it being understood that TSA Records that are not stored on a Party’s regular business premises will require additional time to retrieve), for review, inspection, examination and, at the reviewing Party’s reasonable expense, reproduction. Access to such TSA Records shall be exercised by a Party and its Affiliates and their authorized representatives in a manner that shall not interfere unreasonably with the normal operations of the Party maintaining the TSA Records. In connection with such review of TSA Records, and upon reasonable prior notice, a reviewing Party and its Affiliates shall have the right to discuss matters relating to the TSA Records with the employees of the Party or its Affiliates who are maintaining the relevant TSA Records and providing the Services, as applicable, during regular business hours and without undue disruption of the normal operations of such maintaining and providing Party or its Affiliates. Neither Party shall have access to any TSA Records, and neither Party shall be required to provide access or disclose information, when such access or disclosure would jeopardize any attorney-client privilege or violate any applicable Law (provided that such party shall use commercially reasonable efforts to provide such access or share such information in a manner that would not jeopardize any such privilege or violate any such Law). Each Party’s rights under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continue for so long as TSA Records are required to be maintained by the other Party under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Access to Information; Books and Records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28"/>
        <w:spacing w:after="0" w:line="273" w:lineRule="auto"/>
        <w:tabs>
          <w:tab w:leader="none" w:pos="66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On and after the Commencement Date, PACTIV shall, and shall cause its Affiliates to, until the 7th anniversary of the Commencement Date, afford to RCP and its employees and authorized representatives during normal business hours reasonable access to their books of account, financial and other records (including accountant’s work papers), information, employees and auditors at the Company’s expense to the extent necessary or useful for the Company in connection with any audit, investigation, or dispute or Litigation (other than any Litigation involving a dispute between the Parties) or any other reasonable business purpose relating to the Business; provided that any such access by RCP shall not unreasonably interfere with the conduct of the business of PACTIV and its Affiliates.</w:t>
      </w:r>
    </w:p>
    <w:p>
      <w:pPr>
        <w:spacing w:after="0" w:line="70" w:lineRule="exact"/>
        <w:rPr>
          <w:rFonts w:ascii="Arial" w:cs="Arial" w:eastAsia="Arial" w:hAnsi="Arial"/>
          <w:sz w:val="17"/>
          <w:szCs w:val="17"/>
          <w:color w:val="auto"/>
        </w:rPr>
      </w:pPr>
    </w:p>
    <w:p>
      <w:pPr>
        <w:ind w:right="60" w:firstLine="428"/>
        <w:spacing w:after="0" w:line="270" w:lineRule="auto"/>
        <w:tabs>
          <w:tab w:leader="none" w:pos="67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After the Commencement Date, RCP shall, and shall cause its Affiliates to, until the 7th anniversary of the Commencement Date, afford to PACTIV and its employees and authorized representatives reasonable access to RCP’s employees and auditors, retain all books, records (including accountant’s work papers), and other information and documents pertaining to the Business in existence on the Commencement Date and make available for inspection and copying by PACTIV (at PACTIV’s expense) during normal business hours, in each case so as not to unreasonably interfere with the conduct of the business of RCP and its Affiliates, such information (A) as may be required by any Governmental Authority, including pursuant to any applicable Law or regulatory request or to prepare or file any Tax related documentation, (B) as may be necessary for PACTIV or its Affiliates in connection with their ongoing financial reporting, accounting or other purpose related to PACTIV and Company’s affiliation immediately prior to the Commencement date, or (C) as may be necessary for PACTIV or its Affiliates to perform their respective obligations pursuant to this Agreement or in connection with any Litigation (other than any Litigation involving a dispute between the parties), in each case subject to compliance with all applicable privacy Laws.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487" w:name="page488"/>
    <w:bookmarkEnd w:id="487"/>
    <w:p>
      <w:pPr>
        <w:ind w:left="440" w:firstLine="428"/>
        <w:spacing w:after="0" w:line="254" w:lineRule="auto"/>
        <w:tabs>
          <w:tab w:leader="none" w:pos="1108"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Party granting access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may withhold any document (or portions thereof) or information (i) that is subject to the terms of a non-disclosure agreement with a third party (provided that such party shall use commercially reasonable efforts to share such information in a manner that would not violate any such obligation), (ii) that may constitute privileged attorney-client communications or attorney work product and the transfer of which, or the provision of access to which, as reasonably determined by such Party’s counsel, constitutes a waiver of any such privilege (provided that such party shall use commercially reasonable efforts to share such information in a manner that would not jeopardize any such privilege), or (iii) if the provision of access to such document (or portion thereof) or information, as determined by such Party’s counsel, would reasonably be expected to conflict with applicable Laws.</w:t>
      </w:r>
    </w:p>
    <w:p>
      <w:pPr>
        <w:spacing w:after="0" w:line="19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Non-Disclosure Agreements</w:t>
      </w:r>
      <w:r>
        <w:rPr>
          <w:rFonts w:ascii="Arial" w:cs="Arial" w:eastAsia="Arial" w:hAnsi="Arial"/>
          <w:sz w:val="18"/>
          <w:szCs w:val="18"/>
          <w:color w:val="auto"/>
        </w:rPr>
        <w:t>. To the extent that any third-party proprietor of information or software to be disclosed or made available to a Recipient in connection with performance of the Services requires a specific form of non-disclosure agreement as a condition of such third party’s consent to use the same for the benefit of Recipient or to permit the Recipient access to such information or software, each Party shall, or shall cause its relevant Affiliate to, as a condition to the receipt of such portion of the Services, execute (and shall cause its Personnel to execute, if reasonably required) any such form.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440" w:firstLine="428"/>
        <w:spacing w:after="0" w:line="269" w:lineRule="auto"/>
        <w:tabs>
          <w:tab w:leader="none" w:pos="1108"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Each Party agrees to take the necessary steps to protect any Confidential Information of the other Party with at least the same degree of care that the receiving Party uses to protect its own confidential or proprietary information of like kind, but not less than reasonable care. Neither Party shall use the other Party’s Confidential Information other than to perform Services pursuant to this Agreement or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herein. The obligation of confidentiality hereunder shall not apply to information that (i) was already in the possession of the receiving Party without restriction on its use or disclosure prior to the receipt of the information from the disclosing Party, (ii) is or becomes available to the general public through no act or fault of the receiving Party, (iii) is rightfully disclosed to the receiving Party by a third party without restriction on its use or disclosure, (iv) is independently developed by employees and/or consultants of the receiving Party who have not had access to the disclosing Party’s Confidential Information, (v) is disclosed to the receiving Party after the receiving Party properly gave notice to the disclosing Party that the receiving Party no longer desired to receive any additional Confidential Information from the disclosing Party, or (vi) is required to be disclosed pursuant to judicial or governmental decree or order, provided that the disclosing Party is, where permitted, given prompt written notice of and the opportunity to defend against disclosure pursuant to such decree or order.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488" w:name="page489"/>
    <w:bookmarkEnd w:id="488"/>
    <w:p>
      <w:pPr>
        <w:ind w:left="440" w:right="40" w:firstLine="428"/>
        <w:spacing w:after="0" w:line="290" w:lineRule="auto"/>
        <w:tabs>
          <w:tab w:leader="none" w:pos="1118" w:val="left"/>
        </w:tabs>
        <w:numPr>
          <w:ilvl w:val="0"/>
          <w:numId w:val="4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any termination or expiration of this Agreement, at the written request of the other Party, each Party shall, and shall cause any of its Affiliates or third-party vendors used in connection with the provision or receipt of the Services to, deliver to the other Party (i) all records and data (including backup tapes, records and related information) received, computed, developed, processed and stored by it hereunder in a readable format reasonably acceptable to the other Party, and (ii) all other Confidential Information of such other Party, but excluding, in each case, (1) any information stored electronically in a back-up file pursuant to the receiving Party’s customary electronic back-up practices which may be retained by such Party solely for archival purposes and subject to the continuing confidentiality obligations set forth in herein, and (2) any information obtained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lieu of delivering all of the foregoing to the other Party, the relevant delivering Party may confirm in writing that it has destroyed, or has caused PACTIV or Company, as the case may be, to destroy, all of the foregoing.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INTELLECTUAL PROPERTY</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herein, any intellectual property owned by a Party, its Affiliates or third-party vendors and used in connection with the provision or receipt of the Services, as applicable, shall remain the property of such Party, its Affiliates, or third-party vendors.</w:t>
      </w:r>
    </w:p>
    <w:p>
      <w:pPr>
        <w:spacing w:after="0" w:line="18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herein, each Party grants, and shall cause its Affiliates to grant, to the other Party and its Affiliates, a royalty-free, non-exclusive, non-transferable, worldwide license, during the Term, to use the intellectual property owned by such Party or its Affiliates (but excluding any trademarks) only to the extent necessary for the other Party and its Affiliates to provide or receive the Services, as applicable. Other than the license granted to a Party and its Affiliates pursuant to the preceding sentence, neither Party nor its Affiliates shall have any right, title or interest in the intellectual property owned by the other Party or its Affiliates.</w:t>
      </w:r>
    </w:p>
    <w:p>
      <w:pPr>
        <w:spacing w:after="0" w:line="188"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Section 8.3 Design and </w:t>
      </w:r>
      <w:r>
        <w:rPr>
          <w:rFonts w:ascii="Arial" w:cs="Arial" w:eastAsia="Arial" w:hAnsi="Arial"/>
          <w:sz w:val="18"/>
          <w:szCs w:val="18"/>
          <w:u w:val="single" w:color="auto"/>
          <w:color w:val="auto"/>
        </w:rPr>
        <w:t>Development Services</w:t>
      </w:r>
      <w:r>
        <w:rPr>
          <w:rFonts w:ascii="Arial" w:cs="Arial" w:eastAsia="Arial" w:hAnsi="Arial"/>
          <w:sz w:val="18"/>
          <w:szCs w:val="18"/>
          <w:color w:val="auto"/>
        </w:rPr>
        <w:t xml:space="preserve">. On RCP’s request, PACTIV may provide certain tooling and product design and development Services (as described in Section G2.1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Ownership of the intellectual property relating to or resulting from such design and development Services must be agreed to by the Parties in writing on a case by case basis and such intellectual property is not subject to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herein. In the event the Parties do not come to an agreement on ownership of the intellectual property, PACTIV can refuse to provide the Service and will not be in breach of this Agreement.</w:t>
      </w: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each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agrees to indemnify, defend and hold harmless the other Party and its Affiliates and its and their respective directors, officers, employees, agents, representatives, successors and permitted assigns (collectively, the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all Losses imposed upon or incurred by an Indemnified Party to the extent arising out of or resulting from the Indemnifying Party’s or its Affiliates’ material breach of this Agreement, except to the extent that such Losses are primarily caused by the Indemnified Party.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89" w:name="page490"/>
    <w:bookmarkEnd w:id="489"/>
    <w:p>
      <w:pPr>
        <w:ind w:right="10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9.2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The indemnities provided for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be the sole and exclusive monetary remedy of the Parties hereto and their Affiliates and their respective officers, directors, employees, agents, representatives, successors and permitted assigns for any breach of or inaccuracy in any representation or warranty or any breach, nonfulfillment or default in the performance of any of the covenants or agreements contained in this Agreement, and the Parties shall not be entitled to a rescission of this Agreement or to any further indemnification rights or claims of any nature whatsoever in respect thereof (including any common law rights of contribution), all of which the Parties hereto hereby waive.</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SET FORTH IN THIS AGREEMENT, (A) NO PARTY MAKES ANY REPRESENTATIONS OR WARRANTIES OF ANY KIND, EXPRESS OR IMPLIED, WITH RESPECT TO THE MATERIALS AND SERVICES, AS APPLICABLE, PROVIDED HEREUNDER, AND ALL SUCH MATERIALS AND SERVICES, AS APPLICABLE, ARE PROVIDED ON AN “AS IS” BASIS AND (B) EACH PARTY DISCLAIMS ANY AND ALL WARRANTIES, EXPRESS OR IMPLIED, INCLUDING ANY IMPLIED WARRANTIES OF MERCHANTABILITY, NON-INFRINGEMENT OR FITNESS FOR A PARTICULAR PURPOSE.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left="440" w:right="100" w:firstLine="428"/>
        <w:spacing w:after="0" w:line="273" w:lineRule="auto"/>
        <w:tabs>
          <w:tab w:leader="none" w:pos="1108"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 NO EVENT SHALL ANY PARTY BE LIABLE TO THE OTHER PARTY FOR ANY INDIRECT, SPECIAL, EXEMPLARY, PUNITIVE OR CONSEQUENTIAL DAMAGES, OR LOST PROFITS OR LOST REVENUES THAT THE OTHER PARTY MAY INCUR BY REASON OF ITS HAVING ENTERED INTO OR RELIED UPON THIS AGREEMENT, OR IN CONNECTION WITH ANY OF THE SERVICES PROVIDED HEREUNDER OR THE FAILURE THEREOF, REGARDLESS OF THE FORM OF ACTION IN WHICH SUCH DAMAGES ARE ASSERTED, WHETHER IN CONTRACT OR TORT (INCLUDING NEGLIGENCE) OR OTHERWISE, EVEN IF ADVISED OF THE POSSIBILITY OF THE SAME OTHER THAN TO THE EXTENT AWARDED IN A THIRD PARTY CLAIM.</w:t>
      </w:r>
    </w:p>
    <w:p>
      <w:pPr>
        <w:spacing w:after="0" w:line="70" w:lineRule="exact"/>
        <w:rPr>
          <w:rFonts w:ascii="Arial" w:cs="Arial" w:eastAsia="Arial" w:hAnsi="Arial"/>
          <w:sz w:val="17"/>
          <w:szCs w:val="17"/>
          <w:color w:val="auto"/>
        </w:rPr>
      </w:pPr>
    </w:p>
    <w:p>
      <w:pPr>
        <w:ind w:left="440" w:right="100" w:firstLine="428"/>
        <w:spacing w:after="0" w:line="264" w:lineRule="auto"/>
        <w:tabs>
          <w:tab w:leader="none" w:pos="111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EXCEPT WITH RESPECT TO A MATERIAL BREACH CONSTITUTING WILLFUL MISCONDUCT BY A PROVIDER, REPEAT PERFORMANCE OF A SERVICE BY THE PROVIDER OR REFUND OF THE FEES PAID FOR A SERVICE SHALL BE THE SOLE AND EXCLUSIVE REMEDY FOR BREACH OF THE SERVICES STANDARD FOR SUCH SERVICE.</w:t>
      </w:r>
    </w:p>
    <w:p>
      <w:pPr>
        <w:spacing w:after="0" w:line="73" w:lineRule="exact"/>
        <w:rPr>
          <w:rFonts w:ascii="Arial" w:cs="Arial" w:eastAsia="Arial" w:hAnsi="Arial"/>
          <w:sz w:val="18"/>
          <w:szCs w:val="18"/>
          <w:color w:val="auto"/>
        </w:rPr>
      </w:pPr>
    </w:p>
    <w:p>
      <w:pPr>
        <w:ind w:left="440" w:right="740" w:firstLine="428"/>
        <w:spacing w:after="0" w:line="308" w:lineRule="auto"/>
        <w:tabs>
          <w:tab w:leader="none" w:pos="1108"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 NO EVENT SHALL A PARTY’S LIABILITY IN RELATION TO SERVICES PROVIDED UNDER THIS AGREEMENT EXCEED THE FEES PAID TO IT UNDER THIS AGREEMENT FOR THE SPECIFIC SERVICE THAT RESULTED IN THE LOSS.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90" w:name="page491"/>
    <w:bookmarkEnd w:id="490"/>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obtain and maintain, for the Term (i) commercial general liability insurance with a single combined liability limit of at least $5,000,000 per occurrence, (ii) workers compensation/employer’s liability insurance with a liability limit of at least $1,000,000 per occurrence or, if greater, the statutory minimum, and (iii) “all risk” property insurance on a replacement cost basis adequate to cover all assets and business interruption Losses that a Party may suffer in connection with or arising out of this Agreement, subject to policy limits, and in the case of the policies described in clause (i) above, naming the other Party as an additional insured thereunder. Upon request, each Party shall provide the other Party a certificate of insurance as proof of insurance coverage.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Force Majeure</w:t>
      </w:r>
      <w:r>
        <w:rPr>
          <w:rFonts w:ascii="Arial" w:cs="Arial" w:eastAsia="Arial" w:hAnsi="Arial"/>
          <w:sz w:val="17"/>
          <w:szCs w:val="17"/>
          <w:color w:val="auto"/>
        </w:rPr>
        <w:t>. In the event that a Party is wholly or partially prevented from, or delayed in, providing one or more Services, or one or more Services are interrupted or suspended, by reason of events beyond their reasonable control, which by their nature were not foreseen, or, if it was foreseen, was not reasonably avoidable, including acts of God, act of Governmental Authority, act of the public enemy or due to fire, explosion, accident, floods, embargoes, epidemics, war, acts of terrorism, nuclear disaster, civil unrest or riots, civil commotion, insurrection, severe or adverse weather conditions, lack of or shortage of adequate electrical power, malfunctions of equipment or software (each,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such Party shall promptly give notice of any such Force Majeure Event to Company and shall indicate in such notice the effect of such event on their ability to perform hereunder and the anticipated duration of such event. The Party whose performance is affected by the Force Majeure Event shall not be obligated to deliver or cause to be delivered the affected Services during such period, and the applicable Party shall not be obligated to pay during such period for any affected Services not delivered. During the duration of a Force Majeure Event, the Party whose performance is affected by the Force Majeure Event shall, and shall cause their relevant Affiliates to, minimize to the extent practicable the effect of the Force Majeure Event on their obligations hereunder and use commercially reasonable efforts to avoid or remove such Force Majeure Event and to resume delivery of the affected Services with the least delay practicable.</w:t>
      </w:r>
    </w:p>
    <w:p>
      <w:pPr>
        <w:spacing w:after="0" w:line="180"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Authority</w:t>
      </w:r>
      <w:r>
        <w:rPr>
          <w:rFonts w:ascii="Arial" w:cs="Arial" w:eastAsia="Arial" w:hAnsi="Arial"/>
          <w:sz w:val="16"/>
          <w:szCs w:val="16"/>
          <w:color w:val="auto"/>
        </w:rPr>
        <w:t>. A Provider shall not be permitted to bind a Recipient or any of its Affiliates or enter into any agreements (oral or written), contracts, leases, licenses or other documents (including the signing of checks, notes, bills of exchange or any other document, or accessing any funds from any bank accounts of Recipient or any of its Affiliates) on behalf of Recipient or any of its Affiliates except with the express prior written consent of Recipient, which consent may be given from time to time as the need arises and for such limited purposes as expressed therein.</w:t>
      </w:r>
    </w:p>
    <w:p>
      <w:pPr>
        <w:spacing w:after="0" w:line="15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to prevent actual or threatened breaches of this Agreement and to enforce specifically the terms and provisions of this Agreement, this being in addition to any other remedy to which they are entitled at law or in equity. For the avoidance of doubt, nothing contained herein shall prevent a Party from seeking damages (to the extent permitted herein) in the event that specific performance is not available.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491" w:name="page492"/>
    <w:bookmarkEnd w:id="491"/>
    <w:p>
      <w:pPr>
        <w:ind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Arial" w:cs="Arial" w:eastAsia="Arial" w:hAnsi="Arial"/>
          <w:sz w:val="17"/>
          <w:szCs w:val="17"/>
          <w:u w:val="single" w:color="auto"/>
          <w:color w:val="auto"/>
        </w:rPr>
        <w:t>Status of Parties</w:t>
      </w:r>
      <w:r>
        <w:rPr>
          <w:rFonts w:ascii="Arial" w:cs="Arial" w:eastAsia="Arial" w:hAnsi="Arial"/>
          <w:sz w:val="17"/>
          <w:szCs w:val="17"/>
          <w:color w:val="auto"/>
        </w:rPr>
        <w:t>. This Agreement is not intended to create, nor will it be deemed or construed to create, any relationship between PACTIV and its Affiliates, on the one hand, and Company and its respective Affiliates, on the other hand, other than that of independent entities contracting with each other solely for the purpose of effecting the provisions of this Agreement. Neither PACTIV and its Affiliates, on the one hand, nor Company and its Affiliates, on the other hand, shall be construed to be the agent of the other.</w:t>
      </w:r>
    </w:p>
    <w:p>
      <w:pPr>
        <w:spacing w:after="0" w:line="171"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by delivery in person, by facsimile (followed by overnight courier), Email (followed by overnight courier), or by registered or certified mail (postage prepaid, return receipt requested) to the other Party hereto as follows: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Company,</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8"/>
          <w:szCs w:val="18"/>
          <w:color w:val="auto"/>
        </w:rPr>
        <w:t>Attention:</w:t>
        <w:tab/>
        <w:t>David Watson</w:t>
      </w:r>
    </w:p>
    <w:p>
      <w:pPr>
        <w:spacing w:after="0" w:line="9"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David.Watson@reynoldsbrands.com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PACTIV,</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Pactiv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8"/>
          <w:szCs w:val="18"/>
          <w:color w:val="auto"/>
        </w:rPr>
        <w:t>Attention:</w:t>
        <w:tab/>
        <w:t>Steve Karl</w:t>
      </w:r>
    </w:p>
    <w:p>
      <w:pPr>
        <w:spacing w:after="0" w:line="9"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skarl@pactiv.com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Group Holdings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8"/>
          <w:szCs w:val="18"/>
          <w:color w:val="auto"/>
        </w:rPr>
        <w:t>Attention:</w:t>
        <w:tab/>
        <w:t>Joseph Doyle</w:t>
      </w:r>
    </w:p>
    <w:p>
      <w:pPr>
        <w:spacing w:after="0" w:line="9"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Joseph.Doyle@RankNA.com</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Group Holdings Limited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Nine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148 Quay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P.O. Box 3515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Auckland, New Zealand</w:t>
      </w:r>
    </w:p>
    <w:p>
      <w:pPr>
        <w:spacing w:after="0" w:line="9"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8"/>
          <w:szCs w:val="18"/>
          <w:color w:val="auto"/>
        </w:rPr>
        <w:t>Attention:</w:t>
        <w:tab/>
        <w:t>Helen Golding</w:t>
      </w:r>
    </w:p>
    <w:p>
      <w:pPr>
        <w:spacing w:after="0" w:line="9"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helen.golding@rankgroup.co.nz</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492" w:name="page493"/>
    <w:bookmarkEnd w:id="492"/>
    <w:p>
      <w:pPr>
        <w:ind w:right="2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such other address, Email or facsimile number as such party may hereafter specify for the purpose by notice to the other Party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Notwithstanding the forgoing, normal business communications with respect to the Services may be given by the Parties by whatever means are usual and appropriate for such types of communications.</w:t>
      </w:r>
    </w:p>
    <w:p>
      <w:pPr>
        <w:spacing w:after="0" w:line="173" w:lineRule="exact"/>
        <w:rPr>
          <w:sz w:val="20"/>
          <w:szCs w:val="20"/>
          <w:color w:val="auto"/>
        </w:rPr>
      </w:pPr>
    </w:p>
    <w:p>
      <w:pPr>
        <w:ind w:right="840" w:firstLine="441"/>
        <w:spacing w:after="0" w:line="34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Exhibits, constitute the sole and entire agreement and supersede all prior agreements, understandings and representations, both written and oral, between the Parties with respect to the subject matter hereof.</w:t>
      </w:r>
    </w:p>
    <w:p>
      <w:pPr>
        <w:spacing w:after="0" w:line="12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Waivers and Amendments; Non-Contractual Remedies; Preservation of Remedies</w:t>
      </w:r>
      <w:r>
        <w:rPr>
          <w:rFonts w:ascii="Arial" w:cs="Arial" w:eastAsia="Arial" w:hAnsi="Arial"/>
          <w:sz w:val="16"/>
          <w:szCs w:val="16"/>
          <w:color w:val="auto"/>
        </w:rPr>
        <w:t>. 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Governing Law, etc</w:t>
      </w:r>
      <w:r>
        <w:rPr>
          <w:rFonts w:ascii="Arial" w:cs="Arial" w:eastAsia="Arial" w:hAnsi="Arial"/>
          <w:sz w:val="18"/>
          <w:szCs w:val="18"/>
          <w:color w:val="auto"/>
        </w:rPr>
        <w:t>.</w:t>
      </w:r>
    </w:p>
    <w:p>
      <w:pPr>
        <w:spacing w:after="0" w:line="117" w:lineRule="exact"/>
        <w:rPr>
          <w:sz w:val="20"/>
          <w:szCs w:val="20"/>
          <w:color w:val="auto"/>
        </w:rPr>
      </w:pPr>
    </w:p>
    <w:p>
      <w:pPr>
        <w:ind w:left="440" w:right="20" w:firstLine="428"/>
        <w:spacing w:after="0" w:line="287" w:lineRule="auto"/>
        <w:tabs>
          <w:tab w:leader="none" w:pos="1108"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in all respects, including as to validity, interpretation and effect, by the Laws of the State of Illinois, without giving effect to its principles or rules of conflict of laws, to the extent such principles or rules are not mandatorily applicable by statute and would permit or require the application of the Laws of another jurisdiction. Each of the Parties hereto submits to the jurisdiction of any state or federal court sitting in Lake County, Illinois, in any action or proceeding arising out of or relating to this Agreement, agrees to bring all claims under any theory of liability in respect of such action or proceeding exclusively in any such court and agrees not to bring any action or proceeding arising out of or relating to this Agreement in any other court. Each of the Parties hereto waives any defense of inconvenient forum to the maintenance of any action or proceeding so brought and waives any bond, surety or other security that might be required of any other party with respect thereto. Each Party hereto agrees that service of summons and complaint or any other process that might be served in any action or proceeding may be made on such Party by sending or delivering a copy of the process to the Party to be served at the address of the Party and in the manner provided for the giving of notices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10.8</w:t>
      </w:r>
      <w:r>
        <w:rPr>
          <w:rFonts w:ascii="Arial" w:cs="Arial" w:eastAsia="Arial" w:hAnsi="Arial"/>
          <w:sz w:val="16"/>
          <w:szCs w:val="16"/>
          <w:color w:val="auto"/>
        </w:rPr>
        <w:t>, however, shall affect the right of any Party to serve legal process in any other manner permitted by Law. Each Party hereto agrees that a final, non-appealable judgment in any action or proceeding so brought shall be conclusive and may be enforced by suit on the judgment or in any other manner provided by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493" w:name="page494"/>
    <w:bookmarkEnd w:id="493"/>
    <w:p>
      <w:pPr>
        <w:ind w:left="440" w:right="20" w:firstLine="428"/>
        <w:spacing w:after="0" w:line="273" w:lineRule="auto"/>
        <w:tabs>
          <w:tab w:leader="none" w:pos="1118" w:val="left"/>
        </w:tabs>
        <w:numPr>
          <w:ilvl w:val="0"/>
          <w:numId w:val="4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Parties each hereby waive, to the fullest extent permitted by Law, any right to trial by jury of any claim, demand, action, or cause of action (i) arising under this Agreement or (ii)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 and consent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78"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covenants and agrees that, without any additional consideration, it shall execute and deliver, or shall cause its Affiliates to execute and deliver, such documents and other papers and shall take, or shall cause its Affiliates to take, such further actions as may be reasonably required to carry out the provisions of this Agreement and give effect to the transactions contemplated by this Agreement.</w:t>
      </w:r>
    </w:p>
    <w:p>
      <w:pPr>
        <w:spacing w:after="0" w:line="14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No Party may assign this Agreement, or any of its rights or obligations under this Agreement (whether by operation of Law or otherwise),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any Party may assign any or all of its rights or obligations under this Agreement without the consent of the other Party to: (a) its Affiliates, (b) a purchaser of: (i) one or more of its Affiliates that is a Provider or Recipient under this Agreement; (ii) all or substantially all of the business or assets of one or more of its Affiliates that is a Provider or Recipient under this Agreement; or (iii) all or substantially all of such Party’s business or assets, or (c) its financing sources solely for collateral purposes, in each case so long as the assignee agrees to be bound by the terms of this Agreement. Any permitted assignment shall be binding upon and inure to the benefit of the Parties and their respective heirs, successors and permitted assigns. Any attempted assignment of this Agreement, or the rights or obligations herein, not in accordance with the terms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shall be void.</w:t>
      </w:r>
    </w:p>
    <w:p>
      <w:pPr>
        <w:spacing w:after="0" w:line="166"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determined by a court of competent jurisdiction to be invalid, illegal or unenforceable, all other provisions of this Agreement shall remain in full force and effect so long as the economic or legal substance of the transactions contemplated hereby is not affected in any manner materially adverse to any Party. Upon any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440" w:right="60" w:firstLine="428"/>
        <w:spacing w:after="0" w:line="277" w:lineRule="auto"/>
        <w:tabs>
          <w:tab w:leader="none" w:pos="110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Parties acknowledge and agree that, except as specifically provided herein, they may pursue judicial remedies at law or equity in the event of a dispute with respect to the interpretation or construction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494" w:name="page495"/>
    <w:bookmarkEnd w:id="494"/>
    <w:p>
      <w:pPr>
        <w:ind w:left="440" w:right="120" w:firstLine="428"/>
        <w:spacing w:after="0" w:line="277" w:lineRule="auto"/>
        <w:tabs>
          <w:tab w:leader="none" w:pos="1118"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be interpreted and enforced in accordance with the provisions hereof without the aid of any canon, custom or rule of law requiring or suggesting constitution against the Party causing the drafting of the provision in question.</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Other than the rights granted to the Indemnified Parties under </w:t>
      </w:r>
      <w:r>
        <w:rPr>
          <w:rFonts w:ascii="Arial" w:cs="Arial" w:eastAsia="Arial" w:hAnsi="Arial"/>
          <w:sz w:val="17"/>
          <w:szCs w:val="17"/>
          <w:u w:val="single" w:color="auto"/>
          <w:color w:val="auto"/>
        </w:rPr>
        <w:t>Section 9.1</w:t>
      </w:r>
      <w:r>
        <w:rPr>
          <w:rFonts w:ascii="Arial" w:cs="Arial" w:eastAsia="Arial" w:hAnsi="Arial"/>
          <w:sz w:val="17"/>
          <w:szCs w:val="17"/>
          <w:color w:val="auto"/>
        </w:rPr>
        <w:t>, nothing in this Agreement is intended or shall be construed to give any person, other than the Parties hereto, their successors and permitted novates, transferees and assigns, any legal or equitable right, remedy or claim under or in respect of this Agreement or any provision contained herein.</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and all of which shall together constitute one and the same instrument. Delivery of an executed counterpart of a signature page to this Agreement by facsimile or scanned pages shall be effective as delivery of a manually executed counterpart to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3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Order of Precedence</w:t>
      </w:r>
      <w:r>
        <w:rPr>
          <w:rFonts w:ascii="Arial" w:cs="Arial" w:eastAsia="Arial" w:hAnsi="Arial"/>
          <w:sz w:val="18"/>
          <w:szCs w:val="18"/>
          <w:color w:val="auto"/>
        </w:rPr>
        <w:t>. In the event of any conflict between the provisions of any Exhibit and the other provisions of this Agreement, the other provisions of this Agreement shall govern, except to the extent that the relevant provision of the Exhibit expressly identifies the provision of this Agreement it supersedes and expressly indicates that such provision is being superseded or this Agreement expressly indicates that the Exhibit governs.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95" w:name="page496"/>
    <w:bookmarkEnd w:id="49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Mitchell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Lance Mitchell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Pactiv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McGrath</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John McGrath</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0019"/>
          </w:cols>
          <w:pgMar w:left="440" w:top="274" w:right="1440" w:bottom="1440" w:gutter="0" w:footer="0" w:header="0"/>
        </w:sectPr>
      </w:pPr>
    </w:p>
    <w:bookmarkStart w:id="496" w:name="page497"/>
    <w:bookmarkEnd w:id="49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Transition Services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G1: Tooling and Spare Parts Services</w:t>
      </w:r>
    </w:p>
    <w:p>
      <w:pPr>
        <w:sectPr>
          <w:pgSz w:w="11900" w:h="16838" w:orient="portrait"/>
          <w:cols w:equalWidth="0" w:num="1">
            <w:col w:w="11040"/>
          </w:cols>
          <w:pgMar w:left="440" w:top="269" w:right="419" w:bottom="1440" w:gutter="0" w:footer="0" w:header="0"/>
        </w:sect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Service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15240</wp:posOffset>
            </wp:positionV>
            <wp:extent cx="9093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G1.1</w:t>
      </w:r>
      <w:r>
        <w:rPr>
          <w:sz w:val="20"/>
          <w:szCs w:val="20"/>
          <w:color w:val="auto"/>
        </w:rPr>
        <w:tab/>
      </w:r>
      <w:r>
        <w:rPr>
          <w:rFonts w:ascii="Arial" w:cs="Arial" w:eastAsia="Arial" w:hAnsi="Arial"/>
          <w:sz w:val="16"/>
          <w:szCs w:val="16"/>
          <w:color w:val="auto"/>
        </w:rPr>
        <w:t>Tooling Services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Repair &amp;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Replacement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G1.2</w:t>
      </w:r>
      <w:r>
        <w:rPr>
          <w:sz w:val="20"/>
          <w:szCs w:val="20"/>
          <w:color w:val="auto"/>
        </w:rPr>
        <w:tab/>
      </w:r>
      <w:r>
        <w:rPr>
          <w:rFonts w:ascii="Arial" w:cs="Arial" w:eastAsia="Arial" w:hAnsi="Arial"/>
          <w:sz w:val="15"/>
          <w:szCs w:val="15"/>
          <w:color w:val="auto"/>
        </w:rPr>
        <w:t>Spare Parts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Services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Maintenance Parts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left="-127"/>
        <w:spacing w:after="0"/>
        <w:rPr>
          <w:sz w:val="20"/>
          <w:szCs w:val="20"/>
          <w:color w:val="auto"/>
        </w:rPr>
      </w:pPr>
      <w:r>
        <w:rPr>
          <w:rFonts w:ascii="Arial" w:cs="Arial" w:eastAsia="Arial" w:hAnsi="Arial"/>
          <w:sz w:val="14"/>
          <w:szCs w:val="14"/>
          <w:b w:val="1"/>
          <w:bCs w:val="1"/>
          <w:color w:val="auto"/>
        </w:rPr>
        <w:t>Description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35343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 w:lineRule="exact"/>
        <w:rPr>
          <w:sz w:val="20"/>
          <w:szCs w:val="20"/>
          <w:color w:val="auto"/>
        </w:rPr>
      </w:pPr>
    </w:p>
    <w:p>
      <w:pPr>
        <w:ind w:left="8" w:right="380"/>
        <w:spacing w:after="0" w:line="275" w:lineRule="auto"/>
        <w:rPr>
          <w:sz w:val="20"/>
          <w:szCs w:val="20"/>
          <w:color w:val="auto"/>
        </w:rPr>
      </w:pPr>
      <w:r>
        <w:rPr>
          <w:rFonts w:ascii="Arial" w:cs="Arial" w:eastAsia="Arial" w:hAnsi="Arial"/>
          <w:sz w:val="18"/>
          <w:szCs w:val="18"/>
          <w:color w:val="auto"/>
        </w:rPr>
        <w:t>Provision of support for cups, injection molding, and molded fiber tooling and screens, including:</w:t>
      </w:r>
    </w:p>
    <w:p>
      <w:pPr>
        <w:spacing w:after="0" w:line="77" w:lineRule="exact"/>
        <w:rPr>
          <w:sz w:val="20"/>
          <w:szCs w:val="20"/>
          <w:color w:val="auto"/>
        </w:rPr>
      </w:pPr>
    </w:p>
    <w:p>
      <w:pPr>
        <w:ind w:left="368" w:right="200" w:hanging="368"/>
        <w:spacing w:after="0" w:line="277" w:lineRule="auto"/>
        <w:tabs>
          <w:tab w:leader="none" w:pos="35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Repair or replacement of tooling existing at the Commencement Date and new tooling</w:t>
      </w:r>
    </w:p>
    <w:p>
      <w:pPr>
        <w:spacing w:after="0" w:line="75" w:lineRule="exact"/>
        <w:rPr>
          <w:rFonts w:ascii="Arial" w:cs="Arial" w:eastAsia="Arial" w:hAnsi="Arial"/>
          <w:sz w:val="18"/>
          <w:szCs w:val="18"/>
          <w:color w:val="auto"/>
        </w:rPr>
      </w:pPr>
    </w:p>
    <w:p>
      <w:pPr>
        <w:ind w:left="348" w:hanging="348"/>
        <w:spacing w:after="0"/>
        <w:tabs>
          <w:tab w:leader="none" w:pos="34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Transition of relationships with third party suppliers.</w:t>
      </w:r>
    </w:p>
    <w:p>
      <w:pPr>
        <w:spacing w:after="0" w:line="131" w:lineRule="exact"/>
        <w:rPr>
          <w:sz w:val="20"/>
          <w:szCs w:val="20"/>
          <w:color w:val="auto"/>
        </w:rPr>
      </w:pPr>
    </w:p>
    <w:p>
      <w:pPr>
        <w:ind w:left="8"/>
        <w:spacing w:after="0" w:line="286" w:lineRule="auto"/>
        <w:rPr>
          <w:sz w:val="20"/>
          <w:szCs w:val="20"/>
          <w:color w:val="auto"/>
        </w:rPr>
      </w:pPr>
      <w:r>
        <w:rPr>
          <w:rFonts w:ascii="Arial" w:cs="Arial" w:eastAsia="Arial" w:hAnsi="Arial"/>
          <w:sz w:val="17"/>
          <w:szCs w:val="17"/>
          <w:color w:val="auto"/>
        </w:rPr>
        <w:t>Requests for services pursuant to this G1.1 shall be made in accordance with the RCP Purchases Tooling/Repairs SOP effective November 1, 2019 (as may be amended from time to time).</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7"/>
          <w:szCs w:val="17"/>
          <w:color w:val="auto"/>
        </w:rPr>
        <w:t>Access to spare maintenance parts for certain machinery located at:</w:t>
      </w:r>
    </w:p>
    <w:p>
      <w:pPr>
        <w:spacing w:after="0" w:line="142" w:lineRule="exact"/>
        <w:rPr>
          <w:sz w:val="20"/>
          <w:szCs w:val="20"/>
          <w:color w:val="auto"/>
        </w:rPr>
      </w:pPr>
    </w:p>
    <w:p>
      <w:pPr>
        <w:ind w:left="348" w:hanging="348"/>
        <w:spacing w:after="0"/>
        <w:tabs>
          <w:tab w:leader="none" w:pos="3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Huntersville (injection molding, cups, straws)</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Red Bluff (molded fiber)</w:t>
      </w:r>
    </w:p>
    <w:p>
      <w:pPr>
        <w:spacing w:after="0" w:line="131" w:lineRule="exact"/>
        <w:rPr>
          <w:sz w:val="20"/>
          <w:szCs w:val="20"/>
          <w:color w:val="auto"/>
        </w:rPr>
      </w:pPr>
    </w:p>
    <w:p>
      <w:pPr>
        <w:jc w:val="both"/>
        <w:ind w:left="8"/>
        <w:spacing w:after="0" w:line="286" w:lineRule="auto"/>
        <w:rPr>
          <w:sz w:val="20"/>
          <w:szCs w:val="20"/>
          <w:color w:val="auto"/>
        </w:rPr>
      </w:pPr>
      <w:r>
        <w:rPr>
          <w:rFonts w:ascii="Arial" w:cs="Arial" w:eastAsia="Arial" w:hAnsi="Arial"/>
          <w:sz w:val="17"/>
          <w:szCs w:val="17"/>
          <w:color w:val="auto"/>
        </w:rPr>
        <w:t>Requests for services pursuant to this G1.1 shall be made in accordance with the Spare Parts Sell/Buy Process SOP effective November 1, 2019 (as may be amended from time to time).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Actual cost plus 5%</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2"/>
              </w:rPr>
              <w:t>for engineering design</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1"/>
              </w:rPr>
              <w:t>costs, labor, materials,</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external tooling and</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5"/>
              </w:rPr>
              <w:t>freight/customs/tariffs</w:t>
            </w: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(as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12 months from the</w:t>
      </w:r>
      <w:r>
        <w:rPr>
          <w:sz w:val="20"/>
          <w:szCs w:val="20"/>
          <w:color w:val="auto"/>
        </w:rPr>
        <w:tab/>
      </w:r>
      <w:r>
        <w:rPr>
          <w:rFonts w:ascii="Arial" w:cs="Arial" w:eastAsia="Arial" w:hAnsi="Arial"/>
          <w:sz w:val="16"/>
          <w:szCs w:val="16"/>
          <w:color w:val="auto"/>
        </w:rPr>
        <w:t>Last purchase price</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Commencement Date</w:t>
      </w:r>
      <w:r>
        <w:rPr>
          <w:sz w:val="20"/>
          <w:szCs w:val="20"/>
          <w:color w:val="auto"/>
        </w:rPr>
        <w:tab/>
      </w:r>
      <w:r>
        <w:rPr>
          <w:rFonts w:ascii="Arial" w:cs="Arial" w:eastAsia="Arial" w:hAnsi="Arial"/>
          <w:sz w:val="16"/>
          <w:szCs w:val="16"/>
          <w:color w:val="auto"/>
        </w:rPr>
        <w:t>paid for the requested</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part plus 5%, plus the</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difference between</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last purchase price and</w:t>
      </w:r>
    </w:p>
    <w:p>
      <w:pPr>
        <w:spacing w:after="0" w:line="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replacement cost if</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greater than $200</w:t>
      </w:r>
    </w:p>
    <w:p>
      <w:pPr>
        <w:sectPr>
          <w:pgSz w:w="11900" w:h="16838" w:orient="portrait"/>
          <w:cols w:equalWidth="0" w:num="3">
            <w:col w:w="2000" w:space="192"/>
            <w:col w:w="5168" w:space="260"/>
            <w:col w:w="3420"/>
          </w:cols>
          <w:pgMar w:left="440" w:top="269" w:right="419" w:bottom="1440" w:gutter="0" w:footer="0" w:header="0"/>
          <w:type w:val="continuous"/>
        </w:sectPr>
      </w:pPr>
    </w:p>
    <w:bookmarkStart w:id="497" w:name="page498"/>
    <w:bookmarkEnd w:id="497"/>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RB/HTV TSA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G2: Engineering Services</w:t>
      </w:r>
    </w:p>
    <w:p>
      <w:pPr>
        <w:sectPr>
          <w:pgSz w:w="11900" w:h="16838" w:orient="portrait"/>
          <w:cols w:equalWidth="0" w:num="1">
            <w:col w:w="11040"/>
          </w:cols>
          <w:pgMar w:left="440" w:top="273" w:right="419" w:bottom="1440" w:gutter="0" w:footer="0" w:header="0"/>
        </w:sect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Service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15240</wp:posOffset>
            </wp:positionV>
            <wp:extent cx="90932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G2.1</w:t>
      </w:r>
      <w:r>
        <w:rPr>
          <w:sz w:val="20"/>
          <w:szCs w:val="20"/>
          <w:color w:val="auto"/>
        </w:rPr>
        <w:tab/>
      </w:r>
      <w:r>
        <w:rPr>
          <w:rFonts w:ascii="Arial" w:cs="Arial" w:eastAsia="Arial" w:hAnsi="Arial"/>
          <w:sz w:val="16"/>
          <w:szCs w:val="16"/>
          <w:color w:val="auto"/>
        </w:rPr>
        <w:t>Engineering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Services – General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Support Services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968"/>
        <w:spacing w:after="0"/>
        <w:rPr>
          <w:sz w:val="20"/>
          <w:szCs w:val="20"/>
          <w:color w:val="auto"/>
        </w:rPr>
      </w:pPr>
      <w:r>
        <w:rPr>
          <w:rFonts w:ascii="Arial" w:cs="Arial" w:eastAsia="Arial" w:hAnsi="Arial"/>
          <w:sz w:val="14"/>
          <w:szCs w:val="14"/>
          <w:b w:val="1"/>
          <w:bCs w:val="1"/>
          <w:color w:val="auto"/>
        </w:rPr>
        <w:t>Description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3534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Arial" w:cs="Arial" w:eastAsia="Arial" w:hAnsi="Arial"/>
          <w:sz w:val="18"/>
          <w:szCs w:val="18"/>
          <w:color w:val="auto"/>
        </w:rPr>
        <w:t>Provision of engineering support for:</w:t>
      </w:r>
    </w:p>
    <w:p>
      <w:pPr>
        <w:spacing w:after="0" w:line="128" w:lineRule="exact"/>
        <w:rPr>
          <w:sz w:val="20"/>
          <w:szCs w:val="20"/>
          <w:color w:val="auto"/>
        </w:rPr>
      </w:pPr>
    </w:p>
    <w:p>
      <w:pPr>
        <w:ind w:left="348" w:hanging="348"/>
        <w:spacing w:after="0"/>
        <w:tabs>
          <w:tab w:leader="none" w:pos="34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Capital projects</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Tooling design</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Process support</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Automation support</w:t>
      </w:r>
    </w:p>
    <w:p>
      <w:pPr>
        <w:spacing w:after="0" w:line="130" w:lineRule="exact"/>
        <w:rPr>
          <w:rFonts w:ascii="Arial" w:cs="Arial" w:eastAsia="Arial" w:hAnsi="Arial"/>
          <w:sz w:val="18"/>
          <w:szCs w:val="18"/>
          <w:color w:val="auto"/>
        </w:rPr>
      </w:pPr>
    </w:p>
    <w:p>
      <w:pPr>
        <w:ind w:left="368" w:right="60" w:hanging="368"/>
        <w:spacing w:after="0" w:line="277" w:lineRule="auto"/>
        <w:tabs>
          <w:tab w:leader="none" w:pos="35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New products development support for products to be produced at RCP locations</w:t>
      </w:r>
    </w:p>
    <w:p>
      <w:pPr>
        <w:spacing w:after="0" w:line="75" w:lineRule="exact"/>
        <w:rPr>
          <w:rFonts w:ascii="Arial" w:cs="Arial" w:eastAsia="Arial" w:hAnsi="Arial"/>
          <w:sz w:val="18"/>
          <w:szCs w:val="18"/>
          <w:color w:val="auto"/>
        </w:rPr>
      </w:pPr>
    </w:p>
    <w:p>
      <w:pPr>
        <w:ind w:left="348" w:hanging="348"/>
        <w:spacing w:after="0"/>
        <w:tabs>
          <w:tab w:leader="none" w:pos="34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Materials development</w:t>
      </w:r>
    </w:p>
    <w:p>
      <w:pPr>
        <w:spacing w:after="0" w:line="130" w:lineRule="exact"/>
        <w:rPr>
          <w:rFonts w:ascii="Arial" w:cs="Arial" w:eastAsia="Arial" w:hAnsi="Arial"/>
          <w:sz w:val="18"/>
          <w:szCs w:val="18"/>
          <w:color w:val="auto"/>
        </w:rPr>
      </w:pPr>
    </w:p>
    <w:p>
      <w:pPr>
        <w:ind w:left="8" w:right="320" w:hanging="8"/>
        <w:spacing w:after="0" w:line="440" w:lineRule="auto"/>
        <w:tabs>
          <w:tab w:leader="none" w:pos="352" w:val="left"/>
        </w:tabs>
        <w:numPr>
          <w:ilvl w:val="0"/>
          <w:numId w:val="436"/>
        </w:numPr>
        <w:rPr>
          <w:rFonts w:ascii="Arial" w:cs="Arial" w:eastAsia="Arial" w:hAnsi="Arial"/>
          <w:sz w:val="16"/>
          <w:szCs w:val="16"/>
          <w:color w:val="auto"/>
        </w:rPr>
      </w:pPr>
      <w:r>
        <w:rPr>
          <w:rFonts w:ascii="Arial" w:cs="Arial" w:eastAsia="Arial" w:hAnsi="Arial"/>
          <w:sz w:val="16"/>
          <w:szCs w:val="16"/>
          <w:color w:val="auto"/>
        </w:rPr>
        <w:t>Product testing (for products to be produced at RCP locations) Provision of training of new RCP employees upon request.</w:t>
      </w:r>
    </w:p>
    <w:p>
      <w:pPr>
        <w:spacing w:after="0" w:line="1" w:lineRule="exact"/>
        <w:rPr>
          <w:sz w:val="20"/>
          <w:szCs w:val="20"/>
          <w:color w:val="auto"/>
        </w:rPr>
      </w:pPr>
    </w:p>
    <w:p>
      <w:pPr>
        <w:jc w:val="both"/>
        <w:ind w:left="8"/>
        <w:spacing w:after="0" w:line="286" w:lineRule="auto"/>
        <w:rPr>
          <w:sz w:val="20"/>
          <w:szCs w:val="20"/>
          <w:color w:val="auto"/>
        </w:rPr>
      </w:pPr>
      <w:r>
        <w:rPr>
          <w:rFonts w:ascii="Arial" w:cs="Arial" w:eastAsia="Arial" w:hAnsi="Arial"/>
          <w:sz w:val="17"/>
          <w:szCs w:val="17"/>
          <w:color w:val="auto"/>
        </w:rPr>
        <w:t>Requests for services pursuant to this G2.1 shall be made in accordance with the PTV Engineering Support to RCP SOP effective November 1, 2019 (as may be amended from time to time).</w:t>
      </w:r>
    </w:p>
    <w:p>
      <w:pPr>
        <w:spacing w:after="0" w:line="111" w:lineRule="exact"/>
        <w:rPr>
          <w:sz w:val="20"/>
          <w:szCs w:val="20"/>
          <w:color w:val="auto"/>
        </w:rPr>
      </w:pPr>
    </w:p>
    <w:p>
      <w:pPr>
        <w:ind w:left="3188"/>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Actual cost incurred</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for labor, materials,</w:t>
            </w: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and expenses</w:t>
            </w:r>
          </w:p>
        </w:tc>
      </w:tr>
      <w:tr>
        <w:trPr>
          <w:trHeight w:val="32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3"/>
              </w:rPr>
              <w:t>Plus the pass-through</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of actual third-party</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costs incurred in</w:t>
            </w: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9"/>
              </w:rPr>
              <w:t>providing the service</w:t>
            </w:r>
          </w:p>
        </w:tc>
      </w:tr>
    </w:tbl>
    <w:p>
      <w:pPr>
        <w:sectPr>
          <w:pgSz w:w="11900" w:h="16838" w:orient="portrait"/>
          <w:cols w:equalWidth="0" w:num="3">
            <w:col w:w="2020" w:space="172"/>
            <w:col w:w="5168" w:space="260"/>
            <w:col w:w="3420"/>
          </w:cols>
          <w:pgMar w:left="440" w:top="273" w:right="419" w:bottom="1440" w:gutter="0" w:footer="0" w:header="0"/>
          <w:type w:val="continuous"/>
        </w:sectPr>
      </w:pPr>
    </w:p>
    <w:bookmarkStart w:id="498" w:name="page499"/>
    <w:bookmarkEnd w:id="4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CONFIDENTIAL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RB/HTV TSA</w:t>
            </w:r>
          </w:p>
        </w:tc>
        <w:tc>
          <w:tcPr>
            <w:tcW w:w="0" w:type="dxa"/>
            <w:vAlign w:val="bottom"/>
          </w:tcPr>
          <w:p>
            <w:pPr>
              <w:spacing w:after="0"/>
              <w:rPr>
                <w:sz w:val="1"/>
                <w:szCs w:val="1"/>
                <w:color w:val="auto"/>
              </w:rPr>
            </w:pPr>
          </w:p>
        </w:tc>
      </w:tr>
      <w:tr>
        <w:trPr>
          <w:trHeight w:val="392"/>
        </w:trPr>
        <w:tc>
          <w:tcPr>
            <w:tcW w:w="2440" w:type="dxa"/>
            <w:vAlign w:val="bottom"/>
            <w:gridSpan w:val="6"/>
          </w:tcPr>
          <w:p>
            <w:pPr>
              <w:spacing w:after="0"/>
              <w:rPr>
                <w:sz w:val="20"/>
                <w:szCs w:val="20"/>
                <w:color w:val="auto"/>
              </w:rPr>
            </w:pPr>
            <w:r>
              <w:rPr>
                <w:rFonts w:ascii="Arial" w:cs="Arial" w:eastAsia="Arial" w:hAnsi="Arial"/>
                <w:sz w:val="18"/>
                <w:szCs w:val="18"/>
                <w:b w:val="1"/>
                <w:bCs w:val="1"/>
                <w:color w:val="auto"/>
                <w:w w:val="92"/>
              </w:rPr>
              <w:t>Section G3: Financial Services</w:t>
            </w: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G3.1</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Description of Service</w:t>
            </w:r>
          </w:p>
        </w:tc>
        <w:tc>
          <w:tcPr>
            <w:tcW w:w="140" w:type="dxa"/>
            <w:vAlign w:val="bottom"/>
          </w:tcPr>
          <w:p>
            <w:pPr>
              <w:spacing w:after="0"/>
              <w:rPr>
                <w:sz w:val="24"/>
                <w:szCs w:val="24"/>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w w:val="97"/>
              </w:rPr>
              <w:t>Financial Services</w:t>
            </w:r>
          </w:p>
        </w:tc>
        <w:tc>
          <w:tcPr>
            <w:tcW w:w="100" w:type="dxa"/>
            <w:vAlign w:val="bottom"/>
          </w:tcPr>
          <w:p>
            <w:pPr>
              <w:spacing w:after="0"/>
              <w:rPr>
                <w:sz w:val="16"/>
                <w:szCs w:val="16"/>
                <w:color w:val="auto"/>
              </w:rPr>
            </w:pPr>
          </w:p>
        </w:tc>
        <w:tc>
          <w:tcPr>
            <w:tcW w:w="5280" w:type="dxa"/>
            <w:vAlign w:val="bottom"/>
            <w:gridSpan w:val="3"/>
          </w:tcPr>
          <w:p>
            <w:pPr>
              <w:spacing w:after="0" w:line="195" w:lineRule="exact"/>
              <w:rPr>
                <w:sz w:val="20"/>
                <w:szCs w:val="20"/>
                <w:color w:val="auto"/>
              </w:rPr>
            </w:pPr>
            <w:r>
              <w:rPr>
                <w:rFonts w:ascii="Arial" w:cs="Arial" w:eastAsia="Arial" w:hAnsi="Arial"/>
                <w:sz w:val="18"/>
                <w:szCs w:val="18"/>
                <w:color w:val="auto"/>
                <w:w w:val="94"/>
              </w:rPr>
              <w:t>Provision of month-end close services (consistent with past practices)</w:t>
            </w:r>
          </w:p>
        </w:tc>
        <w:tc>
          <w:tcPr>
            <w:tcW w:w="14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$325 per month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 Accounting</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and handover support for accounting including:</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Red Bluff</w:t>
            </w:r>
          </w:p>
        </w:tc>
        <w:tc>
          <w:tcPr>
            <w:tcW w:w="0" w:type="dxa"/>
            <w:vAlign w:val="bottom"/>
          </w:tcPr>
          <w:p>
            <w:pPr>
              <w:spacing w:after="0"/>
              <w:rPr>
                <w:sz w:val="1"/>
                <w:szCs w:val="1"/>
                <w:color w:val="auto"/>
              </w:rPr>
            </w:pPr>
          </w:p>
        </w:tc>
      </w:tr>
      <w:tr>
        <w:trPr>
          <w:trHeight w:val="323"/>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040" w:type="dxa"/>
            <w:vAlign w:val="bottom"/>
          </w:tcPr>
          <w:p>
            <w:pPr>
              <w:ind w:left="100"/>
              <w:spacing w:after="0"/>
              <w:rPr>
                <w:sz w:val="20"/>
                <w:szCs w:val="20"/>
                <w:color w:val="auto"/>
              </w:rPr>
            </w:pPr>
            <w:r>
              <w:rPr>
                <w:rFonts w:ascii="Arial" w:cs="Arial" w:eastAsia="Arial" w:hAnsi="Arial"/>
                <w:sz w:val="18"/>
                <w:szCs w:val="18"/>
                <w:color w:val="auto"/>
              </w:rPr>
              <w:t>Month-end close journal entries and related support activities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$650 per month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(consistent with past practices)</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Huntersville</w:t>
            </w:r>
          </w:p>
        </w:tc>
        <w:tc>
          <w:tcPr>
            <w:tcW w:w="0" w:type="dxa"/>
            <w:vAlign w:val="bottom"/>
          </w:tcPr>
          <w:p>
            <w:pPr>
              <w:spacing w:after="0"/>
              <w:rPr>
                <w:sz w:val="1"/>
                <w:szCs w:val="1"/>
                <w:color w:val="auto"/>
              </w:rPr>
            </w:pPr>
          </w:p>
        </w:tc>
      </w:tr>
      <w:tr>
        <w:trPr>
          <w:trHeight w:val="323"/>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040" w:type="dxa"/>
            <w:vAlign w:val="bottom"/>
          </w:tcPr>
          <w:p>
            <w:pPr>
              <w:ind w:left="100"/>
              <w:spacing w:after="0"/>
              <w:rPr>
                <w:sz w:val="20"/>
                <w:szCs w:val="20"/>
                <w:color w:val="auto"/>
              </w:rPr>
            </w:pPr>
            <w:r>
              <w:rPr>
                <w:rFonts w:ascii="Arial" w:cs="Arial" w:eastAsia="Arial" w:hAnsi="Arial"/>
                <w:sz w:val="18"/>
                <w:szCs w:val="18"/>
                <w:color w:val="auto"/>
              </w:rPr>
              <w:t>Training on current practices and procedures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3"/>
              </w:rPr>
              <w:t>Plus the pass-through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80" w:type="dxa"/>
            <w:vAlign w:val="bottom"/>
            <w:gridSpan w:val="4"/>
            <w:vMerge w:val="restart"/>
          </w:tcPr>
          <w:p>
            <w:pPr>
              <w:ind w:left="100"/>
              <w:spacing w:after="0"/>
              <w:rPr>
                <w:sz w:val="20"/>
                <w:szCs w:val="20"/>
                <w:color w:val="auto"/>
              </w:rPr>
            </w:pPr>
            <w:r>
              <w:rPr>
                <w:rFonts w:ascii="Arial" w:cs="Arial" w:eastAsia="Arial" w:hAnsi="Arial"/>
                <w:sz w:val="18"/>
                <w:szCs w:val="18"/>
                <w:color w:val="auto"/>
              </w:rPr>
              <w:t>•   Analytics assistance and support</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of actual third-party</w:t>
            </w:r>
          </w:p>
        </w:tc>
        <w:tc>
          <w:tcPr>
            <w:tcW w:w="0" w:type="dxa"/>
            <w:vAlign w:val="bottom"/>
          </w:tcPr>
          <w:p>
            <w:pPr>
              <w:spacing w:after="0"/>
              <w:rPr>
                <w:sz w:val="1"/>
                <w:szCs w:val="1"/>
                <w:color w:val="auto"/>
              </w:rPr>
            </w:pPr>
          </w:p>
        </w:tc>
      </w:tr>
      <w:tr>
        <w:trPr>
          <w:trHeight w:val="136"/>
        </w:trPr>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3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8"/>
                <w:szCs w:val="18"/>
                <w:color w:val="auto"/>
              </w:rPr>
              <w:t>costs incurred in</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040" w:type="dxa"/>
            <w:vAlign w:val="bottom"/>
          </w:tcPr>
          <w:p>
            <w:pPr>
              <w:ind w:left="80"/>
              <w:spacing w:after="0"/>
              <w:rPr>
                <w:sz w:val="20"/>
                <w:szCs w:val="20"/>
                <w:color w:val="auto"/>
              </w:rPr>
            </w:pPr>
            <w:r>
              <w:rPr>
                <w:rFonts w:ascii="Arial" w:cs="Arial" w:eastAsia="Arial" w:hAnsi="Arial"/>
                <w:sz w:val="18"/>
                <w:szCs w:val="18"/>
                <w:color w:val="auto"/>
              </w:rPr>
              <w:t>Accounting handover</w:t>
            </w: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9"/>
              </w:rPr>
              <w:t>providing the service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Services pursuant to this G3.1 shall be performed in accordance with the</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standard operating procedures as agreed between the Parties in writing</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(as may be amended from time to time).</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40"/>
          </w:cols>
          <w:pgMar w:left="440" w:top="274" w:right="41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CONFIDENTIAL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RB/HTV TSA</w:t>
            </w:r>
          </w:p>
        </w:tc>
        <w:tc>
          <w:tcPr>
            <w:tcW w:w="0" w:type="dxa"/>
            <w:vAlign w:val="bottom"/>
          </w:tcPr>
          <w:p>
            <w:pPr>
              <w:spacing w:after="0"/>
              <w:rPr>
                <w:sz w:val="1"/>
                <w:szCs w:val="1"/>
                <w:color w:val="auto"/>
              </w:rPr>
            </w:pPr>
          </w:p>
        </w:tc>
      </w:tr>
      <w:tr>
        <w:trPr>
          <w:trHeight w:val="392"/>
        </w:trPr>
        <w:tc>
          <w:tcPr>
            <w:tcW w:w="7480" w:type="dxa"/>
            <w:vAlign w:val="bottom"/>
            <w:gridSpan w:val="7"/>
          </w:tcPr>
          <w:p>
            <w:pPr>
              <w:spacing w:after="0"/>
              <w:rPr>
                <w:sz w:val="20"/>
                <w:szCs w:val="20"/>
                <w:color w:val="auto"/>
              </w:rPr>
            </w:pPr>
            <w:r>
              <w:rPr>
                <w:rFonts w:ascii="Arial" w:cs="Arial" w:eastAsia="Arial" w:hAnsi="Arial"/>
                <w:sz w:val="18"/>
                <w:szCs w:val="18"/>
                <w:b w:val="1"/>
                <w:bCs w:val="1"/>
                <w:color w:val="auto"/>
              </w:rPr>
              <w:t>Section G4: Procurement Services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G4.1</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8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Description of Service</w:t>
            </w:r>
          </w:p>
        </w:tc>
        <w:tc>
          <w:tcPr>
            <w:tcW w:w="140" w:type="dxa"/>
            <w:vAlign w:val="bottom"/>
          </w:tcPr>
          <w:p>
            <w:pPr>
              <w:spacing w:after="0"/>
              <w:rPr>
                <w:sz w:val="24"/>
                <w:szCs w:val="24"/>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rPr>
              <w:t>Procurement</w:t>
            </w:r>
          </w:p>
        </w:tc>
        <w:tc>
          <w:tcPr>
            <w:tcW w:w="100" w:type="dxa"/>
            <w:vAlign w:val="bottom"/>
          </w:tcPr>
          <w:p>
            <w:pPr>
              <w:spacing w:after="0"/>
              <w:rPr>
                <w:sz w:val="16"/>
                <w:szCs w:val="16"/>
                <w:color w:val="auto"/>
              </w:rPr>
            </w:pPr>
          </w:p>
        </w:tc>
        <w:tc>
          <w:tcPr>
            <w:tcW w:w="5280" w:type="dxa"/>
            <w:vAlign w:val="bottom"/>
            <w:gridSpan w:val="3"/>
          </w:tcPr>
          <w:p>
            <w:pPr>
              <w:spacing w:after="0" w:line="195" w:lineRule="exact"/>
              <w:rPr>
                <w:sz w:val="20"/>
                <w:szCs w:val="20"/>
                <w:color w:val="auto"/>
              </w:rPr>
            </w:pPr>
            <w:r>
              <w:rPr>
                <w:rFonts w:ascii="Arial" w:cs="Arial" w:eastAsia="Arial" w:hAnsi="Arial"/>
                <w:sz w:val="18"/>
                <w:szCs w:val="18"/>
                <w:color w:val="auto"/>
                <w:w w:val="96"/>
              </w:rPr>
              <w:t>Provision of procurement support, training, and handover services in</w:t>
            </w:r>
          </w:p>
        </w:tc>
        <w:tc>
          <w:tcPr>
            <w:tcW w:w="14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w w:val="93"/>
              </w:rPr>
              <w:t>Transactional Support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89"/>
              </w:rPr>
              <w:t>Services – Planning</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w w:val="97"/>
              </w:rPr>
              <w:t>relation to long-term master and capacity planning, including but not</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2"/>
              </w:rPr>
              <w:t>– $40 per person / per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limited to:</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hour</w:t>
            </w:r>
          </w:p>
        </w:tc>
        <w:tc>
          <w:tcPr>
            <w:tcW w:w="0" w:type="dxa"/>
            <w:vAlign w:val="bottom"/>
          </w:tcPr>
          <w:p>
            <w:pPr>
              <w:spacing w:after="0"/>
              <w:rPr>
                <w:sz w:val="1"/>
                <w:szCs w:val="1"/>
                <w:color w:val="auto"/>
              </w:rPr>
            </w:pPr>
          </w:p>
        </w:tc>
      </w:tr>
      <w:tr>
        <w:trPr>
          <w:trHeight w:val="323"/>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w w:val="98"/>
              </w:rPr>
              <w:t>Processing requisitions related to MRO and other services into</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Strategic Support –</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purchase orders (transactional support only)</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5"/>
              </w:rPr>
              <w:t>$100 per person / per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080" w:type="dxa"/>
            <w:vAlign w:val="bottom"/>
            <w:gridSpan w:val="2"/>
            <w:vMerge w:val="restart"/>
          </w:tcPr>
          <w:p>
            <w:pPr>
              <w:ind w:left="140"/>
              <w:spacing w:after="0"/>
              <w:rPr>
                <w:sz w:val="20"/>
                <w:szCs w:val="20"/>
                <w:color w:val="auto"/>
              </w:rPr>
            </w:pPr>
            <w:r>
              <w:rPr>
                <w:rFonts w:ascii="Arial" w:cs="Arial" w:eastAsia="Arial" w:hAnsi="Arial"/>
                <w:sz w:val="18"/>
                <w:szCs w:val="18"/>
                <w:color w:val="auto"/>
                <w:w w:val="95"/>
              </w:rPr>
              <w:t>Handover of information related to strategic RFPs (i.e. corrugate)</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hour</w:t>
            </w: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5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8"/>
                <w:szCs w:val="18"/>
                <w:color w:val="auto"/>
                <w:w w:val="93"/>
              </w:rPr>
              <w:t>Plus the pass-through</w:t>
            </w: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080" w:type="dxa"/>
            <w:vAlign w:val="bottom"/>
            <w:gridSpan w:val="2"/>
            <w:vMerge w:val="restart"/>
          </w:tcPr>
          <w:p>
            <w:pPr>
              <w:ind w:left="140"/>
              <w:spacing w:after="0"/>
              <w:rPr>
                <w:sz w:val="20"/>
                <w:szCs w:val="20"/>
                <w:color w:val="auto"/>
              </w:rPr>
            </w:pPr>
            <w:r>
              <w:rPr>
                <w:rFonts w:ascii="Arial" w:cs="Arial" w:eastAsia="Arial" w:hAnsi="Arial"/>
                <w:sz w:val="18"/>
                <w:szCs w:val="18"/>
                <w:color w:val="auto"/>
              </w:rPr>
              <w:t>Support and training for pricing management</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5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8"/>
                <w:szCs w:val="18"/>
                <w:color w:val="auto"/>
              </w:rPr>
              <w:t>of actual third-party</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Transition and training for commodity and raw material</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costs incurred in</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procurement</w:t>
            </w: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9"/>
              </w:rPr>
              <w:t>providing the service</w:t>
            </w:r>
          </w:p>
        </w:tc>
        <w:tc>
          <w:tcPr>
            <w:tcW w:w="0" w:type="dxa"/>
            <w:vAlign w:val="bottom"/>
          </w:tcPr>
          <w:p>
            <w:pPr>
              <w:spacing w:after="0"/>
              <w:rPr>
                <w:sz w:val="1"/>
                <w:szCs w:val="1"/>
                <w:color w:val="auto"/>
              </w:rPr>
            </w:pPr>
          </w:p>
        </w:tc>
      </w:tr>
      <w:tr>
        <w:trPr>
          <w:trHeight w:val="323"/>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w w:val="93"/>
              </w:rPr>
              <w:t>Transition support for transfer of existing supplier/vendor contracts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and relationships</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Pr>
          <w:p>
            <w:pPr>
              <w:ind w:left="2760"/>
              <w:spacing w:after="0"/>
              <w:rPr>
                <w:sz w:val="20"/>
                <w:szCs w:val="20"/>
                <w:color w:val="auto"/>
              </w:rPr>
            </w:pPr>
            <w:r>
              <w:rPr>
                <w:rFonts w:ascii="Arial" w:cs="Arial" w:eastAsia="Arial" w:hAnsi="Arial"/>
                <w:sz w:val="18"/>
                <w:szCs w:val="18"/>
                <w:color w:val="auto"/>
              </w:rPr>
              <w:t>A-4</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0" w:name="page501"/>
    <w:bookmarkEnd w:id="500"/>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CONFIDENTIAL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RB/HTV TSA</w:t>
            </w:r>
          </w:p>
        </w:tc>
        <w:tc>
          <w:tcPr>
            <w:tcW w:w="0" w:type="dxa"/>
            <w:vAlign w:val="bottom"/>
          </w:tcPr>
          <w:p>
            <w:pPr>
              <w:spacing w:after="0"/>
              <w:rPr>
                <w:sz w:val="1"/>
                <w:szCs w:val="1"/>
                <w:color w:val="auto"/>
              </w:rPr>
            </w:pPr>
          </w:p>
        </w:tc>
      </w:tr>
      <w:tr>
        <w:trPr>
          <w:trHeight w:val="392"/>
        </w:trPr>
        <w:tc>
          <w:tcPr>
            <w:tcW w:w="7480" w:type="dxa"/>
            <w:vAlign w:val="bottom"/>
            <w:gridSpan w:val="8"/>
          </w:tcPr>
          <w:p>
            <w:pPr>
              <w:spacing w:after="0"/>
              <w:rPr>
                <w:sz w:val="20"/>
                <w:szCs w:val="20"/>
                <w:color w:val="auto"/>
              </w:rPr>
            </w:pPr>
            <w:r>
              <w:rPr>
                <w:rFonts w:ascii="Arial" w:cs="Arial" w:eastAsia="Arial" w:hAnsi="Arial"/>
                <w:sz w:val="18"/>
                <w:szCs w:val="18"/>
                <w:b w:val="1"/>
                <w:bCs w:val="1"/>
                <w:color w:val="auto"/>
              </w:rPr>
              <w:t>Section G5: Environmental, Health &amp; Safety Support Services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 w:type="dxa"/>
            <w:vAlign w:val="bottom"/>
            <w:vMerge w:val="restart"/>
          </w:tcPr>
          <w:p>
            <w:pPr>
              <w:spacing w:after="0"/>
              <w:rPr>
                <w:sz w:val="20"/>
                <w:szCs w:val="20"/>
                <w:color w:val="auto"/>
              </w:rPr>
            </w:pPr>
            <w:r>
              <w:rPr>
                <w:rFonts w:ascii="Arial" w:cs="Arial" w:eastAsia="Arial" w:hAnsi="Arial"/>
                <w:sz w:val="18"/>
                <w:szCs w:val="18"/>
                <w:color w:val="auto"/>
              </w:rPr>
              <w:t>G5.1</w:t>
            </w:r>
          </w:p>
        </w:tc>
        <w:tc>
          <w:tcPr>
            <w:tcW w:w="160" w:type="dxa"/>
            <w:vAlign w:val="bottom"/>
          </w:tcPr>
          <w:p>
            <w:pPr>
              <w:spacing w:after="0"/>
              <w:rPr>
                <w:sz w:val="24"/>
                <w:szCs w:val="24"/>
                <w:color w:val="auto"/>
              </w:rPr>
            </w:pP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b w:val="1"/>
                <w:bCs w:val="1"/>
                <w:color w:val="auto"/>
              </w:rPr>
              <w:t>Description of Service</w:t>
            </w:r>
          </w:p>
        </w:tc>
        <w:tc>
          <w:tcPr>
            <w:tcW w:w="140" w:type="dxa"/>
            <w:vAlign w:val="bottom"/>
          </w:tcPr>
          <w:p>
            <w:pPr>
              <w:spacing w:after="0"/>
              <w:rPr>
                <w:sz w:val="24"/>
                <w:szCs w:val="24"/>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w w:val="92"/>
              </w:rPr>
              <w:t>General Services –</w:t>
            </w:r>
          </w:p>
        </w:tc>
        <w:tc>
          <w:tcPr>
            <w:tcW w:w="100" w:type="dxa"/>
            <w:vAlign w:val="bottom"/>
          </w:tcPr>
          <w:p>
            <w:pPr>
              <w:spacing w:after="0"/>
              <w:rPr>
                <w:sz w:val="16"/>
                <w:szCs w:val="16"/>
                <w:color w:val="auto"/>
              </w:rPr>
            </w:pPr>
          </w:p>
        </w:tc>
        <w:tc>
          <w:tcPr>
            <w:tcW w:w="5280" w:type="dxa"/>
            <w:vAlign w:val="bottom"/>
            <w:gridSpan w:val="4"/>
          </w:tcPr>
          <w:p>
            <w:pPr>
              <w:spacing w:after="0" w:line="195" w:lineRule="exact"/>
              <w:rPr>
                <w:sz w:val="20"/>
                <w:szCs w:val="20"/>
                <w:color w:val="auto"/>
              </w:rPr>
            </w:pPr>
            <w:r>
              <w:rPr>
                <w:rFonts w:ascii="Arial" w:cs="Arial" w:eastAsia="Arial" w:hAnsi="Arial"/>
                <w:sz w:val="18"/>
                <w:szCs w:val="18"/>
                <w:color w:val="auto"/>
              </w:rPr>
              <w:t>Provision of handover and support services related to workers’</w:t>
            </w:r>
          </w:p>
        </w:tc>
        <w:tc>
          <w:tcPr>
            <w:tcW w:w="14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$85 per person / per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EH&amp;S</w:t>
            </w: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w w:val="90"/>
              </w:rPr>
              <w:t>compensation, environmental, health and safety matters for the following</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hour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380" w:type="dxa"/>
            <w:vAlign w:val="bottom"/>
            <w:gridSpan w:val="5"/>
          </w:tcPr>
          <w:p>
            <w:pPr>
              <w:ind w:left="100"/>
              <w:spacing w:after="0"/>
              <w:rPr>
                <w:sz w:val="20"/>
                <w:szCs w:val="20"/>
                <w:color w:val="auto"/>
              </w:rPr>
            </w:pPr>
            <w:r>
              <w:rPr>
                <w:rFonts w:ascii="Arial" w:cs="Arial" w:eastAsia="Arial" w:hAnsi="Arial"/>
                <w:sz w:val="18"/>
                <w:szCs w:val="18"/>
                <w:color w:val="auto"/>
              </w:rPr>
              <w:t>facilities, including but not limited to:</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8"/>
                <w:szCs w:val="18"/>
                <w:color w:val="auto"/>
                <w:w w:val="93"/>
              </w:rPr>
              <w:t>Plus the pass-through</w:t>
            </w:r>
          </w:p>
        </w:tc>
        <w:tc>
          <w:tcPr>
            <w:tcW w:w="0" w:type="dxa"/>
            <w:vAlign w:val="bottom"/>
          </w:tcPr>
          <w:p>
            <w:pPr>
              <w:spacing w:after="0"/>
              <w:rPr>
                <w:sz w:val="1"/>
                <w:szCs w:val="1"/>
                <w:color w:val="auto"/>
              </w:rPr>
            </w:pPr>
          </w:p>
        </w:tc>
      </w:tr>
      <w:tr>
        <w:trPr>
          <w:trHeight w:val="107"/>
        </w:trPr>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Huntersville</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of actual third-party</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w w:val="98"/>
              </w:rPr>
              <w:t>Oversight of annual air emissions inventory due April 2020</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costs incurred in</w:t>
            </w:r>
          </w:p>
        </w:tc>
        <w:tc>
          <w:tcPr>
            <w:tcW w:w="0" w:type="dxa"/>
            <w:vAlign w:val="bottom"/>
          </w:tcPr>
          <w:p>
            <w:pPr>
              <w:spacing w:after="0"/>
              <w:rPr>
                <w:sz w:val="1"/>
                <w:szCs w:val="1"/>
                <w:color w:val="auto"/>
              </w:rPr>
            </w:pPr>
          </w:p>
        </w:tc>
      </w:tr>
    </w:tbl>
    <w:p>
      <w:pPr>
        <w:ind w:left="9380"/>
        <w:spacing w:after="0" w:line="18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providing the service</w:t>
      </w:r>
    </w:p>
    <w:p>
      <w:pPr>
        <w:ind w:left="2920"/>
        <w:spacing w:after="0"/>
        <w:rPr>
          <w:sz w:val="20"/>
          <w:szCs w:val="20"/>
          <w:color w:val="auto"/>
        </w:rPr>
      </w:pPr>
      <w:r>
        <w:rPr>
          <w:rFonts w:ascii="Arial" w:cs="Arial" w:eastAsia="Arial" w:hAnsi="Arial"/>
          <w:sz w:val="18"/>
          <w:szCs w:val="18"/>
          <w:color w:val="auto"/>
        </w:rPr>
        <w:t>(consistent with past practice), including transition of</w:t>
      </w:r>
    </w:p>
    <w:p>
      <w:pPr>
        <w:spacing w:after="0" w:line="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relationship with third party consultants and handover of</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historical data</w:t>
      </w:r>
    </w:p>
    <w:p>
      <w:pPr>
        <w:spacing w:after="0" w:line="116" w:lineRule="exact"/>
        <w:rPr>
          <w:sz w:val="20"/>
          <w:szCs w:val="20"/>
          <w:color w:val="auto"/>
        </w:rPr>
      </w:pPr>
    </w:p>
    <w:p>
      <w:pPr>
        <w:ind w:left="2900" w:hanging="348"/>
        <w:spacing w:after="0"/>
        <w:tabs>
          <w:tab w:leader="none" w:pos="29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General handover support for miscellaneous matters</w:t>
      </w:r>
    </w:p>
    <w:p>
      <w:pPr>
        <w:spacing w:after="0" w:line="130" w:lineRule="exact"/>
        <w:rPr>
          <w:rFonts w:ascii="Arial" w:cs="Arial" w:eastAsia="Arial" w:hAnsi="Arial"/>
          <w:sz w:val="18"/>
          <w:szCs w:val="18"/>
          <w:color w:val="auto"/>
        </w:rPr>
      </w:pPr>
    </w:p>
    <w:p>
      <w:pPr>
        <w:ind w:left="2920" w:right="4000" w:hanging="368"/>
        <w:spacing w:after="0" w:line="277" w:lineRule="auto"/>
        <w:tabs>
          <w:tab w:leader="none" w:pos="2904" w:val="left"/>
        </w:tabs>
        <w:numPr>
          <w:ilvl w:val="1"/>
          <w:numId w:val="437"/>
        </w:numPr>
        <w:rPr>
          <w:rFonts w:ascii="Arial" w:cs="Arial" w:eastAsia="Arial" w:hAnsi="Arial"/>
          <w:sz w:val="18"/>
          <w:szCs w:val="18"/>
          <w:color w:val="auto"/>
        </w:rPr>
      </w:pPr>
      <w:r>
        <w:rPr>
          <w:rFonts w:ascii="Arial" w:cs="Arial" w:eastAsia="Arial" w:hAnsi="Arial"/>
          <w:sz w:val="18"/>
          <w:szCs w:val="18"/>
          <w:color w:val="auto"/>
        </w:rPr>
        <w:t>McDonalds sustainability initiative support and handover services</w:t>
      </w:r>
    </w:p>
    <w:p>
      <w:pPr>
        <w:spacing w:after="0" w:line="75" w:lineRule="exact"/>
        <w:rPr>
          <w:rFonts w:ascii="Arial" w:cs="Arial" w:eastAsia="Arial" w:hAnsi="Arial"/>
          <w:sz w:val="18"/>
          <w:szCs w:val="18"/>
          <w:color w:val="auto"/>
        </w:rPr>
      </w:pPr>
    </w:p>
    <w:p>
      <w:pPr>
        <w:ind w:left="2540" w:hanging="348"/>
        <w:spacing w:after="0"/>
        <w:tabs>
          <w:tab w:leader="none" w:pos="25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Red Bluff</w:t>
      </w:r>
    </w:p>
    <w:p>
      <w:pPr>
        <w:spacing w:after="0" w:line="130" w:lineRule="exact"/>
        <w:rPr>
          <w:rFonts w:ascii="Arial" w:cs="Arial" w:eastAsia="Arial" w:hAnsi="Arial"/>
          <w:sz w:val="18"/>
          <w:szCs w:val="18"/>
          <w:color w:val="auto"/>
        </w:rPr>
      </w:pPr>
    </w:p>
    <w:p>
      <w:pPr>
        <w:ind w:left="2920" w:right="3820" w:hanging="368"/>
        <w:spacing w:after="0" w:line="259" w:lineRule="auto"/>
        <w:tabs>
          <w:tab w:leader="none" w:pos="2904" w:val="left"/>
        </w:tabs>
        <w:numPr>
          <w:ilvl w:val="1"/>
          <w:numId w:val="437"/>
        </w:numPr>
        <w:rPr>
          <w:rFonts w:ascii="Arial" w:cs="Arial" w:eastAsia="Arial" w:hAnsi="Arial"/>
          <w:sz w:val="18"/>
          <w:szCs w:val="18"/>
          <w:color w:val="auto"/>
        </w:rPr>
      </w:pPr>
      <w:r>
        <w:rPr>
          <w:rFonts w:ascii="Arial" w:cs="Arial" w:eastAsia="Arial" w:hAnsi="Arial"/>
          <w:sz w:val="18"/>
          <w:szCs w:val="18"/>
          <w:color w:val="auto"/>
        </w:rPr>
        <w:t>Oversight and coordination of boiler testing and greenhouse gas reporting (consistent with past practice), including transition of relationship with third party consultants and handover of historical data</w:t>
      </w:r>
    </w:p>
    <w:p>
      <w:pPr>
        <w:spacing w:after="0" w:line="92" w:lineRule="exact"/>
        <w:rPr>
          <w:rFonts w:ascii="Arial" w:cs="Arial" w:eastAsia="Arial" w:hAnsi="Arial"/>
          <w:sz w:val="18"/>
          <w:szCs w:val="18"/>
          <w:color w:val="auto"/>
        </w:rPr>
      </w:pPr>
    </w:p>
    <w:p>
      <w:pPr>
        <w:ind w:left="2920" w:right="3600" w:hanging="368"/>
        <w:spacing w:after="0" w:line="277" w:lineRule="auto"/>
        <w:tabs>
          <w:tab w:leader="none" w:pos="2904" w:val="left"/>
        </w:tabs>
        <w:numPr>
          <w:ilvl w:val="1"/>
          <w:numId w:val="437"/>
        </w:numPr>
        <w:rPr>
          <w:rFonts w:ascii="Arial" w:cs="Arial" w:eastAsia="Arial" w:hAnsi="Arial"/>
          <w:sz w:val="18"/>
          <w:szCs w:val="18"/>
          <w:color w:val="auto"/>
        </w:rPr>
      </w:pPr>
      <w:r>
        <w:rPr>
          <w:rFonts w:ascii="Arial" w:cs="Arial" w:eastAsia="Arial" w:hAnsi="Arial"/>
          <w:sz w:val="18"/>
          <w:szCs w:val="18"/>
          <w:color w:val="auto"/>
        </w:rPr>
        <w:t>Handover services and training for routine NPDES and landfill reporting requirements</w:t>
      </w:r>
    </w:p>
    <w:p>
      <w:pPr>
        <w:spacing w:after="0" w:line="75" w:lineRule="exact"/>
        <w:rPr>
          <w:rFonts w:ascii="Arial" w:cs="Arial" w:eastAsia="Arial" w:hAnsi="Arial"/>
          <w:sz w:val="18"/>
          <w:szCs w:val="18"/>
          <w:color w:val="auto"/>
        </w:rPr>
      </w:pPr>
    </w:p>
    <w:p>
      <w:pPr>
        <w:ind w:left="2900" w:hanging="348"/>
        <w:spacing w:after="0"/>
        <w:tabs>
          <w:tab w:leader="none" w:pos="29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General support and handover services for regulatory matters</w:t>
      </w:r>
    </w:p>
    <w:p>
      <w:pPr>
        <w:spacing w:after="0" w:line="13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Provision of support and handover services for any other workers’</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compensation, environmental, health and safety related matters.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40"/>
          </w:cols>
          <w:pgMar w:left="440" w:top="273" w:right="419" w:bottom="1440" w:gutter="0" w:footer="0" w:header="0"/>
        </w:sectPr>
      </w:pPr>
    </w:p>
    <w:bookmarkStart w:id="501" w:name="page502"/>
    <w:bookmarkEnd w:id="501"/>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RB/HTV TSA</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Reverse Transition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GR1: Spare Parts Services</w:t>
      </w:r>
    </w:p>
    <w:p>
      <w:pPr>
        <w:sectPr>
          <w:pgSz w:w="11900" w:h="16838" w:orient="portrait"/>
          <w:cols w:equalWidth="0" w:num="1">
            <w:col w:w="11040"/>
          </w:cols>
          <w:pgMar w:left="440" w:top="273" w:right="419" w:bottom="1440" w:gutter="0" w:footer="0" w:header="0"/>
        </w:sect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Service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15240</wp:posOffset>
            </wp:positionV>
            <wp:extent cx="9093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GR1.1</w:t>
      </w:r>
      <w:r>
        <w:rPr>
          <w:sz w:val="20"/>
          <w:szCs w:val="20"/>
          <w:color w:val="auto"/>
        </w:rPr>
        <w:tab/>
      </w:r>
      <w:r>
        <w:rPr>
          <w:rFonts w:ascii="Arial" w:cs="Arial" w:eastAsia="Arial" w:hAnsi="Arial"/>
          <w:sz w:val="15"/>
          <w:szCs w:val="15"/>
          <w:color w:val="auto"/>
        </w:rPr>
        <w:t>Spare Parts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Services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Maintenance Parts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left="-7"/>
        <w:spacing w:after="0"/>
        <w:rPr>
          <w:sz w:val="20"/>
          <w:szCs w:val="20"/>
          <w:color w:val="auto"/>
        </w:rPr>
      </w:pPr>
      <w:r>
        <w:rPr>
          <w:rFonts w:ascii="Arial" w:cs="Arial" w:eastAsia="Arial" w:hAnsi="Arial"/>
          <w:sz w:val="14"/>
          <w:szCs w:val="14"/>
          <w:b w:val="1"/>
          <w:bCs w:val="1"/>
          <w:color w:val="auto"/>
        </w:rPr>
        <w:t>Description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35343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Arial" w:cs="Arial" w:eastAsia="Arial" w:hAnsi="Arial"/>
          <w:sz w:val="17"/>
          <w:szCs w:val="17"/>
          <w:color w:val="auto"/>
        </w:rPr>
        <w:t>Access to spare maintenance parts for certain machinery located at:</w:t>
      </w:r>
    </w:p>
    <w:p>
      <w:pPr>
        <w:spacing w:after="0" w:line="140" w:lineRule="exact"/>
        <w:rPr>
          <w:sz w:val="20"/>
          <w:szCs w:val="20"/>
          <w:color w:val="auto"/>
        </w:rPr>
      </w:pPr>
    </w:p>
    <w:p>
      <w:pPr>
        <w:ind w:left="348" w:hanging="348"/>
        <w:spacing w:after="0"/>
        <w:tabs>
          <w:tab w:leader="none" w:pos="3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Bedford Park I (injection molding)</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Bridgeview (cups)</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Mooresville (cups)</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Plattsburg (molded fiber)</w:t>
      </w:r>
    </w:p>
    <w:p>
      <w:pPr>
        <w:spacing w:after="0" w:line="131" w:lineRule="exact"/>
        <w:rPr>
          <w:sz w:val="20"/>
          <w:szCs w:val="20"/>
          <w:color w:val="auto"/>
        </w:rPr>
      </w:pPr>
    </w:p>
    <w:p>
      <w:pPr>
        <w:ind w:left="8"/>
        <w:spacing w:after="0" w:line="264" w:lineRule="auto"/>
        <w:rPr>
          <w:sz w:val="20"/>
          <w:szCs w:val="20"/>
          <w:color w:val="auto"/>
        </w:rPr>
      </w:pPr>
      <w:r>
        <w:rPr>
          <w:rFonts w:ascii="Arial" w:cs="Arial" w:eastAsia="Arial" w:hAnsi="Arial"/>
          <w:sz w:val="18"/>
          <w:szCs w:val="18"/>
          <w:color w:val="auto"/>
        </w:rPr>
        <w:t>Requests for services pursuant to this GR1.1 shall be made in accordance with the Spare Parts Sell/Buy Process SOP effective November 1, 2019 (as may be amended from time to time).</w:t>
      </w:r>
    </w:p>
    <w:p>
      <w:pPr>
        <w:spacing w:after="0" w:line="127" w:lineRule="exact"/>
        <w:rPr>
          <w:sz w:val="20"/>
          <w:szCs w:val="20"/>
          <w:color w:val="auto"/>
        </w:rPr>
      </w:pPr>
    </w:p>
    <w:p>
      <w:pPr>
        <w:ind w:left="3188"/>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Last purchase price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3"/>
              </w:rPr>
              <w:t>paid for the requested</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part plus 5%, plus the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difference between</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88"/>
              </w:rPr>
              <w:t>last purchase price and</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replacement cost if</w:t>
            </w: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greater than $200</w:t>
            </w:r>
          </w:p>
        </w:tc>
      </w:tr>
    </w:tbl>
    <w:p>
      <w:pPr>
        <w:sectPr>
          <w:pgSz w:w="11900" w:h="16838" w:orient="portrait"/>
          <w:cols w:equalWidth="0" w:num="3">
            <w:col w:w="1980" w:space="212"/>
            <w:col w:w="5288" w:space="140"/>
            <w:col w:w="3420"/>
          </w:cols>
          <w:pgMar w:left="440" w:top="273" w:right="419" w:bottom="1440" w:gutter="0" w:footer="0" w:header="0"/>
          <w:type w:val="continuous"/>
        </w:sectPr>
      </w:pPr>
    </w:p>
    <w:bookmarkStart w:id="502" w:name="page503"/>
    <w:bookmarkEnd w:id="5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RB/HTV TSA</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Service Coordinators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designated in writing from time to time by each party.</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580"/>
          </w:cols>
          <w:pgMar w:left="880" w:top="274" w:right="439" w:bottom="1440" w:gutter="0" w:footer="0" w:header="0"/>
        </w:sectPr>
      </w:pPr>
    </w:p>
    <w:bookmarkStart w:id="503" w:name="page504"/>
    <w:bookmarkEnd w:id="503"/>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5"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 xml:space="preserve">TRANSITION SERVICES AGREEMENT </w:t>
      </w:r>
      <w:r>
        <w:rPr>
          <w:rFonts w:ascii="Arial" w:cs="Arial" w:eastAsia="Arial" w:hAnsi="Arial"/>
          <w:sz w:val="16"/>
          <w:szCs w:val="16"/>
          <w:color w:val="auto"/>
        </w:rPr>
        <w:t>(the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 2019, between</w:t>
      </w:r>
      <w:r>
        <w:rPr>
          <w:rFonts w:ascii="Arial" w:cs="Arial" w:eastAsia="Arial" w:hAnsi="Arial"/>
          <w:sz w:val="16"/>
          <w:szCs w:val="16"/>
          <w:b w:val="1"/>
          <w:bCs w:val="1"/>
          <w:color w:val="auto"/>
        </w:rPr>
        <w:t xml:space="preserve"> Reynolds Group Holdings Inc.</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w:t>
      </w:r>
      <w:r>
        <w:rPr>
          <w:rFonts w:ascii="Arial" w:cs="Arial" w:eastAsia="Arial" w:hAnsi="Arial"/>
          <w:sz w:val="16"/>
          <w:szCs w:val="16"/>
          <w:u w:val="single" w:color="auto"/>
          <w:color w:val="auto"/>
        </w:rPr>
        <w:t>RGHI</w:t>
      </w:r>
      <w:r>
        <w:rPr>
          <w:rFonts w:ascii="Arial" w:cs="Arial" w:eastAsia="Arial" w:hAnsi="Arial"/>
          <w:sz w:val="16"/>
          <w:szCs w:val="16"/>
          <w:color w:val="auto"/>
        </w:rPr>
        <w:t xml:space="preserve">”), and </w:t>
      </w:r>
      <w:r>
        <w:rPr>
          <w:rFonts w:ascii="Arial" w:cs="Arial" w:eastAsia="Arial" w:hAnsi="Arial"/>
          <w:sz w:val="16"/>
          <w:szCs w:val="16"/>
          <w:b w:val="1"/>
          <w:bCs w:val="1"/>
          <w:color w:val="auto"/>
        </w:rPr>
        <w:t>Reynolds Consumer Products Inc.</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RCP</w:t>
      </w:r>
      <w:r>
        <w:rPr>
          <w:rFonts w:ascii="Arial" w:cs="Arial" w:eastAsia="Arial" w:hAnsi="Arial"/>
          <w:sz w:val="16"/>
          <w:szCs w:val="16"/>
          <w:color w:val="auto"/>
        </w:rPr>
        <w:t>”). Each Party or any of its Affiliates providing services hereunder shall be a “</w:t>
      </w:r>
      <w:r>
        <w:rPr>
          <w:rFonts w:ascii="Arial" w:cs="Arial" w:eastAsia="Arial" w:hAnsi="Arial"/>
          <w:sz w:val="16"/>
          <w:szCs w:val="16"/>
          <w:u w:val="single" w:color="auto"/>
          <w:color w:val="auto"/>
        </w:rPr>
        <w:t>Provider</w:t>
      </w:r>
      <w:r>
        <w:rPr>
          <w:rFonts w:ascii="Arial" w:cs="Arial" w:eastAsia="Arial" w:hAnsi="Arial"/>
          <w:sz w:val="16"/>
          <w:szCs w:val="16"/>
          <w:color w:val="auto"/>
        </w:rPr>
        <w:t>,” and each Party or any of its Affiliates receiving services hereunder shall be a “</w:t>
      </w:r>
      <w:r>
        <w:rPr>
          <w:rFonts w:ascii="Arial" w:cs="Arial" w:eastAsia="Arial" w:hAnsi="Arial"/>
          <w:sz w:val="16"/>
          <w:szCs w:val="16"/>
          <w:u w:val="single" w:color="auto"/>
          <w:color w:val="auto"/>
        </w:rPr>
        <w:t>Recipient</w:t>
      </w:r>
      <w:r>
        <w:rPr>
          <w:rFonts w:ascii="Arial" w:cs="Arial" w:eastAsia="Arial" w:hAnsi="Arial"/>
          <w:sz w:val="16"/>
          <w:szCs w:val="16"/>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A. Prior to the Commencement Date, RGHI and the Company were wholly owned subsidiaries of Reynolds Group Holdings Limited, a company organized under the laws of New Zealand (“</w:t>
      </w:r>
      <w:r>
        <w:rPr>
          <w:rFonts w:ascii="Arial" w:cs="Arial" w:eastAsia="Arial" w:hAnsi="Arial"/>
          <w:sz w:val="18"/>
          <w:szCs w:val="18"/>
          <w:u w:val="single" w:color="auto"/>
          <w:color w:val="auto"/>
        </w:rPr>
        <w:t>RGHL</w:t>
      </w:r>
      <w:r>
        <w:rPr>
          <w:rFonts w:ascii="Arial" w:cs="Arial" w:eastAsia="Arial" w:hAnsi="Arial"/>
          <w:sz w:val="18"/>
          <w:szCs w:val="18"/>
          <w:color w:val="auto"/>
        </w:rPr>
        <w:t>”). Effective [●]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RCP is undertaking an initial public offering of shares of common stock and thereafter the Company will no longer be a subsidiary of RGHL.</w:t>
      </w:r>
    </w:p>
    <w:p>
      <w:pPr>
        <w:spacing w:after="0" w:line="7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B. In order to facilitate the separation of the Company and its Affiliates from RGHI and its Affiliates, (i) RGHI will provide, or cause its Affiliates to provide, certain services to the Company and its Affiliates, and (ii) the Company will provide, or cause its Affiliates to provide, certain services to RGHI and its Affiliates, all on the terms and conditions set forth 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respective meanings set forth below throughout this Agreement:</w:t>
      </w:r>
    </w:p>
    <w:p>
      <w:pPr>
        <w:spacing w:after="0" w:line="117" w:lineRule="exact"/>
        <w:rPr>
          <w:sz w:val="20"/>
          <w:szCs w:val="20"/>
          <w:color w:val="auto"/>
        </w:rPr>
      </w:pPr>
    </w:p>
    <w:p>
      <w:pPr>
        <w:ind w:left="440" w:right="3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For the avoidance of doubt, for the purposes of this Agreement and all exhibits thereto, the term Affiliate shall not apply to the relationship between RGHI or RGHL or either of their respective Affiliates on the one hand and RCP and its direct and indirect subsidiaries on the other hand.</w:t>
      </w:r>
    </w:p>
    <w:p>
      <w:pPr>
        <w:spacing w:after="0" w:line="70"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the average of the daily “prime rate” (expressed rate per annum)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for each of the days in the applicable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percent (2%).</w:t>
      </w:r>
    </w:p>
    <w:p>
      <w:pPr>
        <w:spacing w:after="0" w:line="62"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manufacture and sale of consumer products including cooking products, waste &amp; storage products, and tableware by the Company and activities ancillary thereto.</w:t>
      </w:r>
    </w:p>
    <w:p>
      <w:pPr>
        <w:sectPr>
          <w:pgSz w:w="11900" w:h="16838" w:orient="portrait"/>
          <w:cols w:equalWidth="0" w:num="1">
            <w:col w:w="11020"/>
          </w:cols>
          <w:pgMar w:left="440" w:top="121" w:right="439" w:bottom="1440" w:gutter="0" w:footer="0" w:header="0"/>
        </w:sectPr>
      </w:pPr>
    </w:p>
    <w:bookmarkStart w:id="504" w:name="page505"/>
    <w:bookmarkEnd w:id="50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a Saturday, (b) a Sunday, or (c) any other day on which commercial banks are authorized or required by law to be closed in the City of New York.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information of a Party, its Affiliates, members, licensors, consultants, service providers, advisors or agents that is confidential or proprietary, however recorded or preserved, whether written or oral. Confidential Information includes trade secrets, pricing data, employee information, customer information, cost information, supplier information, financial and tax matters, third-party contract terms, inventions, know-how, processes, methods, models, technical information, schedules, code, ideas, concepts, data, software and business plans (regardless of whether such information is identified as confidential).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Negotiations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governmental or quasi-governmental entity of any nature (including any governmental agency, branch, department, official, or entity and any court or other tribunal) or (iii) body exercising, or entitled to exercise any administrative, executive, judicial, legislative, police, regulatory or taxing authority or power of any nature, including any arbitral tribunal.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 law, statute, order, ordinance, rule, regulation, judgment, injunction, order, or decree.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action, cease and desist letter, demand, suit, arbitration proceeding, administrative or regulatory proceeding, citation, summons or subpoena of any nature, civil, criminal, regulatory or otherwise, in law or in equity.</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damages, liabilities, losses, obligations, claims of any kind, interest and expenses (including reasonable fees and expenses of attorneys).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Migration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Migration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505" w:name="page506"/>
    <w:bookmarkEnd w:id="505"/>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Multi-party Contract</w:t>
      </w:r>
      <w:r>
        <w:rPr>
          <w:rFonts w:ascii="Arial" w:cs="Arial" w:eastAsia="Arial" w:hAnsi="Arial"/>
          <w:sz w:val="18"/>
          <w:szCs w:val="18"/>
          <w:color w:val="auto"/>
        </w:rPr>
        <w:t>” means a contract with a customer or supplier pursuant to which both RCP and RGHI or any of its Affiliates provides a benefit to or receives a benefit from a third party.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RGHI or Company, as applicable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with respect to any Party, (i) the employees, officers and directors of such Party or its Affiliates or (ii) agents, accountants, attorneys, independent contractors and other third parties engaged by such Party or its Affiliates.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Provider</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RCP Names</w:t>
      </w:r>
      <w:r>
        <w:rPr>
          <w:rFonts w:ascii="Arial" w:cs="Arial" w:eastAsia="Arial" w:hAnsi="Arial"/>
          <w:sz w:val="17"/>
          <w:szCs w:val="17"/>
          <w:color w:val="auto"/>
        </w:rPr>
        <w:t>” means the registered and unregistered trademarks and corporate names used by RCP, RGHI and its respective Affiliates immediately prior to the Commencement Date which include the word “Reynolds” and any derivatives thereof.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 Transition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RGHI Letters of Credit</w:t>
      </w:r>
      <w:r>
        <w:rPr>
          <w:rFonts w:ascii="Arial" w:cs="Arial" w:eastAsia="Arial" w:hAnsi="Arial"/>
          <w:sz w:val="18"/>
          <w:szCs w:val="18"/>
          <w:color w:val="auto"/>
        </w:rPr>
        <w:t>” means all letters of credit, performance bonds or other surety agreements that RGHL or RGHI or its Affiliates have in place with respect to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RGHI Guarantees</w:t>
      </w:r>
      <w:r>
        <w:rPr>
          <w:rFonts w:ascii="Arial" w:cs="Arial" w:eastAsia="Arial" w:hAnsi="Arial"/>
          <w:sz w:val="18"/>
          <w:szCs w:val="18"/>
          <w:color w:val="auto"/>
        </w:rPr>
        <w:t>” means all guarantees extended by RGHI or RGHL or its Affiliates on behalf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Services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Incident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Regulations</w:t>
      </w:r>
      <w:r>
        <w:rPr>
          <w:rFonts w:ascii="Arial" w:cs="Arial" w:eastAsia="Arial" w:hAnsi="Arial"/>
          <w:sz w:val="16"/>
          <w:szCs w:val="16"/>
          <w:color w:val="auto"/>
        </w:rPr>
        <w:t>” means a Party’s and its Affiliates’ system security policies, procedures and requirements, as amended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Coordinator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Standard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the Transition Services and the Reverse Transition Services, unless the context requires otherwise.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federal, state, local or foreign income, alternative, minimum, accumulated earnings, personal holding company, franchise, capital stock, profits, windfall profits, gross receipts, sales, use, value added, transfer, registration, stamp, premium, excise, customs duties, severance, environmental (including taxes under section 59A of the Code), real property, personal property, ad valorem, occupancy, license, occupation, employment, payroll, social security, disability, unemployment, workers’ compensation, withholding, estimated or other similar tax, duty, fee, assessment or other governmental charge or deficiencies thereof (including all interest and penalties thereon and additions thereto).</w:t>
      </w:r>
    </w:p>
    <w:p>
      <w:pPr>
        <w:sectPr>
          <w:pgSz w:w="11900" w:h="16838" w:orient="portrait"/>
          <w:cols w:equalWidth="0" w:num="1">
            <w:col w:w="10580"/>
          </w:cols>
          <w:pgMar w:left="880" w:top="273" w:right="43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Terminating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TSA 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SERVICES AND INTERNAL CONTROLS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sz w:val="20"/>
          <w:szCs w:val="20"/>
          <w:color w:val="auto"/>
        </w:rPr>
      </w:pPr>
    </w:p>
    <w:p>
      <w:pPr>
        <w:ind w:firstLine="428"/>
        <w:spacing w:after="0" w:line="271" w:lineRule="auto"/>
        <w:tabs>
          <w:tab w:leader="none" w:pos="668" w:val="left"/>
        </w:tabs>
        <w:numPr>
          <w:ilvl w:val="0"/>
          <w:numId w:val="439"/>
        </w:numPr>
        <w:rPr>
          <w:rFonts w:ascii="Arial" w:cs="Arial" w:eastAsia="Arial" w:hAnsi="Arial"/>
          <w:sz w:val="17"/>
          <w:szCs w:val="17"/>
          <w:color w:val="auto"/>
        </w:rPr>
      </w:pPr>
      <w:r>
        <w:rPr>
          <w:rFonts w:ascii="Arial" w:cs="Arial" w:eastAsia="Arial" w:hAnsi="Arial"/>
          <w:sz w:val="17"/>
          <w:szCs w:val="17"/>
          <w:color w:val="auto"/>
        </w:rPr>
        <w:t xml:space="preserve">During the applicable Term of any Service, and in accordance with the terms and conditions of this Agreement, RGHI shall provide, or shall cause its Affiliates or, subject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third parties to provide, to the Company or one or more of its Affiliates (in connection with the conduct of the Business) the services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Transition Services</w:t>
      </w:r>
      <w:r>
        <w:rPr>
          <w:rFonts w:ascii="Arial" w:cs="Arial" w:eastAsia="Arial" w:hAnsi="Arial"/>
          <w:sz w:val="17"/>
          <w:szCs w:val="17"/>
          <w:color w:val="auto"/>
        </w:rPr>
        <w:t xml:space="preserve">”). Notwithstanding the content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RGHI agrees to consider in good faith any reasonable request by the Company for access to any additional service that is necessary for the operation of the Business, at fees to be agreed upon after good faith negotiation between the parties. RGHI will not be in in breach of this Agreement if RGHI declines to provide a requested additional service for any good faith reason, including the failure of the Parties to agree to the scope, term, and fee for the additional service. Any such additional services so provided by RGHI shall constitute Services hereunder and be subject in all respects to the provisions of this Agreement as if fully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of the date hereof.</w:t>
      </w:r>
    </w:p>
    <w:p>
      <w:pPr>
        <w:spacing w:after="0" w:line="70" w:lineRule="exact"/>
        <w:rPr>
          <w:rFonts w:ascii="Arial" w:cs="Arial" w:eastAsia="Arial" w:hAnsi="Arial"/>
          <w:sz w:val="17"/>
          <w:szCs w:val="17"/>
          <w:color w:val="auto"/>
        </w:rPr>
      </w:pPr>
    </w:p>
    <w:p>
      <w:pPr>
        <w:ind w:right="40" w:firstLine="428"/>
        <w:spacing w:after="0" w:line="264" w:lineRule="auto"/>
        <w:tabs>
          <w:tab w:leader="none" w:pos="67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During the applicable Term of any Service, and in accordance with the terms and conditions of this Agreement, Company shall provide, or shall cause its Affiliates or,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third parties to provide, to RGHI or one or more of its Affiliates, the services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Reverse Transition Services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28"/>
        <w:spacing w:after="0" w:line="255" w:lineRule="auto"/>
        <w:tabs>
          <w:tab w:leader="none" w:pos="66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In addition to the Services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RGHI shall, and shall cause its Affiliates to undertake the segregation and extraction required to separate the IT systems, data, records and processes of the Company, or thereafter created in the conduct of the Business from RGHI’s IT environment or infrastructure, and migrate them to RCP’s, or any of its Affiliates’, IT environment or infrastructure (collectively, the “</w:t>
      </w:r>
      <w:r>
        <w:rPr>
          <w:rFonts w:ascii="Arial" w:cs="Arial" w:eastAsia="Arial" w:hAnsi="Arial"/>
          <w:sz w:val="18"/>
          <w:szCs w:val="18"/>
          <w:u w:val="single" w:color="auto"/>
          <w:color w:val="auto"/>
        </w:rPr>
        <w:t>Migration Services</w:t>
      </w:r>
      <w:r>
        <w:rPr>
          <w:rFonts w:ascii="Arial" w:cs="Arial" w:eastAsia="Arial" w:hAnsi="Arial"/>
          <w:sz w:val="18"/>
          <w:szCs w:val="18"/>
          <w:color w:val="auto"/>
        </w:rPr>
        <w:t xml:space="preserve">”). For the avoidance of doubt, Migration Services apply to services only and do not include the acquisition or supply of any hardware, software, license (except where RGHI, at the request of RCP, acquires such hardware, software, or license at RCP’s cost), or ongoing operational support service for the operating environment(s) (except as otherwise contemplated by </w:t>
      </w:r>
      <w:r>
        <w:rPr>
          <w:rFonts w:ascii="Arial" w:cs="Arial" w:eastAsia="Arial" w:hAnsi="Arial"/>
          <w:sz w:val="18"/>
          <w:szCs w:val="18"/>
          <w:u w:val="single" w:color="auto"/>
          <w:color w:val="auto"/>
        </w:rPr>
        <w:t>Exhibit A</w:t>
      </w:r>
      <w:r>
        <w:rPr>
          <w:rFonts w:ascii="Arial" w:cs="Arial" w:eastAsia="Arial" w:hAnsi="Arial"/>
          <w:sz w:val="18"/>
          <w:szCs w:val="18"/>
          <w:color w:val="auto"/>
        </w:rPr>
        <w:t>). The costs of such Migration Services</w:t>
      </w:r>
    </w:p>
    <w:p>
      <w:pPr>
        <w:sectPr>
          <w:pgSz w:w="11900" w:h="16838" w:orient="portrait"/>
          <w:cols w:equalWidth="0" w:num="1">
            <w:col w:w="10520"/>
          </w:cols>
          <w:pgMar w:left="880" w:top="274" w:right="499" w:bottom="1440" w:gutter="0" w:footer="0" w:header="0"/>
        </w:sectPr>
      </w:pPr>
    </w:p>
    <w:bookmarkStart w:id="507" w:name="page508"/>
    <w:bookmarkEnd w:id="507"/>
    <w:p>
      <w:pPr>
        <w:ind w:left="440"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paid by RCP, including any out-of-pocket costs incurred by RGHI or its Affiliates in connection with such Migration Services and for the time spent by RGHI, its Affiliates or their Personnel, as applicable, in providing such Migration Services. RGHI will also provide to RCP any available reasonable documentation around the systems implementation, configuration documents, process maps, or any other documentation related to the systems that are part of the separation. RGHI and RCP shall work together in good faith to develop a detailed plan for migrating RCP’s IT systems, data, records and processes to its IT environment or infrastructure (the “</w:t>
      </w:r>
      <w:r>
        <w:rPr>
          <w:rFonts w:ascii="Arial" w:cs="Arial" w:eastAsia="Arial" w:hAnsi="Arial"/>
          <w:sz w:val="17"/>
          <w:szCs w:val="17"/>
          <w:u w:val="single" w:color="auto"/>
          <w:color w:val="auto"/>
        </w:rPr>
        <w:t>Migration Plan</w:t>
      </w:r>
      <w:r>
        <w:rPr>
          <w:rFonts w:ascii="Arial" w:cs="Arial" w:eastAsia="Arial" w:hAnsi="Arial"/>
          <w:sz w:val="17"/>
          <w:szCs w:val="17"/>
          <w:color w:val="auto"/>
        </w:rPr>
        <w:t>”).</w:t>
      </w:r>
    </w:p>
    <w:p>
      <w:pPr>
        <w:spacing w:after="0" w:line="173"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Performance by Affiliates or Subcontractors</w:t>
      </w:r>
      <w:r>
        <w:rPr>
          <w:rFonts w:ascii="Arial" w:cs="Arial" w:eastAsia="Arial" w:hAnsi="Arial"/>
          <w:sz w:val="17"/>
          <w:szCs w:val="17"/>
          <w:color w:val="auto"/>
        </w:rPr>
        <w:t xml:space="preserve">. Either Party may, in its sole discretion, engage, or cause one of their Affiliates to engage, one or more parties (including other third parties or Affiliates) to provide some or all of the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such Party is using such Affiliate or third party to perform the same Services for itself and its Affiliates (to the extent applicable), (ii) such arrangement would not increase the cost to Recipient for such Services, and (iii) if such third party is not already engaged with respect to such Service as of the date hereof, Provider shall obtain the prior written consent of Recipient (not to be unreasonably withheld). Provider shall (x) be responsible for the performance or non-performance of any such parties and (y) in all cases remain responsible for ensuring that obligations with respect to the standards of Services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are satisfied with respect to any Services provided by such Affiliate or third party.</w:t>
      </w:r>
    </w:p>
    <w:p>
      <w:pPr>
        <w:spacing w:after="0" w:line="178"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Scope of Services</w:t>
      </w:r>
      <w:r>
        <w:rPr>
          <w:rFonts w:ascii="Arial" w:cs="Arial" w:eastAsia="Arial" w:hAnsi="Arial"/>
          <w:sz w:val="18"/>
          <w:szCs w:val="18"/>
          <w:color w:val="auto"/>
        </w:rPr>
        <w:t xml:space="preserve">. Other than as expressly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or as agreed by the Parties in writing, in no event shall Provider be obligated to provide any Service to the Recipient for any purpose other than to facilitate, on a transitional basis, the Recipient’s ability to conduct business as conducted immediately preceding the date hereof.</w:t>
      </w:r>
    </w:p>
    <w:p>
      <w:pPr>
        <w:spacing w:after="0" w:line="181"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herein, with respect to the Services provided by RGHI and its Affiliates providing Services hereunder, certain of the Services may involve processes that directly or indirectly support financial information that the Company includes within its consolidated financial reports. The Company has an obligation to ensure that it has internal controls over financial reporting that comply with the Sarbanes-Oxley Act of 2002 and must also ensure that its external auditors can complete their necessary evaluation of the Company’s internal controls over financial reporting in accordance with auditing standards issued by the U.S. Public Company Accounting Oversight Board. The Company and RGHI and such Affiliates shall use reasonable commercial efforts to agree (i) what key controls over financial reporting will be performed by RGHI and such Affiliates within the processes that directly or indirectly support financial information that the Company includes within its consolidated financial reports; (ii) the frequency as to the performance of the agreed key controls; and</w:t>
      </w:r>
    </w:p>
    <w:p>
      <w:pPr>
        <w:spacing w:after="0" w:line="1" w:lineRule="exact"/>
        <w:rPr>
          <w:sz w:val="20"/>
          <w:szCs w:val="20"/>
          <w:color w:val="auto"/>
        </w:rPr>
      </w:pPr>
    </w:p>
    <w:p>
      <w:pPr>
        <w:ind w:right="40" w:firstLine="4"/>
        <w:spacing w:after="0" w:line="268" w:lineRule="auto"/>
        <w:tabs>
          <w:tab w:leader="none" w:pos="315" w:val="left"/>
        </w:tabs>
        <w:numPr>
          <w:ilvl w:val="0"/>
          <w:numId w:val="440"/>
        </w:numPr>
        <w:rPr>
          <w:rFonts w:ascii="Arial" w:cs="Arial" w:eastAsia="Arial" w:hAnsi="Arial"/>
          <w:sz w:val="17"/>
          <w:szCs w:val="17"/>
          <w:color w:val="auto"/>
        </w:rPr>
      </w:pPr>
      <w:r>
        <w:rPr>
          <w:rFonts w:ascii="Arial" w:cs="Arial" w:eastAsia="Arial" w:hAnsi="Arial"/>
          <w:sz w:val="17"/>
          <w:szCs w:val="17"/>
          <w:color w:val="auto"/>
        </w:rPr>
        <w:t xml:space="preserve">the form of documentation required to evidence the effective performance of the agreed key controls. RGHI and such Affiliates will perform the agreed key controls and evidence such performance in the agreed format. Company shall have the right, in a manner to avoid unreasonable interruption to RGHI’s or its Affiliates’ business, to (1) evaluate the effectiveness of the key controls; and (2) upon at least thirty (30) days’ written notice to RGHI, perform (through its external auditor) audit procedures over RGHI’s internal controls and procedures for the Services provided under this Agreement; provided that such right to audit shall exist solely to the extent reasonably required by Company’s external auditors to ensure Company’s compliance with the Sarbanes-Oxley Act of 2002. Company shall pay or reimburse all of RGHI’s expenses and costs arising from such audit. The performance of the agreed key controls, preparation of documentation, providing access to the Company or its delegate and the Company’s auditors will be billed at the agreed rates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ectPr>
          <w:pgSz w:w="11900" w:h="16838" w:orient="portrait"/>
          <w:cols w:equalWidth="0" w:num="1">
            <w:col w:w="10980"/>
          </w:cols>
          <w:pgMar w:left="440" w:top="273" w:right="479" w:bottom="1440" w:gutter="0" w:footer="0" w:header="0"/>
        </w:sectPr>
      </w:pPr>
    </w:p>
    <w:bookmarkStart w:id="508" w:name="page509"/>
    <w:bookmarkEnd w:id="508"/>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SERVICE LEVELS; SERVICE COORDINATORS; TSA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Quality of Services</w:t>
      </w:r>
      <w:r>
        <w:rPr>
          <w:rFonts w:ascii="Arial" w:cs="Arial" w:eastAsia="Arial" w:hAnsi="Arial"/>
          <w:sz w:val="18"/>
          <w:szCs w:val="18"/>
          <w:color w:val="auto"/>
        </w:rPr>
        <w:t>.</w:t>
      </w:r>
    </w:p>
    <w:p>
      <w:pPr>
        <w:spacing w:after="0" w:line="117" w:lineRule="exact"/>
        <w:rPr>
          <w:sz w:val="20"/>
          <w:szCs w:val="20"/>
          <w:color w:val="auto"/>
        </w:rPr>
      </w:pPr>
    </w:p>
    <w:p>
      <w:pPr>
        <w:ind w:right="140" w:firstLine="428"/>
        <w:spacing w:after="0" w:line="291" w:lineRule="auto"/>
        <w:tabs>
          <w:tab w:leader="none" w:pos="668" w:val="left"/>
        </w:tabs>
        <w:numPr>
          <w:ilvl w:val="1"/>
          <w:numId w:val="441"/>
        </w:numPr>
        <w:rPr>
          <w:rFonts w:ascii="Arial" w:cs="Arial" w:eastAsia="Arial" w:hAnsi="Arial"/>
          <w:sz w:val="16"/>
          <w:szCs w:val="16"/>
          <w:color w:val="auto"/>
        </w:rPr>
      </w:pPr>
      <w:r>
        <w:rPr>
          <w:rFonts w:ascii="Arial" w:cs="Arial" w:eastAsia="Arial" w:hAnsi="Arial"/>
          <w:sz w:val="16"/>
          <w:szCs w:val="16"/>
          <w:color w:val="auto"/>
        </w:rPr>
        <w:t>Provider shall perform the Services (i) at a level of quality substantially similar in all material respects to that at which such Services were performed or enjoyed during the twelve (12) month period prior to the date hereof and (ii) in accordance with applicable Law (collectively,</w:t>
      </w:r>
    </w:p>
    <w:p>
      <w:pPr>
        <w:ind w:firstLine="4"/>
        <w:spacing w:after="0" w:line="255" w:lineRule="auto"/>
        <w:tabs>
          <w:tab w:leader="none" w:pos="21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and (ii), the “</w:t>
      </w:r>
      <w:r>
        <w:rPr>
          <w:rFonts w:ascii="Arial" w:cs="Arial" w:eastAsia="Arial" w:hAnsi="Arial"/>
          <w:sz w:val="18"/>
          <w:szCs w:val="18"/>
          <w:u w:val="single" w:color="auto"/>
          <w:color w:val="auto"/>
        </w:rPr>
        <w:t>Service Standard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3.1(c)</w:t>
      </w:r>
      <w:r>
        <w:rPr>
          <w:rFonts w:ascii="Arial" w:cs="Arial" w:eastAsia="Arial" w:hAnsi="Arial"/>
          <w:sz w:val="18"/>
          <w:szCs w:val="18"/>
          <w:color w:val="auto"/>
        </w:rPr>
        <w:t>, internal controls of Provider and its Affiliates with respect to the Service Standard shall remain materially the same in effect throughout the term of this Agreement. Each Party acknowledges that the other Party and their Affiliates are not professional service providers of the Services.</w:t>
      </w:r>
    </w:p>
    <w:p>
      <w:pPr>
        <w:spacing w:after="0" w:line="82" w:lineRule="exact"/>
        <w:rPr>
          <w:rFonts w:ascii="Arial" w:cs="Arial" w:eastAsia="Arial" w:hAnsi="Arial"/>
          <w:sz w:val="18"/>
          <w:szCs w:val="18"/>
          <w:color w:val="auto"/>
        </w:rPr>
      </w:pPr>
    </w:p>
    <w:p>
      <w:pPr>
        <w:ind w:right="340" w:firstLine="428"/>
        <w:spacing w:after="0" w:line="259" w:lineRule="auto"/>
        <w:tabs>
          <w:tab w:leader="none" w:pos="678" w:val="left"/>
        </w:tabs>
        <w:numPr>
          <w:ilvl w:val="1"/>
          <w:numId w:val="442"/>
        </w:numPr>
        <w:rPr>
          <w:rFonts w:ascii="Arial" w:cs="Arial" w:eastAsia="Arial" w:hAnsi="Arial"/>
          <w:sz w:val="18"/>
          <w:szCs w:val="18"/>
          <w:color w:val="auto"/>
        </w:rPr>
      </w:pPr>
      <w:r>
        <w:rPr>
          <w:rFonts w:ascii="Arial" w:cs="Arial" w:eastAsia="Arial" w:hAnsi="Arial"/>
          <w:sz w:val="18"/>
          <w:szCs w:val="18"/>
          <w:color w:val="auto"/>
        </w:rPr>
        <w:t>In the event of any material failure of a Provider to perform the Services, as applicable, in accordance with the Service Standards, Recipient shall provide Provider with written notice of such material failure, and Provider will use commercially reasonable efforts to remedy such failure as soon as reasonably possible and in the same manner that Provider would remedy such a failure for their other businesses undergoing such a material failure.</w:t>
      </w:r>
    </w:p>
    <w:p>
      <w:pPr>
        <w:spacing w:after="0" w:line="78" w:lineRule="exact"/>
        <w:rPr>
          <w:rFonts w:ascii="Arial" w:cs="Arial" w:eastAsia="Arial" w:hAnsi="Arial"/>
          <w:sz w:val="18"/>
          <w:szCs w:val="18"/>
          <w:color w:val="auto"/>
        </w:rPr>
      </w:pPr>
    </w:p>
    <w:p>
      <w:pPr>
        <w:ind w:firstLine="428"/>
        <w:spacing w:after="0" w:line="268" w:lineRule="auto"/>
        <w:tabs>
          <w:tab w:leader="none" w:pos="668" w:val="left"/>
        </w:tabs>
        <w:numPr>
          <w:ilvl w:val="1"/>
          <w:numId w:val="442"/>
        </w:numPr>
        <w:rPr>
          <w:rFonts w:ascii="Arial" w:cs="Arial" w:eastAsia="Arial" w:hAnsi="Arial"/>
          <w:sz w:val="17"/>
          <w:szCs w:val="17"/>
          <w:color w:val="auto"/>
        </w:rPr>
      </w:pPr>
      <w:r>
        <w:rPr>
          <w:rFonts w:ascii="Arial" w:cs="Arial" w:eastAsia="Arial" w:hAnsi="Arial"/>
          <w:sz w:val="17"/>
          <w:szCs w:val="17"/>
          <w:color w:val="auto"/>
        </w:rPr>
        <w:t>A Provider may, from time to time: (i) reasonably supplement, modify, upgrade, substitute or otherwise alter (“</w:t>
      </w:r>
      <w:r>
        <w:rPr>
          <w:rFonts w:ascii="Arial" w:cs="Arial" w:eastAsia="Arial" w:hAnsi="Arial"/>
          <w:sz w:val="17"/>
          <w:szCs w:val="17"/>
          <w:u w:val="single" w:color="auto"/>
          <w:color w:val="auto"/>
        </w:rPr>
        <w:t>Change</w:t>
      </w:r>
      <w:r>
        <w:rPr>
          <w:rFonts w:ascii="Arial" w:cs="Arial" w:eastAsia="Arial" w:hAnsi="Arial"/>
          <w:sz w:val="17"/>
          <w:szCs w:val="17"/>
          <w:color w:val="auto"/>
        </w:rPr>
        <w:t xml:space="preserve">”) any Service in a manner consistent with Changes made with respect to similar services provided by Provider on their own behalf or to their Affiliates, including taking any physical or information security measures with respect to such Service, in a manner that does not (x) adversely affect in any material respect the quality or availability of such Service or (y) materially increase the fees payable in connection with such Changed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such Change is reasonably likely to modify, substitute or otherwise alter the receipt or use of such Service, Provider shall provide Recipient with reasonable advance written notice of the implementation of the Change to the extent practicable under the circumstances;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Service Standard shall continue to apply to such Service following any Change. If a Change is required by applicable Law or is in response to a threatened Security Incident, Provider may make any and all changes to the Service necessary to comply with applicable Law and any changes thereto or to respond to such threatened Security Incident in a manner consistent with responses made by Provider on its own behalf or in respect of their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Provider shall provide Recipient such reasonable advance written notice of the implementation of any such Change as may be practicable under the circumstances; and (ii) with reasonable advance written notice to Recipient, temporarily suspend the provision of a Service as necessary to conduct Systems maintenance or patching without such suspension constituting a breach of the Service Standard.</w:t>
      </w:r>
    </w:p>
    <w:p>
      <w:pPr>
        <w:sectPr>
          <w:pgSz w:w="11900" w:h="16838" w:orient="portrait"/>
          <w:cols w:equalWidth="0" w:num="1">
            <w:col w:w="10560"/>
          </w:cols>
          <w:pgMar w:left="880" w:top="274" w:right="459" w:bottom="1440" w:gutter="0" w:footer="0" w:header="0"/>
        </w:sectPr>
      </w:pPr>
    </w:p>
    <w:bookmarkStart w:id="509" w:name="page510"/>
    <w:bookmarkEnd w:id="509"/>
    <w:p>
      <w:pPr>
        <w:ind w:left="440" w:right="60" w:firstLine="428"/>
        <w:spacing w:after="0" w:line="259" w:lineRule="auto"/>
        <w:tabs>
          <w:tab w:leader="none" w:pos="1118"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Provider need not provide any Service if it is not permitted to do so by applicable Law. To the extent that any Service is not permitted pursuant to applicable Law, the Parties will cooperate in good faith to enter into arrangements reasonably acceptable to each of the Parties under which the Recipient would obtain the benefit of such Service to the same extent (or as nearly as practicable) as if such Service were permitted by applicable Law.</w:t>
      </w:r>
    </w:p>
    <w:p>
      <w:pPr>
        <w:spacing w:after="0" w:line="18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Policies</w:t>
      </w:r>
      <w:r>
        <w:rPr>
          <w:rFonts w:ascii="Arial" w:cs="Arial" w:eastAsia="Arial" w:hAnsi="Arial"/>
          <w:sz w:val="18"/>
          <w:szCs w:val="18"/>
          <w:color w:val="auto"/>
        </w:rPr>
        <w:t xml:space="preserve">. Each Party shall, and shall cause any of its Affiliates or third parties providing or receiving Services (as the case may be) to, follow the reasonable policies, procedures and practices of the other Party and its Affiliates applicable to the Services that are known or made known to such Party. A failure of a Recipient to act in accordance with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that prevents a Provider from providing a Service hereunder shall, upon reasonable advance written notice to the Recipient (where practicable), relieves Provider of its obligations under the Service until such time as the failure has been cured.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Service Coordinators and Dispute Resolution</w:t>
      </w:r>
      <w:r>
        <w:rPr>
          <w:rFonts w:ascii="Arial" w:cs="Arial" w:eastAsia="Arial" w:hAnsi="Arial"/>
          <w:sz w:val="18"/>
          <w:szCs w:val="18"/>
          <w:color w:val="auto"/>
        </w:rPr>
        <w:t>.</w:t>
      </w:r>
    </w:p>
    <w:p>
      <w:pPr>
        <w:spacing w:after="0" w:line="117" w:lineRule="exact"/>
        <w:rPr>
          <w:sz w:val="20"/>
          <w:szCs w:val="20"/>
          <w:color w:val="auto"/>
        </w:rPr>
      </w:pPr>
    </w:p>
    <w:p>
      <w:pPr>
        <w:ind w:left="440" w:right="100" w:firstLine="428"/>
        <w:spacing w:after="0" w:line="271" w:lineRule="auto"/>
        <w:tabs>
          <w:tab w:leader="none" w:pos="1108"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RGHI and Company shall each nominate a representative to act as the primary contact person with respect to the performance of the Services (each, a “</w:t>
      </w:r>
      <w:r>
        <w:rPr>
          <w:rFonts w:ascii="Arial" w:cs="Arial" w:eastAsia="Arial" w:hAnsi="Arial"/>
          <w:sz w:val="17"/>
          <w:szCs w:val="17"/>
          <w:u w:val="single" w:color="auto"/>
          <w:color w:val="auto"/>
        </w:rPr>
        <w:t>Service Coordinator</w:t>
      </w:r>
      <w:r>
        <w:rPr>
          <w:rFonts w:ascii="Arial" w:cs="Arial" w:eastAsia="Arial" w:hAnsi="Arial"/>
          <w:sz w:val="17"/>
          <w:szCs w:val="17"/>
          <w:color w:val="auto"/>
        </w:rPr>
        <w:t xml:space="preserve">”). Unless otherwise agreed upon by the Parties, the Parties shall direct all initial communications relating to this Agreement and the Services to the Service Coordinators. The initial Service Coordinators for RGHI and Company, including their contact information,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Either Party may replace its Service Coordinator at any time by providing notice and contact information for the newly designated Service Coordinator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The Service Coordinators shall oversee the implementation and ongoing operation of this Agreement. The Parties shall ensure that their respective Service Coordinators shall meet in person or telephonically at such times as are reasonably requested by RGHI or Company to review and discuss the status of, and any issues arising in connection with, the Services or this Agreement.</w:t>
      </w:r>
    </w:p>
    <w:p>
      <w:pPr>
        <w:spacing w:after="0" w:line="70" w:lineRule="exact"/>
        <w:rPr>
          <w:rFonts w:ascii="Arial" w:cs="Arial" w:eastAsia="Arial" w:hAnsi="Arial"/>
          <w:sz w:val="17"/>
          <w:szCs w:val="17"/>
          <w:color w:val="auto"/>
        </w:rPr>
      </w:pPr>
    </w:p>
    <w:p>
      <w:pPr>
        <w:ind w:left="440" w:firstLine="428"/>
        <w:spacing w:after="0" w:line="290" w:lineRule="auto"/>
        <w:tabs>
          <w:tab w:leader="none" w:pos="1118" w:val="left"/>
        </w:tabs>
        <w:numPr>
          <w:ilvl w:val="0"/>
          <w:numId w:val="444"/>
        </w:numPr>
        <w:rPr>
          <w:rFonts w:ascii="Arial" w:cs="Arial" w:eastAsia="Arial" w:hAnsi="Arial"/>
          <w:sz w:val="16"/>
          <w:szCs w:val="16"/>
          <w:color w:val="auto"/>
        </w:rPr>
      </w:pPr>
      <w:r>
        <w:rPr>
          <w:rFonts w:ascii="Arial" w:cs="Arial" w:eastAsia="Arial" w:hAnsi="Arial"/>
          <w:sz w:val="16"/>
          <w:szCs w:val="16"/>
          <w:color w:val="auto"/>
        </w:rPr>
        <w:t>In the event a dispute arises between the Parties under this Agreement, telephonic negotiations shall be conducted between the Parties’ respective Service Coordinators within ten (10) days following a written request from any Party (“</w:t>
      </w:r>
      <w:r>
        <w:rPr>
          <w:rFonts w:ascii="Arial" w:cs="Arial" w:eastAsia="Arial" w:hAnsi="Arial"/>
          <w:sz w:val="16"/>
          <w:szCs w:val="16"/>
          <w:u w:val="single" w:color="auto"/>
          <w:color w:val="auto"/>
        </w:rPr>
        <w:t>Dispute Negotiations</w:t>
      </w:r>
      <w:r>
        <w:rPr>
          <w:rFonts w:ascii="Arial" w:cs="Arial" w:eastAsia="Arial" w:hAnsi="Arial"/>
          <w:sz w:val="16"/>
          <w:szCs w:val="16"/>
          <w:color w:val="auto"/>
        </w:rPr>
        <w:t xml:space="preserve">”). If the Service Coordinators are unable to resolve the dispute within ten (10) days after the Parties have commenced Dispute Negotiations, then either RGHI or the Company, by written request to the other Party, may request that such dispute be referred for resolution to the respective presidents (or similar position) of the divisions implicated by the matter for the Parties, or more senior executive of a Party if such Party so designates, which presidents (or other executives) will have fifteen (15) days to resolve such dispute. If the presidents of the relevant divisions (or other executives) for each Party do not agree to a resolution of such dispute within fifteen (15) days after the reference of the matter to them, or if the dispute is not otherwise resolved in a friendly manner as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then any unresolved dispute may be resolved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ectPr>
          <w:pgSz w:w="11900" w:h="16838" w:orient="portrait"/>
          <w:cols w:equalWidth="0" w:num="1">
            <w:col w:w="10980"/>
          </w:cols>
          <w:pgMar w:left="440" w:top="274" w:right="479" w:bottom="1440" w:gutter="0" w:footer="0" w:header="0"/>
        </w:sectPr>
      </w:pPr>
    </w:p>
    <w:bookmarkStart w:id="510" w:name="page511"/>
    <w:bookmarkEnd w:id="510"/>
    <w:p>
      <w:pPr>
        <w:ind w:right="4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3.4 </w:t>
      </w:r>
      <w:r>
        <w:rPr>
          <w:rFonts w:ascii="Arial" w:cs="Arial" w:eastAsia="Arial" w:hAnsi="Arial"/>
          <w:sz w:val="17"/>
          <w:szCs w:val="17"/>
          <w:u w:val="single" w:color="auto"/>
          <w:color w:val="auto"/>
        </w:rPr>
        <w:t>Limitation of Services Provided</w:t>
      </w:r>
      <w:r>
        <w:rPr>
          <w:rFonts w:ascii="Arial" w:cs="Arial" w:eastAsia="Arial" w:hAnsi="Arial"/>
          <w:sz w:val="17"/>
          <w:szCs w:val="17"/>
          <w:color w:val="auto"/>
        </w:rPr>
        <w:t>. Except to the extent required to meet the Service Standards, in providing the Services, the Parties are not obligated to: (i) hire any additional employees; (ii) maintain the employment of any specific employee; (iii) purchase, lease or license any additional equipment or software; or (iv) make any capital investment to provide or continue providing the Services. The Parties have no responsibility to verify the correctness of any information given to them on behalf of the other Party for the purposes of providing the Services.</w:t>
      </w:r>
    </w:p>
    <w:p>
      <w:pPr>
        <w:spacing w:after="0" w:line="17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Third Party Licenses and Consents</w:t>
      </w:r>
      <w:r>
        <w:rPr>
          <w:rFonts w:ascii="Arial" w:cs="Arial" w:eastAsia="Arial" w:hAnsi="Arial"/>
          <w:sz w:val="16"/>
          <w:szCs w:val="16"/>
          <w:color w:val="auto"/>
        </w:rPr>
        <w:t>. The Parties will cooperate and assist each other, and use commercially reasonable efforts, to obtain, or direct its Affiliates to obtain, any third party consents required under the terms of any agreement between a Party or any of its Affiliates, on the one hand, and a third party, on the other hand, in order for a Party or its Affiliates to provide the Services during the Term. Notwithstanding the foregoing, if the provision of any Service as contemplated by this Agreement requires the consent, license or approval of any third party not previously obtained, the Parties shall use commercially reasonable efforts, to obtain as promptly as possible after the Commencement Date, any third party consents, permits, licenses and approvals required under the terms of any third party agreement in order for Provider to provide the Services hereunder. The cost of obtaining any consent, permit, license or approval with respect to any Service shall be borne by the Recipient of the relevant Services. If any such consent, permit, license or approval is not obtained, the Parties will cooperate in good faith to enter into reasonably acceptable arrangements under which Recipient would obtain the benefit of such Service to the same extent (or as nearly as practicable) as if such consent were obtained (at Recipient’s cost), and each Party will continue to use commercially reasonable efforts to obtain any such required consent or amendment. The Parties acknowledge that it may not be practical to try to anticipate and identify every possible legal, regulatory, and logistical impediment to the provision of Services hereunder. Accordingly, each Party will promptly notify the other Party if it reasonably determines that there is a legal, regulatory, or logistical impediment to the provision of any Service, and the Parties shall each use commercially reasonable efforts to overcome such impediments so that the Services may be provided otherwise in accordance with the terms of this Agreement. All computer systems or software (“</w:t>
      </w:r>
      <w:r>
        <w:rPr>
          <w:rFonts w:ascii="Arial" w:cs="Arial" w:eastAsia="Arial" w:hAnsi="Arial"/>
          <w:sz w:val="16"/>
          <w:szCs w:val="16"/>
          <w:u w:val="single" w:color="auto"/>
          <w:color w:val="auto"/>
        </w:rPr>
        <w:t>Systems</w:t>
      </w:r>
      <w:r>
        <w:rPr>
          <w:rFonts w:ascii="Arial" w:cs="Arial" w:eastAsia="Arial" w:hAnsi="Arial"/>
          <w:sz w:val="16"/>
          <w:szCs w:val="16"/>
          <w:color w:val="auto"/>
        </w:rPr>
        <w:t>”), data, facilities and other resources owned by a Party, its Affiliates or third parties used in connection with the provision or receipt of the Services, as applicable, shall remain the property of such Party, its Affiliates or third parties.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SYSTEMS</w:t>
      </w:r>
    </w:p>
    <w:p>
      <w:pPr>
        <w:spacing w:after="0" w:line="21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Security Breaches</w:t>
      </w:r>
      <w:r>
        <w:rPr>
          <w:rFonts w:ascii="Arial" w:cs="Arial" w:eastAsia="Arial" w:hAnsi="Arial"/>
          <w:sz w:val="16"/>
          <w:szCs w:val="16"/>
          <w:color w:val="auto"/>
        </w:rPr>
        <w:t>. If any Party discovers (a) any material breach of the Security Regulations or of the systems used to provide the Services or (b) any breach or threatened breach of the Security Regulations that involves or may reasonably be expected to involve unauthorized access, disclosure or use of the other Party’s or its Affiliates’ Confidential Information (each of (a) and (b), a “</w:t>
      </w:r>
      <w:r>
        <w:rPr>
          <w:rFonts w:ascii="Arial" w:cs="Arial" w:eastAsia="Arial" w:hAnsi="Arial"/>
          <w:sz w:val="16"/>
          <w:szCs w:val="16"/>
          <w:u w:val="single" w:color="auto"/>
          <w:color w:val="auto"/>
        </w:rPr>
        <w:t>Security Incident</w:t>
      </w:r>
      <w:r>
        <w:rPr>
          <w:rFonts w:ascii="Arial" w:cs="Arial" w:eastAsia="Arial" w:hAnsi="Arial"/>
          <w:sz w:val="16"/>
          <w:szCs w:val="16"/>
          <w:color w:val="auto"/>
        </w:rPr>
        <w:t>”), such Party shall, at the cost of the Party responsible for the Security Incident, (i) promptly (both orally, if practicable, and in any event in writing) notify the other Party of the Security Incident and (ii) reasonably cooperate with the other Party (1) to take commercially reasonable measures necessary to control and contain the security of such Confidential Information, (2) to remedy any such Security Incident, including using commercially reasonable efforts to identify and address any root causes for such Security Incident, (3) to furnish full details of the Security Incident to the other Party and keep such other Party advised of all material measures taken and other developments with respect to such Security Incident, (4) in any litigation or formal action with third parties or in connection with any regulatory, investigatory or other action of any Governmental Authority and (5) in notifying the other Party’s or its Affiliates’ customers and Personnel and other persons of the Security Incident to the extent reasonably requested by the other Party.</w:t>
      </w:r>
    </w:p>
    <w:p>
      <w:pPr>
        <w:sectPr>
          <w:pgSz w:w="11900" w:h="16838" w:orient="portrait"/>
          <w:cols w:equalWidth="0" w:num="1">
            <w:col w:w="11000"/>
          </w:cols>
          <w:pgMar w:left="440" w:top="273" w:right="459" w:bottom="1440" w:gutter="0" w:footer="0" w:header="0"/>
        </w:sectPr>
      </w:pPr>
    </w:p>
    <w:bookmarkStart w:id="511" w:name="page512"/>
    <w:bookmarkEnd w:id="5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Systems Security</w:t>
      </w:r>
      <w:r>
        <w:rPr>
          <w:rFonts w:ascii="Arial" w:cs="Arial" w:eastAsia="Arial" w:hAnsi="Arial"/>
          <w:sz w:val="18"/>
          <w:szCs w:val="18"/>
          <w:color w:val="auto"/>
        </w:rPr>
        <w:t>.</w:t>
      </w:r>
    </w:p>
    <w:p>
      <w:pPr>
        <w:spacing w:after="0" w:line="117" w:lineRule="exact"/>
        <w:rPr>
          <w:sz w:val="20"/>
          <w:szCs w:val="20"/>
          <w:color w:val="auto"/>
        </w:rPr>
      </w:pPr>
    </w:p>
    <w:p>
      <w:pPr>
        <w:ind w:left="440" w:right="160" w:firstLine="428"/>
        <w:spacing w:after="0" w:line="257" w:lineRule="auto"/>
        <w:tabs>
          <w:tab w:leader="none" w:pos="110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If RGHI, Company, their Affiliates or their respective Personnel receive access to any of RGHI’s, Company’s, or their respective Affiliates’, as applicable, Systems in connection with the Services, the accessing Party or its Personnel, as the case may be, shall comply with all of such other Party’s and its Affiliates’ reasonable Security Regulations known to such accessing Party or its Personnel or made known to such accessing Party or its Personnel in writing, and will not tamper with, compromise or circumvent any security, Security Regulations or audit measures employed by such other Party or its relevant Affiliate.</w:t>
      </w:r>
    </w:p>
    <w:p>
      <w:pPr>
        <w:spacing w:after="0" w:line="80" w:lineRule="exact"/>
        <w:rPr>
          <w:rFonts w:ascii="Arial" w:cs="Arial" w:eastAsia="Arial" w:hAnsi="Arial"/>
          <w:sz w:val="18"/>
          <w:szCs w:val="18"/>
          <w:color w:val="auto"/>
        </w:rPr>
      </w:pPr>
    </w:p>
    <w:p>
      <w:pPr>
        <w:ind w:left="440" w:right="80" w:firstLine="428"/>
        <w:spacing w:after="0" w:line="279" w:lineRule="auto"/>
        <w:tabs>
          <w:tab w:leader="none" w:pos="1118" w:val="left"/>
        </w:tabs>
        <w:numPr>
          <w:ilvl w:val="0"/>
          <w:numId w:val="445"/>
        </w:numPr>
        <w:rPr>
          <w:rFonts w:ascii="Arial" w:cs="Arial" w:eastAsia="Arial" w:hAnsi="Arial"/>
          <w:sz w:val="17"/>
          <w:szCs w:val="17"/>
          <w:color w:val="auto"/>
        </w:rPr>
      </w:pPr>
      <w:r>
        <w:rPr>
          <w:rFonts w:ascii="Arial" w:cs="Arial" w:eastAsia="Arial" w:hAnsi="Arial"/>
          <w:sz w:val="17"/>
          <w:szCs w:val="17"/>
          <w:color w:val="auto"/>
        </w:rPr>
        <w:t>Each Party shall, and shall cause its Affiliates to, as required by applicable Law, (i) ensure that only those of its Personnel who are specifically authorized to have access to the Systems of the other Party or its Affiliates gain such access and (ii) prevent unauthorized access, use, destruction, alteration or loss of information contained therein, including by notifying its Personnel regarding the restrictions set forth in this Agreement and establishing appropriate policies designed to effectively enforce such restrictions.</w:t>
      </w:r>
    </w:p>
    <w:p>
      <w:pPr>
        <w:spacing w:after="0" w:line="63" w:lineRule="exact"/>
        <w:rPr>
          <w:rFonts w:ascii="Arial" w:cs="Arial" w:eastAsia="Arial" w:hAnsi="Arial"/>
          <w:sz w:val="17"/>
          <w:szCs w:val="17"/>
          <w:color w:val="auto"/>
        </w:rPr>
      </w:pPr>
    </w:p>
    <w:p>
      <w:pPr>
        <w:jc w:val="both"/>
        <w:ind w:left="440" w:firstLine="428"/>
        <w:spacing w:after="0" w:line="302" w:lineRule="auto"/>
        <w:tabs>
          <w:tab w:leader="none" w:pos="1108" w:val="left"/>
        </w:tabs>
        <w:numPr>
          <w:ilvl w:val="0"/>
          <w:numId w:val="445"/>
        </w:numPr>
        <w:rPr>
          <w:rFonts w:ascii="Arial" w:cs="Arial" w:eastAsia="Arial" w:hAnsi="Arial"/>
          <w:sz w:val="16"/>
          <w:szCs w:val="16"/>
          <w:color w:val="auto"/>
        </w:rPr>
      </w:pPr>
      <w:r>
        <w:rPr>
          <w:rFonts w:ascii="Arial" w:cs="Arial" w:eastAsia="Arial" w:hAnsi="Arial"/>
          <w:sz w:val="16"/>
          <w:szCs w:val="16"/>
          <w:color w:val="auto"/>
        </w:rPr>
        <w:t>Each Party shall, and shall cause their respective Affiliates to, access and use only those Systems of the other Party and its Affiliates, and only such data and information within such Systems, to which they have been granted the right to access and use. Any Party and its Affiliates shall have the right to deny the Personnel of the other Party or its Affiliates access to such first Party’s or its Affiliates’ Systems, after prior written notice and consultation with the other Party, in the event the Party reasonably believes that such Personnel pose a security concern.</w:t>
      </w:r>
    </w:p>
    <w:p>
      <w:pPr>
        <w:spacing w:after="0" w:line="154"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Viruses</w:t>
      </w:r>
      <w:r>
        <w:rPr>
          <w:rFonts w:ascii="Arial" w:cs="Arial" w:eastAsia="Arial" w:hAnsi="Arial"/>
          <w:sz w:val="18"/>
          <w:szCs w:val="18"/>
          <w:color w:val="auto"/>
        </w:rPr>
        <w:t>. Provider and Recipient shall each use its commercially reasonable efforts consistent with its past practices to prevent the introduction or coding of viruses or similar items into the Systems of the other Party. Without limiting the rights and remedies of any party hereunder, in the event a virus or similar item is introduced into the Systems of a Party, whether or not such introduction is attributable to the other Party (including such other Party’s failure to perform its obligations under this Agreement), the other Party shall, as soon as practicable, use its commercially reasonable efforts to assist such Party in reducing the effects of the virus or similar item, and if the virus or similar item causes a loss of operational efficiency or loss of data, upon such Party’s request, work as soon as practicable to contain and remedy the problem and to restore lost data resulting from such introduction.</w:t>
      </w:r>
    </w:p>
    <w:p>
      <w:pPr>
        <w:spacing w:after="0" w:line="189"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Providers’ Software</w:t>
      </w:r>
      <w:r>
        <w:rPr>
          <w:rFonts w:ascii="Arial" w:cs="Arial" w:eastAsia="Arial" w:hAnsi="Arial"/>
          <w:sz w:val="17"/>
          <w:szCs w:val="17"/>
          <w:color w:val="auto"/>
        </w:rPr>
        <w:t>. Except as authorized by this Agreement or by Provider’s express written consent, Recipient shall not, and shall cause its Affiliates not to, copy, modify, reverse engineer, decompile or in any way alter any software of Provider or any of its Affiliates.</w:t>
      </w:r>
    </w:p>
    <w:p>
      <w:pPr>
        <w:sectPr>
          <w:pgSz w:w="11900" w:h="16838" w:orient="portrait"/>
          <w:cols w:equalWidth="0" w:num="1">
            <w:col w:w="11020"/>
          </w:cols>
          <w:pgMar w:left="440" w:top="273" w:right="439" w:bottom="1440" w:gutter="0" w:footer="0" w:header="0"/>
        </w:sectPr>
      </w:pPr>
    </w:p>
    <w:bookmarkStart w:id="512" w:name="page513"/>
    <w:bookmarkEnd w:id="512"/>
    <w:p>
      <w:pPr>
        <w:ind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4.5 </w:t>
      </w:r>
      <w:r>
        <w:rPr>
          <w:rFonts w:ascii="Arial" w:cs="Arial" w:eastAsia="Arial" w:hAnsi="Arial"/>
          <w:sz w:val="16"/>
          <w:szCs w:val="16"/>
          <w:u w:val="single" w:color="auto"/>
          <w:color w:val="auto"/>
        </w:rPr>
        <w:t>System Upgrades</w:t>
      </w:r>
      <w:r>
        <w:rPr>
          <w:rFonts w:ascii="Arial" w:cs="Arial" w:eastAsia="Arial" w:hAnsi="Arial"/>
          <w:sz w:val="16"/>
          <w:szCs w:val="16"/>
          <w:color w:val="auto"/>
        </w:rPr>
        <w:t>. No Provider shall be required to purchase, upgrade, enhance or otherwise modify any Systems used by any Recipient as of the date hereof in connection with the business of any Party, or to provide any support or maintenance services for any Systems that have been upgraded, enhanced or otherwise modified from the Systems that are used in connection with the business of any Party as of the date 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Recipient shall pay Provider (i) the fee for each Service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(ii) Providers’ and their Affiliates’ reasonable and documented out-of-pocket expenses incurred in providing the Services, including the third-party fees and expenses that are charged to Recipient or their Affiliates in connection with provision of the Services (including any fees and expenses charged by subcontractors permitted to provide the Services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but excluding payments made to employees of Provider or any of their Affiliates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and (iii) any other fees as agreed to by the Parties in writing (collectively, the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8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Responsibility for Wages and Fees</w:t>
      </w:r>
      <w:r>
        <w:rPr>
          <w:rFonts w:ascii="Arial" w:cs="Arial" w:eastAsia="Arial" w:hAnsi="Arial"/>
          <w:sz w:val="17"/>
          <w:szCs w:val="17"/>
          <w:color w:val="auto"/>
        </w:rPr>
        <w:t>. Any employees of Provider or any of their Affiliates providing Services to Recipient under this Agreement will remain employees of Provider or such Affiliate and shall not be deemed to be employees of Recipient for any purpose. Provider or such Affiliate shall be solely responsible for the payment and provision of all wages, bonuses and commissions, employee benefits, including severance and worker’s compensation, and the withholding and payment of applicable Taxes relating to such employment.</w:t>
      </w:r>
    </w:p>
    <w:p>
      <w:pPr>
        <w:spacing w:after="0" w:line="17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Invoices</w:t>
      </w:r>
      <w:r>
        <w:rPr>
          <w:rFonts w:ascii="Arial" w:cs="Arial" w:eastAsia="Arial" w:hAnsi="Arial"/>
          <w:sz w:val="17"/>
          <w:szCs w:val="17"/>
          <w:color w:val="auto"/>
        </w:rPr>
        <w:t>. Provider shall submit or cause to be submitted to Recipient in writing, within 15 days after the end of each month, an invoice setting forth the Fees for the Services provided to Recipient during such month in reasonable detail, as applicable, due under such invoice.</w:t>
      </w:r>
    </w:p>
    <w:p>
      <w:pPr>
        <w:spacing w:after="0" w:line="147"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Recipient shall pay, or cause to be paid, the Fees shown on an invoice no later than the last business day of the month Recipient received such invoice unless disputed in accordance with </w:t>
      </w:r>
      <w:r>
        <w:rPr>
          <w:rFonts w:ascii="Arial" w:cs="Arial" w:eastAsia="Arial" w:hAnsi="Arial"/>
          <w:sz w:val="17"/>
          <w:szCs w:val="17"/>
          <w:u w:val="single" w:color="auto"/>
          <w:color w:val="auto"/>
        </w:rPr>
        <w:t>Section 5.7</w:t>
      </w:r>
      <w:r>
        <w:rPr>
          <w:rFonts w:ascii="Arial" w:cs="Arial" w:eastAsia="Arial" w:hAnsi="Arial"/>
          <w:sz w:val="17"/>
          <w:szCs w:val="17"/>
          <w:color w:val="auto"/>
        </w:rPr>
        <w:t>. Any amount not received from the invoiced Party within such period shall bear interest at the Applicable Rate, from and including the last date of such period to, but excluding, the date of payment.</w:t>
      </w:r>
    </w:p>
    <w:p>
      <w:pPr>
        <w:spacing w:after="0" w:line="166"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Sales Tax, Etc</w:t>
      </w:r>
      <w:r>
        <w:rPr>
          <w:rFonts w:ascii="Arial" w:cs="Arial" w:eastAsia="Arial" w:hAnsi="Arial"/>
          <w:sz w:val="17"/>
          <w:szCs w:val="17"/>
          <w:color w:val="auto"/>
        </w:rPr>
        <w:t>. Provider shall be entitled to invoice and collect from Recipient any additional amounts required for state, local and foreign sales Tax, value added Tax, goods and services Tax or similar Tax with respect to the provision of the Services hereunder, as applicable (“</w:t>
      </w:r>
      <w:r>
        <w:rPr>
          <w:rFonts w:ascii="Arial" w:cs="Arial" w:eastAsia="Arial" w:hAnsi="Arial"/>
          <w:sz w:val="17"/>
          <w:szCs w:val="17"/>
          <w:u w:val="single" w:color="auto"/>
          <w:color w:val="auto"/>
        </w:rPr>
        <w:t>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Services Taxes</w:t>
      </w:r>
      <w:r>
        <w:rPr>
          <w:rFonts w:ascii="Arial" w:cs="Arial" w:eastAsia="Arial" w:hAnsi="Arial"/>
          <w:sz w:val="17"/>
          <w:szCs w:val="17"/>
          <w:color w:val="auto"/>
        </w:rPr>
        <w:t>”). Notwithstanding the previous sentence, if the Recipient is exempt from liability for such Sale and Services Taxes, it shall provide Provider with a certificate (or other proof) evidencing an exemption from liability for such Sale and Services Taxes. Provider shall be responsible for any losses (including any deficiency, interest and penalties) imposed as a result of a failure to timely remit such Sale and Services Taxes to the applicable tax authority to the extent the Recipient timely remits such Sale and Services Taxes to Provider or Provider’s failure to do so results from Provider’s failure to timely charge or invoice such Sale and Services Taxes. The Recipient shall be entitled to any refund of any such Sale and Services Taxes paid in excess of liability as determined at a later date. Provider shall promptly notify the Recipient of any deficiency claim or similar notice by a tax authority with respect to Sale and Services Taxes payable hereunder, and of any pending audit or other proceeding that could lead to the imposition of Sales and Services Taxes payable hereunder.</w:t>
      </w:r>
    </w:p>
    <w:p>
      <w:pPr>
        <w:sectPr>
          <w:pgSz w:w="11900" w:h="16838" w:orient="portrait"/>
          <w:cols w:equalWidth="0" w:num="1">
            <w:col w:w="11000"/>
          </w:cols>
          <w:pgMar w:left="440" w:top="273" w:right="459" w:bottom="1440" w:gutter="0" w:footer="0" w:header="0"/>
        </w:sectPr>
      </w:pPr>
    </w:p>
    <w:bookmarkStart w:id="513" w:name="page514"/>
    <w:bookmarkEnd w:id="513"/>
    <w:p>
      <w:pPr>
        <w:ind w:right="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5.6 </w:t>
      </w:r>
      <w:r>
        <w:rPr>
          <w:rFonts w:ascii="Arial" w:cs="Arial" w:eastAsia="Arial" w:hAnsi="Arial"/>
          <w:sz w:val="18"/>
          <w:szCs w:val="18"/>
          <w:u w:val="single" w:color="auto"/>
          <w:color w:val="auto"/>
        </w:rPr>
        <w:t>No Offset</w:t>
      </w:r>
      <w:r>
        <w:rPr>
          <w:rFonts w:ascii="Arial" w:cs="Arial" w:eastAsia="Arial" w:hAnsi="Arial"/>
          <w:sz w:val="18"/>
          <w:szCs w:val="18"/>
          <w:color w:val="auto"/>
        </w:rPr>
        <w:t>. Recipient shall not withhold any payments due under this Agreement in order to offset payments due (or to become due) to Recipient pursuant to this Agreement unless such withholding is mutually agreed to by the Parties in writing or is provided for in the final ruling of a court. Any required adjustment to payments due hereunder will be made as a subsequent invoice.</w:t>
      </w:r>
    </w:p>
    <w:p>
      <w:pPr>
        <w:spacing w:after="0" w:line="18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Invoice Disputes</w:t>
      </w:r>
      <w:r>
        <w:rPr>
          <w:rFonts w:ascii="Arial" w:cs="Arial" w:eastAsia="Arial" w:hAnsi="Arial"/>
          <w:sz w:val="18"/>
          <w:szCs w:val="18"/>
          <w:color w:val="auto"/>
        </w:rPr>
        <w:t xml:space="preserve">. In the event of an invoice dispute, the disputing Party shall deliver a written statement to the other Party no later than the date payment is due on the disputed invoice listing all disputed items and providing a reasonably detailed description of each disputed item. Amounts not so disputed shall be deemed accepted and shall be paid, notwithstanding disputes on other items, within the period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 The Parties shall seek to resolve all such disputes expeditiously and in good faith. Provider shall continue performing the Services in accordance with this Agreement pending resolution of any dispute.</w:t>
      </w:r>
    </w:p>
    <w:p>
      <w:pPr>
        <w:spacing w:after="0" w:line="18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Audit</w:t>
      </w:r>
      <w:r>
        <w:rPr>
          <w:rFonts w:ascii="Arial" w:cs="Arial" w:eastAsia="Arial" w:hAnsi="Arial"/>
          <w:sz w:val="18"/>
          <w:szCs w:val="18"/>
          <w:color w:val="auto"/>
        </w:rPr>
        <w:t>. At the request of Recipient, Provider shall provide to Recipient and its Affiliates reasonable access to Provider’s applicable Personnel and records with respect to the amount charged in connection with any Service so that Recipient may confirm that the pass through costs incurred by Provider or, to the extent such Service is provided on an hourly basis, information related to hours worked in connection with such Service, are commensurate with the amount charged to Recipient for such Service. In the event that Recipient believes that the amount charged to Recipient materially exceeds the pass through costs actually incurred by Provider or hours charged in connection with such Service, the Parties shall review such matter in good faith.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Term of Services</w:t>
      </w:r>
      <w:r>
        <w:rPr>
          <w:rFonts w:ascii="Arial" w:cs="Arial" w:eastAsia="Arial" w:hAnsi="Arial"/>
          <w:sz w:val="16"/>
          <w:szCs w:val="16"/>
          <w:color w:val="auto"/>
        </w:rPr>
        <w:t xml:space="preserve">. With respect to each of the Services, the term thereof will be for a period commencing as of the date hereof, unless a different date is specified as the commencement date for any applicable Service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(either, a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and shall continue until 12 months following the Commencement Date unless (i) such other date as is specified as the termination date for any applicable Service in this Agreement or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 (the “</w:t>
      </w:r>
      <w:r>
        <w:rPr>
          <w:rFonts w:ascii="Arial" w:cs="Arial" w:eastAsia="Arial" w:hAnsi="Arial"/>
          <w:sz w:val="16"/>
          <w:szCs w:val="16"/>
          <w:u w:val="single" w:color="auto"/>
          <w:color w:val="auto"/>
        </w:rPr>
        <w:t>Term</w:t>
      </w:r>
      <w:r>
        <w:rPr>
          <w:rFonts w:ascii="Arial" w:cs="Arial" w:eastAsia="Arial" w:hAnsi="Arial"/>
          <w:sz w:val="16"/>
          <w:szCs w:val="16"/>
          <w:color w:val="auto"/>
        </w:rPr>
        <w:t>”) or (ii) earlier terminated pursuant to this Agreement (a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54"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Termination of Services</w:t>
      </w:r>
      <w:r>
        <w:rPr>
          <w:rFonts w:ascii="Arial" w:cs="Arial" w:eastAsia="Arial" w:hAnsi="Arial"/>
          <w:sz w:val="17"/>
          <w:szCs w:val="17"/>
          <w:color w:val="auto"/>
        </w:rPr>
        <w:t xml:space="preserve">. Except as agreed by the Parties in writing or as otherwise stated in the Exhibits, Company may terminate for convenience any Transition Service, and RGHI may terminate for convenience any Reverse Transition Service, upon 30 days’ prior written notice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that, with respect to the Services described in Section G1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unless otherwise indicated therein, those Services may not be terminated independently except in accordance with an agreed Migration Plan and, (b) any unamortized costs associated with Provider’s purchase of any license or other costs incurred specifically for the purpose of providing the Services hereunder will be passed through to the Terminating Party. Upon termination of any Service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the Terminating Party’s obligation</w:t>
      </w:r>
    </w:p>
    <w:p>
      <w:pPr>
        <w:sectPr>
          <w:pgSz w:w="11900" w:h="16838" w:orient="portrait"/>
          <w:cols w:equalWidth="0" w:num="1">
            <w:col w:w="11020"/>
          </w:cols>
          <w:pgMar w:left="440" w:top="274" w:right="439" w:bottom="1440" w:gutter="0" w:footer="0" w:header="0"/>
        </w:sectPr>
      </w:pPr>
    </w:p>
    <w:bookmarkStart w:id="514" w:name="page515"/>
    <w:bookmarkEnd w:id="5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for such Service will cease except any sums accrued or due as of the date of such early termination for Services rendered (which shall include</w:t>
      </w:r>
    </w:p>
    <w:p>
      <w:pPr>
        <w:spacing w:after="0" w:line="46" w:lineRule="exact"/>
        <w:rPr>
          <w:sz w:val="20"/>
          <w:szCs w:val="20"/>
          <w:color w:val="auto"/>
        </w:rPr>
      </w:pPr>
    </w:p>
    <w:p>
      <w:pPr>
        <w:ind w:right="160" w:firstLine="4"/>
        <w:spacing w:after="0" w:line="273" w:lineRule="auto"/>
        <w:tabs>
          <w:tab w:leader="none" w:pos="215"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any amounts contemplated by 6.2(b), plus (ii) a pro rata portion of any fees applicable to the current period in which such Services are being performed if the applicable fee is determined on a period by period basis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applicable).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with respect to any assignment of this Agreement subject to </w:t>
      </w:r>
      <w:r>
        <w:rPr>
          <w:rFonts w:ascii="Arial" w:cs="Arial" w:eastAsia="Arial" w:hAnsi="Arial"/>
          <w:sz w:val="17"/>
          <w:szCs w:val="17"/>
          <w:u w:val="single" w:color="auto"/>
          <w:color w:val="auto"/>
        </w:rPr>
        <w:t>Section 10.10(b)</w:t>
      </w:r>
      <w:r>
        <w:rPr>
          <w:rFonts w:ascii="Arial" w:cs="Arial" w:eastAsia="Arial" w:hAnsi="Arial"/>
          <w:sz w:val="17"/>
          <w:szCs w:val="17"/>
          <w:color w:val="auto"/>
        </w:rPr>
        <w:t xml:space="preserve"> and the Parties will negotiate in good faith regarding fee allocations and, if necessary, early termination or partial termination of any Services.</w:t>
      </w:r>
    </w:p>
    <w:p>
      <w:pPr>
        <w:spacing w:after="0" w:line="17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shall terminate when the Termination Date has occurred for all Services. In addition, this Agreement may be terminated by either Party (the “</w:t>
      </w:r>
      <w:r>
        <w:rPr>
          <w:rFonts w:ascii="Arial" w:cs="Arial" w:eastAsia="Arial" w:hAnsi="Arial"/>
          <w:sz w:val="18"/>
          <w:szCs w:val="18"/>
          <w:u w:val="single" w:color="auto"/>
          <w:color w:val="auto"/>
        </w:rPr>
        <w:t>Terminating Party</w:t>
      </w:r>
      <w:r>
        <w:rPr>
          <w:rFonts w:ascii="Arial" w:cs="Arial" w:eastAsia="Arial" w:hAnsi="Arial"/>
          <w:sz w:val="18"/>
          <w:szCs w:val="18"/>
          <w:color w:val="auto"/>
        </w:rPr>
        <w:t>”) upon written notice to the other Party (which notice, in case of material breach, shall specify the basis for such claim for breach), if:</w:t>
      </w:r>
    </w:p>
    <w:p>
      <w:pPr>
        <w:spacing w:after="0" w:line="73" w:lineRule="exact"/>
        <w:rPr>
          <w:sz w:val="20"/>
          <w:szCs w:val="20"/>
          <w:color w:val="auto"/>
        </w:rPr>
      </w:pPr>
    </w:p>
    <w:p>
      <w:pPr>
        <w:ind w:left="440" w:right="180" w:firstLine="428"/>
        <w:spacing w:after="0" w:line="264" w:lineRule="auto"/>
        <w:tabs>
          <w:tab w:leader="none" w:pos="110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other Party or its Affiliates materially breaches this Agreement and such breach is not cured, to the reasonable satisfaction of the Terminating Party, within thirty (30) days of written notice thereof, it being understood that a good-faith dispute over an invoice or Service shall not constitute a material breach of this Agreement; or</w:t>
      </w:r>
    </w:p>
    <w:p>
      <w:pPr>
        <w:spacing w:after="0" w:line="73" w:lineRule="exact"/>
        <w:rPr>
          <w:rFonts w:ascii="Arial" w:cs="Arial" w:eastAsia="Arial" w:hAnsi="Arial"/>
          <w:sz w:val="18"/>
          <w:szCs w:val="18"/>
          <w:color w:val="auto"/>
        </w:rPr>
      </w:pPr>
    </w:p>
    <w:p>
      <w:pPr>
        <w:ind w:left="440" w:firstLine="428"/>
        <w:spacing w:after="0" w:line="257" w:lineRule="auto"/>
        <w:tabs>
          <w:tab w:leader="none" w:pos="111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other Party files for bankruptcy or similar proceeding, is the subject of an involuntary filing for bankruptcy or similar proceeding (not dismissed within sixty (60) days), makes a general assignment of all or substantially all of its assets for the benefit of creditors, becomes or is declared insolvent, becomes the subject of any proceedings (not dismissed within sixty (60) days) related to its liquidation, insolvency, bankruptcy or the appointment of a trustee or a receiver, takes any corporate action for its winding up or dissolution, or a court approves reorganization proceedings on such Party.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any termination or expiration of this Agreement or any Service provided hereunder:</w:t>
      </w:r>
    </w:p>
    <w:p>
      <w:pPr>
        <w:spacing w:after="0" w:line="117" w:lineRule="exact"/>
        <w:rPr>
          <w:sz w:val="20"/>
          <w:szCs w:val="20"/>
          <w:color w:val="auto"/>
        </w:rPr>
      </w:pPr>
    </w:p>
    <w:p>
      <w:pPr>
        <w:ind w:left="440" w:firstLine="428"/>
        <w:spacing w:after="0" w:line="257" w:lineRule="auto"/>
        <w:tabs>
          <w:tab w:leader="none" w:pos="110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each Party shall, and shall cause its Affiliates to, as soon as practicable, return to the other Party any equipment, books, records, files and other property, not including current or archived copies of computer files, of the other Party, its Affiliates and their respective third-party service providers, that is in the Party’s or its Affiliates’ possession or control (and, in case of termination of one or more specific Services, only the equipment, books, records, files and other property, not including current or archived copies of computer files, that are used in connection with the provision or receipt solely of such Services and of no other Services); and</w:t>
      </w:r>
    </w:p>
    <w:p>
      <w:pPr>
        <w:spacing w:after="0" w:line="80" w:lineRule="exact"/>
        <w:rPr>
          <w:rFonts w:ascii="Arial" w:cs="Arial" w:eastAsia="Arial" w:hAnsi="Arial"/>
          <w:sz w:val="18"/>
          <w:szCs w:val="18"/>
          <w:color w:val="auto"/>
        </w:rPr>
      </w:pPr>
    </w:p>
    <w:p>
      <w:pPr>
        <w:ind w:left="440" w:right="40" w:firstLine="428"/>
        <w:spacing w:after="0" w:line="264" w:lineRule="auto"/>
        <w:tabs>
          <w:tab w:leader="none" w:pos="111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the intellectual property license granted by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termination of a specific Service, such license shall terminate only to the extent such license was necessary for the provision or receipt of such Service and is not necessary for any other Service that has not yet terminated.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following Articles and Sections shall survive the termination or expiration of this Agreement, including the rights and obligations of each Party thereunder: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515" w:name="page516"/>
    <w:bookmarkEnd w:id="515"/>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BOOKS AND RECORDS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TSA Books and Records</w:t>
      </w:r>
      <w:r>
        <w:rPr>
          <w:rFonts w:ascii="Arial" w:cs="Arial" w:eastAsia="Arial" w:hAnsi="Arial"/>
          <w:sz w:val="18"/>
          <w:szCs w:val="18"/>
          <w:color w:val="auto"/>
        </w:rPr>
        <w:t>.</w:t>
      </w:r>
    </w:p>
    <w:p>
      <w:pPr>
        <w:spacing w:after="0" w:line="117" w:lineRule="exact"/>
        <w:rPr>
          <w:sz w:val="20"/>
          <w:szCs w:val="20"/>
          <w:color w:val="auto"/>
        </w:rPr>
      </w:pPr>
    </w:p>
    <w:p>
      <w:pPr>
        <w:ind w:firstLine="428"/>
        <w:spacing w:after="0" w:line="291" w:lineRule="auto"/>
        <w:tabs>
          <w:tab w:leader="none" w:pos="668" w:val="left"/>
        </w:tabs>
        <w:numPr>
          <w:ilvl w:val="1"/>
          <w:numId w:val="449"/>
        </w:numPr>
        <w:rPr>
          <w:rFonts w:ascii="Arial" w:cs="Arial" w:eastAsia="Arial" w:hAnsi="Arial"/>
          <w:sz w:val="16"/>
          <w:szCs w:val="16"/>
          <w:color w:val="auto"/>
        </w:rPr>
      </w:pPr>
      <w:r>
        <w:rPr>
          <w:rFonts w:ascii="Arial" w:cs="Arial" w:eastAsia="Arial" w:hAnsi="Arial"/>
          <w:sz w:val="16"/>
          <w:szCs w:val="16"/>
          <w:color w:val="auto"/>
        </w:rPr>
        <w:t>The Parties shall, and shall cause each of their respective Affiliates to, take reasonable steps to maintain books and records of all material transactions pertaining to, and all data used by it, in the performance of the Services (the “</w:t>
      </w:r>
      <w:r>
        <w:rPr>
          <w:rFonts w:ascii="Arial" w:cs="Arial" w:eastAsia="Arial" w:hAnsi="Arial"/>
          <w:sz w:val="16"/>
          <w:szCs w:val="16"/>
          <w:u w:val="single" w:color="auto"/>
          <w:color w:val="auto"/>
        </w:rPr>
        <w:t>TSA Records</w:t>
      </w:r>
      <w:r>
        <w:rPr>
          <w:rFonts w:ascii="Arial" w:cs="Arial" w:eastAsia="Arial" w:hAnsi="Arial"/>
          <w:sz w:val="16"/>
          <w:szCs w:val="16"/>
          <w:color w:val="auto"/>
        </w:rPr>
        <w:t>”). The TSA Records shall be maintained</w:t>
      </w:r>
    </w:p>
    <w:p>
      <w:pPr>
        <w:ind w:right="160" w:firstLine="4"/>
        <w:spacing w:after="0" w:line="261" w:lineRule="auto"/>
        <w:tabs>
          <w:tab w:leader="none" w:pos="24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 a format substantially similar to the format such books and records are maintained as of the date hereof, (b) in accordance with any and all applicable Laws and (c) in accordance with the maintaining Party’s business record retention policies.</w:t>
      </w:r>
    </w:p>
    <w:p>
      <w:pPr>
        <w:spacing w:after="0" w:line="75" w:lineRule="exact"/>
        <w:rPr>
          <w:rFonts w:ascii="Arial" w:cs="Arial" w:eastAsia="Arial" w:hAnsi="Arial"/>
          <w:sz w:val="18"/>
          <w:szCs w:val="18"/>
          <w:color w:val="auto"/>
        </w:rPr>
      </w:pPr>
    </w:p>
    <w:p>
      <w:pPr>
        <w:ind w:firstLine="428"/>
        <w:spacing w:after="0" w:line="286" w:lineRule="auto"/>
        <w:tabs>
          <w:tab w:leader="none" w:pos="678" w:val="left"/>
        </w:tabs>
        <w:numPr>
          <w:ilvl w:val="1"/>
          <w:numId w:val="450"/>
        </w:numPr>
        <w:rPr>
          <w:rFonts w:ascii="Arial" w:cs="Arial" w:eastAsia="Arial" w:hAnsi="Arial"/>
          <w:sz w:val="16"/>
          <w:szCs w:val="16"/>
          <w:color w:val="auto"/>
        </w:rPr>
      </w:pPr>
      <w:r>
        <w:rPr>
          <w:rFonts w:ascii="Arial" w:cs="Arial" w:eastAsia="Arial" w:hAnsi="Arial"/>
          <w:sz w:val="16"/>
          <w:szCs w:val="16"/>
          <w:color w:val="auto"/>
        </w:rPr>
        <w:t xml:space="preserve">Each Party shall make the TSA Records it maintains available to the other Party and its Affiliates and their respective auditors or other representatives, and in any event to any Governmental Authority, during normal business hours on reasonable prior notice (it being understood that TSA Records that are not stored on a Party’s regular business premises will require additional time to retrieve), for review, inspection, examination and, at the reviewing Party’s reasonable expense, reproduction. Access to such TSA Records shall be exercised by a Party and its Affiliates and their authorized representatives in a manner that shall not interfere unreasonably with the normal operations of the Party maintaining the TSA Records. In connection with such review of TSA Records, and upon reasonable prior notice, a reviewing Party and its Affiliates shall have the right to discuss matters relating to the TSA Records with the employees of the Party or its Affiliates who are maintaining the relevant TSA Records and providing the Services, as applicable, during regular business hours and without undue disruption of the normal operations of such maintaining and providing Party or its Affiliates. Neither Party shall have access to any TSA Records, and neither Party shall be required to provide access or disclose information, when such access or disclosure would jeopardize any attorney-client privilege or violate any applicable Law (provided that such party shall use commercially reasonable efforts to provide such access or share such information in a manner that would not jeopardize any such privilege or violate any such Law). Each Party’s rights under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continue for so long as TSA Records are required to be maintained by the other Party under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Access to Information; Books and Records</w:t>
      </w:r>
      <w:r>
        <w:rPr>
          <w:rFonts w:ascii="Arial" w:cs="Arial" w:eastAsia="Arial" w:hAnsi="Arial"/>
          <w:sz w:val="18"/>
          <w:szCs w:val="18"/>
          <w:color w:val="auto"/>
        </w:rPr>
        <w:t>.</w:t>
      </w:r>
    </w:p>
    <w:p>
      <w:pPr>
        <w:spacing w:after="0" w:line="117" w:lineRule="exact"/>
        <w:rPr>
          <w:sz w:val="20"/>
          <w:szCs w:val="20"/>
          <w:color w:val="auto"/>
        </w:rPr>
      </w:pPr>
    </w:p>
    <w:p>
      <w:pPr>
        <w:ind w:right="180" w:firstLine="428"/>
        <w:spacing w:after="0" w:line="273" w:lineRule="auto"/>
        <w:tabs>
          <w:tab w:leader="none" w:pos="668" w:val="left"/>
        </w:tabs>
        <w:numPr>
          <w:ilvl w:val="0"/>
          <w:numId w:val="451"/>
        </w:numPr>
        <w:rPr>
          <w:rFonts w:ascii="Arial" w:cs="Arial" w:eastAsia="Arial" w:hAnsi="Arial"/>
          <w:sz w:val="17"/>
          <w:szCs w:val="17"/>
          <w:color w:val="auto"/>
        </w:rPr>
      </w:pPr>
      <w:r>
        <w:rPr>
          <w:rFonts w:ascii="Arial" w:cs="Arial" w:eastAsia="Arial" w:hAnsi="Arial"/>
          <w:sz w:val="17"/>
          <w:szCs w:val="17"/>
          <w:color w:val="auto"/>
        </w:rPr>
        <w:t>On and after the Commencement Date, RGHI shall, and shall cause its Affiliates to, until the 6th anniversary of the Commencement Date, afford to RCP and its employees and authorized representatives during normal business hours reasonable access to their books of account, financial and other records (including accountant’s work papers), information, employees and auditors at the Company’s expense to the extent necessary or useful for the Company in connection with any audit, investigation, or dispute or Litigation (other than any Litigation involving a dispute between the Parties) or any other reasonable business purpose relating to the Business; provided that any such access by RCP shall not unreasonably interfere with the conduct of the business of RGHI and its Affiliates.</w:t>
      </w:r>
    </w:p>
    <w:p>
      <w:pPr>
        <w:sectPr>
          <w:pgSz w:w="11900" w:h="16838" w:orient="portrait"/>
          <w:cols w:equalWidth="0" w:num="1">
            <w:col w:w="10560"/>
          </w:cols>
          <w:pgMar w:left="880" w:top="273" w:right="459" w:bottom="1440" w:gutter="0" w:footer="0" w:header="0"/>
        </w:sectPr>
      </w:pPr>
    </w:p>
    <w:bookmarkStart w:id="516" w:name="page517"/>
    <w:bookmarkEnd w:id="516"/>
    <w:p>
      <w:pPr>
        <w:ind w:left="440" w:firstLine="428"/>
        <w:spacing w:after="0" w:line="288" w:lineRule="auto"/>
        <w:tabs>
          <w:tab w:leader="none" w:pos="1118" w:val="left"/>
        </w:tabs>
        <w:numPr>
          <w:ilvl w:val="0"/>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Commencement Date, RCP shall, and shall cause its Affiliates to, until the 7th anniversary of the date on which RGHL or its Affiliates owns less than 10% of the capital stock in RCP, afford to RGHI and its employees and authorized representatives reasonable access to RCP’s employees and auditors, retain all books, records (including accountant’s work papers), and other information and documents pertaining to the Business in existence on the Commencement Date and make available for inspection and copying by RGHI (at RGHI’s expense) during normal business hours, in each case so as not to unreasonably interfere with the conduct of the business of RCP and its Affiliates, such information (A) as may be required by any Governmental Authority, including pursuant to any applicable Law or regulatory request or to prepare or file any Tax related documentation, (B) as may be necessary for RGHI or its Affiliates in connection with their ongoing financial reporting, accounting or other purpose related to RGHI and Company’s affiliation immediately prior to the Commencement Date, or (C) as may be necessary for RGHI or its Affiliates to perform their respective obligations pursuant to this Agreement or in connection with any Litigation (other than any Litigation involving a dispute between the parties), in each case subject to compliance with all applicable privacy Laws.</w:t>
      </w:r>
    </w:p>
    <w:p>
      <w:pPr>
        <w:spacing w:after="0" w:line="61" w:lineRule="exact"/>
        <w:rPr>
          <w:rFonts w:ascii="Arial" w:cs="Arial" w:eastAsia="Arial" w:hAnsi="Arial"/>
          <w:sz w:val="16"/>
          <w:szCs w:val="16"/>
          <w:color w:val="auto"/>
        </w:rPr>
      </w:pPr>
    </w:p>
    <w:p>
      <w:pPr>
        <w:ind w:left="440" w:firstLine="428"/>
        <w:spacing w:after="0" w:line="254" w:lineRule="auto"/>
        <w:tabs>
          <w:tab w:leader="none" w:pos="110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Party granting access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may withhold any document (or portions thereof) or information (i) that is subject to the terms of a non-disclosure agreement with a third party (provided that such party shall use commercially reasonable efforts to share such information in a manner that would not violate any such obligation), (ii) that may constitute privileged attorney-client communications or attorney work product and the transfer of which, or the provision of access to which, as reasonably determined by such Party’s counsel, constitutes a waiver of any such privilege (provided that such party shall use commercially reasonable efforts to share such information in a manner that would not jeopardize any such privilege), or (iii) if the provision of access to such document (or portion thereof) or information, as determined by such Party’s counsel, would reasonably be expected to conflict with applicable Laws.</w:t>
      </w:r>
    </w:p>
    <w:p>
      <w:pPr>
        <w:spacing w:after="0" w:line="19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Non-Disclosure Agreements</w:t>
      </w:r>
      <w:r>
        <w:rPr>
          <w:rFonts w:ascii="Arial" w:cs="Arial" w:eastAsia="Arial" w:hAnsi="Arial"/>
          <w:sz w:val="18"/>
          <w:szCs w:val="18"/>
          <w:color w:val="auto"/>
        </w:rPr>
        <w:t>. To the extent that any third-party proprietor of information or software to be disclosed or made available to a Recipient in connection with performance of the Services requires a specific form of non-disclosure agreement as a condition of such third party’s consent to use the same for the benefit of Recipient or to permit the Recipient access to such information or software, each Party shall, or shall cause its relevant Affiliate to, as a condition to the receipt of such portion of the Services, execute (and shall cause its Personnel to execute, if reasonably required) any such form.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 Information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40" w:right="140" w:firstLine="428"/>
        <w:spacing w:after="0" w:line="279" w:lineRule="auto"/>
        <w:tabs>
          <w:tab w:leader="none" w:pos="110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 xml:space="preserve">Each Party agrees to take the necessary steps to protect any Confidential Information of the other Party with at least the same degree of care that the receiving Party uses to protect its own confidential or proprietary information of like kind, but not less than reasonable care. Neither Party shall use the other Party’s Confidential Information other than to perform Services pursuant to this Agreement or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herein. The obligation of confidentiality hereunder shall not apply to information that (i) was already</w:t>
      </w:r>
    </w:p>
    <w:p>
      <w:pPr>
        <w:sectPr>
          <w:pgSz w:w="11900" w:h="16838" w:orient="portrait"/>
          <w:cols w:equalWidth="0" w:num="1">
            <w:col w:w="11020"/>
          </w:cols>
          <w:pgMar w:left="440" w:top="274" w:right="439" w:bottom="1440" w:gutter="0" w:footer="0" w:header="0"/>
        </w:sectPr>
      </w:pPr>
    </w:p>
    <w:bookmarkStart w:id="517" w:name="page518"/>
    <w:bookmarkEnd w:id="51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possession of the receiving Party without restriction on its use or disclosure prior to the receipt of the information from the disclosing Party,</w:t>
      </w:r>
    </w:p>
    <w:p>
      <w:pPr>
        <w:spacing w:after="0" w:line="46" w:lineRule="exact"/>
        <w:rPr>
          <w:sz w:val="20"/>
          <w:szCs w:val="20"/>
          <w:color w:val="auto"/>
        </w:rPr>
      </w:pPr>
    </w:p>
    <w:p>
      <w:pPr>
        <w:ind w:left="440" w:right="40" w:firstLine="4"/>
        <w:spacing w:after="0" w:line="290" w:lineRule="auto"/>
        <w:tabs>
          <w:tab w:leader="none" w:pos="705" w:val="left"/>
        </w:tabs>
        <w:numPr>
          <w:ilvl w:val="0"/>
          <w:numId w:val="454"/>
        </w:numPr>
        <w:rPr>
          <w:rFonts w:ascii="Arial" w:cs="Arial" w:eastAsia="Arial" w:hAnsi="Arial"/>
          <w:sz w:val="16"/>
          <w:szCs w:val="16"/>
          <w:color w:val="auto"/>
        </w:rPr>
      </w:pPr>
      <w:r>
        <w:rPr>
          <w:rFonts w:ascii="Arial" w:cs="Arial" w:eastAsia="Arial" w:hAnsi="Arial"/>
          <w:sz w:val="16"/>
          <w:szCs w:val="16"/>
          <w:color w:val="auto"/>
        </w:rPr>
        <w:t>is or becomes available to the general public through no act or fault of the receiving Party, (iii) is rightfully disclosed to the receiving Party by a third party without restriction on its use or disclosure, (iv) is independently developed by employees and/or consultants of the receiving Party who have not had access to the disclosing Party’s Confidential Information, (v) is disclosed to the receiving Party after the receiving Party properly gave notice to the disclosing Party that the receiving Party no longer desired to receive any additional Confidential Information from the disclosing Party, or (vi) is required to be disclosed pursuant to judicial or governmental decree or order, provided that the disclosing Party is, where permitted, given prompt written notice of and the opportunity to defend against disclosure pursuant to such decree or order.</w:t>
      </w:r>
    </w:p>
    <w:p>
      <w:pPr>
        <w:spacing w:after="0" w:line="56" w:lineRule="exact"/>
        <w:rPr>
          <w:rFonts w:ascii="Arial" w:cs="Arial" w:eastAsia="Arial" w:hAnsi="Arial"/>
          <w:sz w:val="16"/>
          <w:szCs w:val="16"/>
          <w:color w:val="auto"/>
        </w:rPr>
      </w:pPr>
    </w:p>
    <w:p>
      <w:pPr>
        <w:ind w:left="440" w:firstLine="428"/>
        <w:spacing w:after="0" w:line="290" w:lineRule="auto"/>
        <w:tabs>
          <w:tab w:leader="none" w:pos="1118" w:val="left"/>
        </w:tabs>
        <w:numPr>
          <w:ilvl w:val="1"/>
          <w:numId w:val="454"/>
        </w:numPr>
        <w:rPr>
          <w:rFonts w:ascii="Arial" w:cs="Arial" w:eastAsia="Arial" w:hAnsi="Arial"/>
          <w:sz w:val="16"/>
          <w:szCs w:val="16"/>
          <w:color w:val="auto"/>
        </w:rPr>
      </w:pPr>
      <w:r>
        <w:rPr>
          <w:rFonts w:ascii="Arial" w:cs="Arial" w:eastAsia="Arial" w:hAnsi="Arial"/>
          <w:sz w:val="16"/>
          <w:szCs w:val="16"/>
          <w:color w:val="auto"/>
        </w:rPr>
        <w:t xml:space="preserve">Upon any termination or expiration of this Agreement, at the written request of the other Party, each Party shall, and shall cause any of its Affiliates or third-party vendors used in connection with the provision or receipt of the Services to, deliver to the other Party (i) all records and data (including backup tapes, records and related information) received, computed, developed, processed and stored by it hereunder in a readable format reasonably acceptable to the other Party, and (ii) all other Confidential Information of such other Party, but excluding, in each case, (1) any information stored electronically in a back-up file pursuant to the receiving Party’s customary electronic back-up practices which may be retained by such Party solely for archival purposes and subject to the continuing confidentiality obligations set forth in herein, and (2) any information obtained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lieu of delivering all of the foregoing to the other Party, the relevant delivering Party may confirm in writing that it has destroyed, or has caused RGHI or Company, as the case may be, to destroy, all of the foregoing.</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INTELLECTUAL PROPERTY</w:t>
      </w:r>
    </w:p>
    <w:p>
      <w:pPr>
        <w:spacing w:after="0" w:line="211"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Any intellectual property owned by a Party, its Affiliates or third-party vendors and used in connection with the provision or receipt of the Services, as applicable, shall remain the property of such Party, its Affiliates, or third-party vendors.</w:t>
      </w:r>
    </w:p>
    <w:p>
      <w:pPr>
        <w:spacing w:after="0" w:line="124"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License</w:t>
      </w:r>
      <w:r>
        <w:rPr>
          <w:rFonts w:ascii="Arial" w:cs="Arial" w:eastAsia="Arial" w:hAnsi="Arial"/>
          <w:sz w:val="18"/>
          <w:szCs w:val="18"/>
          <w:color w:val="auto"/>
        </w:rPr>
        <w:t>. Each Party grants, and shall cause its Affiliates to grant, to the other Party and its Affiliates, a royalty-free, non-exclusive, non-transferable, worldwide license, during the Term, to use the intellectual property owned by such Party or its Affiliates (but excluding any trademarks) only to the extent necessary for the other Party and its Affiliates to provide or receive the Services, as applicable. Other than the license granted to a Party and its Affiliates pursuant to the preceding sentence, neither Party nor its Affiliates shall have any right, title or interest in the intellectual property owned by the other Party or its Affiliates.</w:t>
      </w:r>
    </w:p>
    <w:p>
      <w:pPr>
        <w:spacing w:after="0" w:line="188"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Use of RCP Names.</w:t>
      </w:r>
      <w:r>
        <w:rPr>
          <w:rFonts w:ascii="Arial" w:cs="Arial" w:eastAsia="Arial" w:hAnsi="Arial"/>
          <w:sz w:val="16"/>
          <w:szCs w:val="16"/>
          <w:color w:val="auto"/>
        </w:rPr>
        <w:t xml:space="preserve"> By the third anniversary of the Commencement Date, RGHI and its Affiliates will change its corporate names to remove RCP Names and will cease use of RCP Names as trademarks unless such use is pursuant to a separate license agreement with RCP.</w:t>
      </w:r>
    </w:p>
    <w:p>
      <w:pPr>
        <w:sectPr>
          <w:pgSz w:w="11900" w:h="16838" w:orient="portrait"/>
          <w:cols w:equalWidth="0" w:num="1">
            <w:col w:w="10980"/>
          </w:cols>
          <w:pgMar w:left="440" w:top="274" w:right="479" w:bottom="1440" w:gutter="0" w:footer="0" w:header="0"/>
        </w:sectPr>
      </w:pPr>
    </w:p>
    <w:bookmarkStart w:id="518" w:name="page519"/>
    <w:bookmarkEnd w:id="518"/>
    <w:p>
      <w:pPr>
        <w:ind w:left="5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each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agrees to indemnify, defend and hold harmless the other Party and its Affiliates and its and their respective directors, officers, employees, agents, representatives, successors and permitted assigns (collectively, the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all Losses imposed upon or incurred by an Indemnified Party to the extent arising out of or resulting from the Indemnifying Party’s or its Affiliates’ material breach of this Agreement, except to the extent that such Losses are primarily caused by the Indemnified Party.</w:t>
      </w:r>
    </w:p>
    <w:p>
      <w:pPr>
        <w:spacing w:after="0" w:line="18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The indemnities provided for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be the sole and exclusive monetary remedy of the Parties hereto and their Affiliates and their respective officers, directors, employees, agents, representatives, successors and permitted assigns for any breach of or inaccuracy in any representation or warranty or any breach, nonfulfillment or default in the performance of any of the covenants or agreements contained in this Agreement, and the Parties shall not be entitled to a rescission of this Agreement or to any further indemnification rights or claims of any nature whatsoever in respect thereof (including any common law rights of contribution), all of which the Parties hereto hereby waive.</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SET FORTH IN THIS AGREEMENT, (A) NO PARTY MAKES ANY REPRESENTATIONS OR WARRANTIES OF ANY KIND, EXPRESS OR IMPLIED, WITH RESPECT TO THE MATERIALS AND SERVICES, AS APPLICABLE, PROVIDED HEREUNDER, AND ALL SUCH MATERIALS AND SERVICES, AS APPLICABLE, ARE PROVIDED ON AN “AS IS” BASIS AND (B) EACH PARTY DISCLAIMS ANY AND ALL WARRANTIES, EXPRESS OR IMPLIED, INCLUDING ANY IMPLIED WARRANTIES OF MERCHANTABILITY, NON-INFRINGEMENT OR FITNESS FOR A PARTICULAR PURPOSE.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left="440" w:right="100" w:firstLine="428"/>
        <w:spacing w:after="0" w:line="273" w:lineRule="auto"/>
        <w:tabs>
          <w:tab w:leader="none" w:pos="110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IN NO EVENT SHALL ANY PARTY BE LIABLE TO THE OTHER PARTY FOR ANY INDIRECT, SPECIAL, EXEMPLARY, PUNITIVE OR CONSEQUENTIAL DAMAGES, OR LOST PROFITS OR LOST REVENUES THAT THE OTHER PARTY MAY INCUR BY REASON OF ITS HAVING ENTERED INTO OR RELIED UPON THIS AGREEMENT, OR IN CONNECTION WITH ANY OF THE SERVICES PROVIDED HEREUNDER OR THE FAILURE THEREOF, REGARDLESS OF THE FORM OF ACTION IN WHICH SUCH DAMAGES ARE ASSERTED, WHETHER IN CONTRACT OR TORT (INCLUDING NEGLIGENCE) OR OTHERWISE, EVEN IF ADVISED OF THE POSSIBILITY OF THE SAME OTHER THAN TO THE EXTENT AWARDED IN A THIRD PARTY CLAIM.</w:t>
      </w:r>
    </w:p>
    <w:p>
      <w:pPr>
        <w:spacing w:after="0" w:line="70" w:lineRule="exact"/>
        <w:rPr>
          <w:rFonts w:ascii="Arial" w:cs="Arial" w:eastAsia="Arial" w:hAnsi="Arial"/>
          <w:sz w:val="17"/>
          <w:szCs w:val="17"/>
          <w:color w:val="auto"/>
        </w:rPr>
      </w:pPr>
    </w:p>
    <w:p>
      <w:pPr>
        <w:ind w:left="440" w:right="100" w:firstLine="428"/>
        <w:spacing w:after="0" w:line="264" w:lineRule="auto"/>
        <w:tabs>
          <w:tab w:leader="none" w:pos="111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EXCEPT WITH RESPECT TO A MATERIAL BREACH CONSTITUTING WILLFUL MISCONDUCT BY A PROVIDER, REPEAT PERFORMANCE OF A SERVICE BY THE PROVIDER OR REFUND OF THE FEES PAID FOR A SERVICE SHALL BE THE SOLE AND EXCLUSIVE REMEDY FOR BREACH OF THE SERVICES STANDARD FOR SUCH SERVICE.</w:t>
      </w:r>
    </w:p>
    <w:p>
      <w:pPr>
        <w:sectPr>
          <w:pgSz w:w="11900" w:h="16838" w:orient="portrait"/>
          <w:cols w:equalWidth="0" w:num="1">
            <w:col w:w="11020"/>
          </w:cols>
          <w:pgMar w:left="440" w:top="274" w:right="439" w:bottom="1440" w:gutter="0" w:footer="0" w:header="0"/>
        </w:sectPr>
      </w:pPr>
    </w:p>
    <w:bookmarkStart w:id="519" w:name="page520"/>
    <w:bookmarkEnd w:id="519"/>
    <w:p>
      <w:pPr>
        <w:ind w:left="440" w:right="720" w:firstLine="428"/>
        <w:spacing w:after="0" w:line="308" w:lineRule="auto"/>
        <w:tabs>
          <w:tab w:leader="none" w:pos="1108" w:val="left"/>
        </w:tabs>
        <w:numPr>
          <w:ilvl w:val="0"/>
          <w:numId w:val="4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 EVENT SHALL A PARTY’S LIABILITY IN RELATION TO SERVICES PROVIDED UNDER THIS AGREEMENT EXCEED THE FEES PAID TO IT UNDER THIS AGREEMENT FOR THE SPECIFIC SERVICE THAT RESULTED IN THE LOSS.</w:t>
      </w:r>
    </w:p>
    <w:p>
      <w:pPr>
        <w:spacing w:after="0" w:line="14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obtain and maintain, for the Term (i) commercial general liability insurance with a single combined liability limit of at least $5,000,000 per occurrence, (ii) workers compensation/employer’s liability insurance with a liability limit of at least $1,000,000 per occurrence or, if greater, the statutory minimum, and (iii) “all risk” property insurance on a replacement cost basis adequate to cover all assets and business interruption Losses that a Party may suffer in connection with or arising out of this Agreement, subject to policy limits, and in the case of the policies described in clause (i) above, naming the other Party as an additional insured thereunder. Upon request, each Party shall provide the other Party a certificate of insurance as proof of insurance coverage.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Force Majeure</w:t>
      </w:r>
      <w:r>
        <w:rPr>
          <w:rFonts w:ascii="Arial" w:cs="Arial" w:eastAsia="Arial" w:hAnsi="Arial"/>
          <w:sz w:val="17"/>
          <w:szCs w:val="17"/>
          <w:color w:val="auto"/>
        </w:rPr>
        <w:t>. In the event that a Party is wholly or partially prevented from, or delayed in, providing one or more Services, or one or more Services are interrupted or suspended, by reason of events beyond their reasonable control, which by their nature were not foreseen, or, if it was foreseen, was not reasonably avoidable, including acts of God, act of Governmental Authority, act of the public enemy or due to fire, explosion, accident, floods, embargoes, epidemics, war, acts of terrorism, nuclear disaster, civil unrest or riots, civil commotion, insurrection, severe or adverse weather conditions, lack of or shortage of adequate electrical power, malfunctions of equipment or software (each,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such Party shall promptly give notice of any such Force Majeure Event to Company and shall indicate in such notice the effect of such event on their ability to perform hereunder and the anticipated duration of such event. The Party whose performance is affected by the Force Majeure Event shall not be obligated to deliver or cause to be delivered the affected Services during such period, and the applicable Party shall not be obligated to pay during such period for any affected Services not delivered. During the duration of a Force Majeure Event, the Party whose performance is affected by the Force Majeure Event shall, and shall cause their relevant Affiliates to, minimize to the extent practicable the effect of the Force Majeure Event on their obligations hereunder and use commercially reasonable efforts to avoid or remove such Force Majeure Event and to resume delivery of the affected Services with the least delay practicable.</w:t>
      </w:r>
    </w:p>
    <w:p>
      <w:pPr>
        <w:spacing w:after="0" w:line="180"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Authority</w:t>
      </w:r>
      <w:r>
        <w:rPr>
          <w:rFonts w:ascii="Arial" w:cs="Arial" w:eastAsia="Arial" w:hAnsi="Arial"/>
          <w:sz w:val="16"/>
          <w:szCs w:val="16"/>
          <w:color w:val="auto"/>
        </w:rPr>
        <w:t>. A Provider shall not be permitted to bind a Recipient or any of its Affiliates or enter into any agreements (oral or written), contracts, leases, licenses or other documents (including the signing of checks, notes, bills of exchange or any other document, or accessing any funds from any bank accounts of Recipient or any of its Affiliates) on behalf of Recipient or any of its Affiliates except with the express prior written consent of Recipient, which consent may be given from time to time as the need arises and for such limited purposes as expressed therein.</w:t>
      </w:r>
    </w:p>
    <w:p>
      <w:pPr>
        <w:sectPr>
          <w:pgSz w:w="11900" w:h="16838" w:orient="portrait"/>
          <w:cols w:equalWidth="0" w:num="1">
            <w:col w:w="11000"/>
          </w:cols>
          <w:pgMar w:left="440" w:top="274" w:right="459" w:bottom="1440" w:gutter="0" w:footer="0" w:header="0"/>
        </w:sectPr>
      </w:pPr>
    </w:p>
    <w:bookmarkStart w:id="520" w:name="page521"/>
    <w:bookmarkEnd w:id="520"/>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to prevent actual or threatened breaches of this Agreement and to enforce specifically the terms and provisions of this Agreement, this being in addition to any other remedy to which they are entitled at law or in equity. For the avoidance of doubt, nothing contained herein shall prevent a Party from seeking damages (to the extent permitted herein) in the event that specific performance is not available.</w:t>
      </w:r>
    </w:p>
    <w:p>
      <w:pPr>
        <w:spacing w:after="0" w:line="187"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Status of Parties</w:t>
      </w:r>
      <w:r>
        <w:rPr>
          <w:rFonts w:ascii="Arial" w:cs="Arial" w:eastAsia="Arial" w:hAnsi="Arial"/>
          <w:sz w:val="17"/>
          <w:szCs w:val="17"/>
          <w:color w:val="auto"/>
        </w:rPr>
        <w:t>. This Agreement is not intended to create, nor will it be deemed or construed to create, any relationship between RGHI and its Affiliates, on the one hand, and Company and its respective Affiliates, on the other hand, other than that of independent entities contracting with each other solely for the purpose of effecting the provisions of this Agreement. Neither RGHI and its Affiliates, on the one hand, nor Company and its Affiliates, on the other hand, shall be construed to be the agent of the other.</w:t>
      </w:r>
    </w:p>
    <w:p>
      <w:pPr>
        <w:spacing w:after="0" w:line="171" w:lineRule="exact"/>
        <w:rPr>
          <w:sz w:val="20"/>
          <w:szCs w:val="20"/>
          <w:color w:val="auto"/>
        </w:rPr>
      </w:pPr>
    </w:p>
    <w:p>
      <w:pPr>
        <w:jc w:val="both"/>
        <w:ind w:right="500" w:firstLine="441"/>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by delivery in person, by facsimile (followed by overnight courier), Email (followed by overnight courier), or by registered or certified mail (postage prepaid, return receipt requested) to the other Party hereto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Company,</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Lake Forest, IL 60045</w:t>
      </w:r>
    </w:p>
    <w:p>
      <w:pPr>
        <w:spacing w:after="0" w:line="23"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Watson</w:t>
      </w:r>
    </w:p>
    <w:p>
      <w:pPr>
        <w:spacing w:after="0" w:line="9"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David.Watson@reynoldsbrands.com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RGHI,</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Reynolds Group Holdings Inc.</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Lake Forest, IL 60045</w:t>
      </w:r>
    </w:p>
    <w:p>
      <w:pPr>
        <w:spacing w:after="0" w:line="23"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Joseph Doyle</w:t>
      </w:r>
    </w:p>
    <w:p>
      <w:pPr>
        <w:spacing w:after="0" w:line="9"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Joseph.Doyle@RankNA.com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Reynolds Group Holdings Limited</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Nine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148 Quay Street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P.O. Box 3515</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Auckland, New Zealand</w:t>
      </w:r>
    </w:p>
    <w:p>
      <w:pPr>
        <w:spacing w:after="0" w:line="9"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Helen Golding</w:t>
      </w:r>
    </w:p>
    <w:p>
      <w:pPr>
        <w:spacing w:after="0" w:line="9" w:lineRule="exact"/>
        <w:rPr>
          <w:sz w:val="20"/>
          <w:szCs w:val="20"/>
          <w:color w:val="auto"/>
        </w:rPr>
      </w:pPr>
    </w:p>
    <w:p>
      <w:pPr>
        <w:ind w:left="112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helen.golding@rankgroup.co.nz</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or such other address, Email or facsimile number as such party may hereafter specify for the purpose by notice to the other Party hereto. All such notices, requests and other communications shall be deemed received on the date of receipt by the recipient thereof if received prior to 5:00 p.m. on a Business Day in the place of receipt. Otherwise, any such notice, request or</w:t>
      </w:r>
    </w:p>
    <w:p>
      <w:pPr>
        <w:sectPr>
          <w:pgSz w:w="11900" w:h="16838" w:orient="portrait"/>
          <w:cols w:equalWidth="0" w:num="1">
            <w:col w:w="11020"/>
          </w:cols>
          <w:pgMar w:left="440" w:top="273" w:right="439" w:bottom="1440" w:gutter="0" w:footer="0" w:header="0"/>
        </w:sectPr>
      </w:pPr>
    </w:p>
    <w:bookmarkStart w:id="521" w:name="page522"/>
    <w:bookmarkEnd w:id="52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 shall be deemed to have been received on the next succeeding Business Day in the place of receipt. Notwithstanding the forgoing, normal business communications with respect to the Services may be given by the Parties by whatever means are usual and appropriate for such types of communications.</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all Exhibits, constitute the sole and entire agreement and supersede all prior agreements, understandings and representations, both written and oral, between the Parties with respect to the subject matter hereof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nothing in this Agreement shall supersede any other agreement or understanding entered into in connection with the initial public offering of the Company</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Waivers and Amendments; Non-Contractual Remedies; Preservation of Remedies</w:t>
      </w:r>
      <w:r>
        <w:rPr>
          <w:rFonts w:ascii="Arial" w:cs="Arial" w:eastAsia="Arial" w:hAnsi="Arial"/>
          <w:sz w:val="16"/>
          <w:szCs w:val="16"/>
          <w:color w:val="auto"/>
        </w:rPr>
        <w:t>. 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Governing Law, etc</w:t>
      </w:r>
      <w:r>
        <w:rPr>
          <w:rFonts w:ascii="Arial" w:cs="Arial" w:eastAsia="Arial" w:hAnsi="Arial"/>
          <w:sz w:val="18"/>
          <w:szCs w:val="18"/>
          <w:color w:val="auto"/>
        </w:rPr>
        <w:t>.</w:t>
      </w:r>
    </w:p>
    <w:p>
      <w:pPr>
        <w:spacing w:after="0" w:line="117" w:lineRule="exact"/>
        <w:rPr>
          <w:sz w:val="20"/>
          <w:szCs w:val="20"/>
          <w:color w:val="auto"/>
        </w:rPr>
      </w:pPr>
    </w:p>
    <w:p>
      <w:pPr>
        <w:ind w:left="440" w:right="20" w:firstLine="428"/>
        <w:spacing w:after="0" w:line="287" w:lineRule="auto"/>
        <w:tabs>
          <w:tab w:leader="none" w:pos="1108"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in all respects, including as to validity, interpretation and effect, by the Laws of the State of Illinois, without giving effect to its principles or rules of conflict of laws, to the extent such principles or rules are not mandatorily applicable by statute and would permit or require the application of the Laws of another jurisdiction. Each of the Parties hereto submits to the jurisdiction of any state or federal court sitting in Lake County, Illinois, in any action or proceeding arising out of or relating to this Agreement, agrees to bring all claims under any theory of liability in respect of such action or proceeding exclusively in any such court and agrees not to bring any action or proceeding arising out of or relating to this Agreement in any other court. Each of the Parties hereto waives any defense of inconvenient forum to the maintenance of any action or proceeding so brought and waives any bond, surety or other security that might be required of any other party with respect thereto. Each Party hereto agrees that service of summons and complaint or any other process that might be served in any action or proceeding may be made on such Party by sending or delivering a copy of the process to the Party to be served at the address of the Party and in the manner provided for the giving of notices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10.8</w:t>
      </w:r>
      <w:r>
        <w:rPr>
          <w:rFonts w:ascii="Arial" w:cs="Arial" w:eastAsia="Arial" w:hAnsi="Arial"/>
          <w:sz w:val="16"/>
          <w:szCs w:val="16"/>
          <w:color w:val="auto"/>
        </w:rPr>
        <w:t>, however, shall affect the right of any Party to serve legal process in any other manner permitted by Law. Each Party hereto agrees that a final, non-appealable judgment in any action or proceeding so brought shall be conclusive and may be enforced by suit on the judgment or in any other manner provided by Law.</w:t>
      </w:r>
    </w:p>
    <w:p>
      <w:pPr>
        <w:sectPr>
          <w:pgSz w:w="11900" w:h="16838" w:orient="portrait"/>
          <w:cols w:equalWidth="0" w:num="1">
            <w:col w:w="11020"/>
          </w:cols>
          <w:pgMar w:left="440" w:top="274" w:right="439" w:bottom="1440" w:gutter="0" w:footer="0" w:header="0"/>
        </w:sectPr>
      </w:pPr>
    </w:p>
    <w:bookmarkStart w:id="522" w:name="page523"/>
    <w:bookmarkEnd w:id="522"/>
    <w:p>
      <w:pPr>
        <w:ind w:left="440" w:right="80" w:firstLine="428"/>
        <w:spacing w:after="0" w:line="273" w:lineRule="auto"/>
        <w:tabs>
          <w:tab w:leader="none" w:pos="1118" w:val="left"/>
        </w:tabs>
        <w:numPr>
          <w:ilvl w:val="0"/>
          <w:numId w:val="4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each hereby waive, to the fullest extent permitted by Law, any right to trial by jury of any claim, demand, action, or cause of action (i) arising under this Agreement or (ii)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 and consent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78"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covenants and agrees that, without any additional consideration, it shall execute and deliver, or shall cause its Affiliates to execute and deliver, such documents and other papers and shall take, or shall cause its Affiliates to take, such further actions as may be reasonably required to carry out the provisions of this Agreement and give effect to the transactions contemplated by this Agreement.</w:t>
      </w:r>
    </w:p>
    <w:p>
      <w:pPr>
        <w:spacing w:after="0" w:line="14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No Party may assign this Agreement, or any of its rights or obligations under this Agreement (whether by operation of Law or otherwise),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any Party may assign any or all of its rights or obligations under this Agreement without the consent of the other Party to: (a) its Affiliates, (b) a purchaser of: (i) one or more of its Affiliates that is a Provider or Recipient under this Agreement; (ii) all or substantially all of the business or assets of one or more of its Affiliates that is a Provider or Recipient under this Agreement; or (iii) all or substantially all of such Party’s business or assets, or (c) its financing sources solely for collateral purposes, in each case so long as the assignee agrees to be bound by the terms of this Agreement. Any permitted assignment shall be binding upon and inure to the benefit of the Parties and their respective heirs, successors and permitted assigns. Any attempted assignment of this Agreement, or the rights or obligations herein, not in accordance with the terms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shall be void. If an RGHI Affiliate Provider is no longer affiliated with RGHI due to the sale of all or substantially all of the business or assets of such Affiliate to a third party, RGHI shall cause such Affiliate to agree to continue providing the Services that it is providing at the time of such transaction consistent with the terms of this Agreement for the remaining Term.</w:t>
      </w:r>
    </w:p>
    <w:p>
      <w:pPr>
        <w:spacing w:after="0" w:line="16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Multi-party Contracts</w:t>
      </w:r>
      <w:r>
        <w:rPr>
          <w:rFonts w:ascii="Arial" w:cs="Arial" w:eastAsia="Arial" w:hAnsi="Arial"/>
          <w:sz w:val="17"/>
          <w:szCs w:val="17"/>
          <w:color w:val="auto"/>
        </w:rPr>
        <w:t>. The Company and RGHI will use all commercially reasonable efforts to obtain within 24 months following the Commencement Date, from the counterparty to each Multi-party Contract any needed consent to separate the portion of such contract that relates to the goods or services purchased from or supplied to the Business under such Multi-party Contract (including but not limited to assignment or partial assignment of such contracts to the Company or RGHI or its Affiliates). The contract constituting the separated portion of any Multi-party Contract that relates to the Business as described in the preceding sentence shall be assumed by and become the responsibility of the Company. Each Party making purchases or receiving services under any Multi-party Contract shall indemnify and hold harmless the other Party and its Affiliates for any claims, damages, etc. arising out of such purchases or receipt of services.</w:t>
      </w:r>
    </w:p>
    <w:p>
      <w:pPr>
        <w:sectPr>
          <w:pgSz w:w="11900" w:h="16838" w:orient="portrait"/>
          <w:cols w:equalWidth="0" w:num="1">
            <w:col w:w="11020"/>
          </w:cols>
          <w:pgMar w:left="440" w:top="273" w:right="439" w:bottom="1440" w:gutter="0" w:footer="0" w:header="0"/>
        </w:sectPr>
      </w:pPr>
    </w:p>
    <w:bookmarkStart w:id="523" w:name="page524"/>
    <w:bookmarkEnd w:id="523"/>
    <w:p>
      <w:pPr>
        <w:ind w:right="60" w:firstLine="44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10.12 </w:t>
      </w:r>
      <w:r>
        <w:rPr>
          <w:rFonts w:ascii="Arial" w:cs="Arial" w:eastAsia="Arial" w:hAnsi="Arial"/>
          <w:sz w:val="18"/>
          <w:szCs w:val="18"/>
          <w:u w:val="single" w:color="auto"/>
          <w:color w:val="auto"/>
        </w:rPr>
        <w:t>Letters of Credit and Guarantees</w:t>
      </w:r>
      <w:r>
        <w:rPr>
          <w:rFonts w:ascii="Arial" w:cs="Arial" w:eastAsia="Arial" w:hAnsi="Arial"/>
          <w:sz w:val="18"/>
          <w:szCs w:val="18"/>
          <w:color w:val="auto"/>
        </w:rPr>
        <w:t>. RGHI and the Company shall use commercially reasonable efforts to cause all RGHI Letters of Credit and RGHI Guarantees, in each case with respect to the Company, to be canceled or terminated, as of the Commencement Date such that RGHI and its Affiliates shall be released and have no further obligation or liability (contingent or otherwise) under such RGHI Letters of Credit or RGHI Guarantees (to the extent applicable to the Company) from and after the Commencement Date. With respect to any RGHI Letters of Credit or RGHI Guarantees not terminated at the Commencement Date, RCP shall use commercially reasonable efforts to replace, cash collateralize or otherwise “backstop” such RGHI Letters of Credit and RGHI Guarantees at or prior to the Commencement Date. Following the Commencement Date, RCP shall indemnify RGHI and its Affiliates against any and all losses suffered or incurred in connection with the Company under the RGHI Guarantees or RGHI Letters of Credit.</w:t>
      </w:r>
    </w:p>
    <w:p>
      <w:pPr>
        <w:spacing w:after="0" w:line="192"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determined by a court of competent jurisdiction to be invalid, illegal or unenforceable, all other provisions of this Agreement shall remain in full force and effect so long as the economic or legal substance of the transactions contemplated hereby is not affected in any manner materially adverse to any Party. Upon any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440" w:right="40" w:firstLine="428"/>
        <w:spacing w:after="0" w:line="277" w:lineRule="auto"/>
        <w:tabs>
          <w:tab w:leader="none" w:pos="110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Parties acknowledge and agree that, except as specifically provided herein, they may pursue judicial remedies at law or equity in the event of a dispute with respect to the interpretation or construction of this Agreement.</w:t>
      </w:r>
    </w:p>
    <w:p>
      <w:pPr>
        <w:spacing w:after="0" w:line="62" w:lineRule="exact"/>
        <w:rPr>
          <w:rFonts w:ascii="Arial" w:cs="Arial" w:eastAsia="Arial" w:hAnsi="Arial"/>
          <w:sz w:val="18"/>
          <w:szCs w:val="18"/>
          <w:color w:val="auto"/>
        </w:rPr>
      </w:pPr>
    </w:p>
    <w:p>
      <w:pPr>
        <w:ind w:left="440" w:right="120" w:firstLine="428"/>
        <w:spacing w:after="0" w:line="277" w:lineRule="auto"/>
        <w:tabs>
          <w:tab w:leader="none" w:pos="111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provisions hereof without the aid of any canon, custom or rule of law requiring or suggesting constitution against the Party causing the drafting of the provision in question.</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Other than the rights granted to the Indemnified Parties under </w:t>
      </w:r>
      <w:r>
        <w:rPr>
          <w:rFonts w:ascii="Arial" w:cs="Arial" w:eastAsia="Arial" w:hAnsi="Arial"/>
          <w:sz w:val="17"/>
          <w:szCs w:val="17"/>
          <w:u w:val="single" w:color="auto"/>
          <w:color w:val="auto"/>
        </w:rPr>
        <w:t>Section 9.1</w:t>
      </w:r>
      <w:r>
        <w:rPr>
          <w:rFonts w:ascii="Arial" w:cs="Arial" w:eastAsia="Arial" w:hAnsi="Arial"/>
          <w:sz w:val="17"/>
          <w:szCs w:val="17"/>
          <w:color w:val="auto"/>
        </w:rPr>
        <w:t>, nothing in this Agreement is intended or shall be construed to give any person, other than the Parties hereto, their successors and permitted novates, transferees and assigns, any legal or equitable right, remedy or claim under or in respect of this Agreement or any provision contained herein.</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and all of which shall together constitute one and the same instrument. Delivery of an executed counterpart of a signature page to this Agreement by facsimile or scanned pages shall be effective as delivery of a manually executed counterpart to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ectPr>
          <w:pgSz w:w="11900" w:h="16838" w:orient="portrait"/>
          <w:cols w:equalWidth="0" w:num="1">
            <w:col w:w="11000"/>
          </w:cols>
          <w:pgMar w:left="440" w:top="273" w:right="459" w:bottom="1440" w:gutter="0" w:footer="0" w:header="0"/>
        </w:sectPr>
      </w:pPr>
    </w:p>
    <w:bookmarkStart w:id="524" w:name="page525"/>
    <w:bookmarkEnd w:id="524"/>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10.18 </w:t>
      </w:r>
      <w:r>
        <w:rPr>
          <w:rFonts w:ascii="Arial" w:cs="Arial" w:eastAsia="Arial" w:hAnsi="Arial"/>
          <w:sz w:val="18"/>
          <w:szCs w:val="18"/>
          <w:u w:val="single" w:color="auto"/>
          <w:color w:val="auto"/>
        </w:rPr>
        <w:t>Order of Precedence</w:t>
      </w:r>
      <w:r>
        <w:rPr>
          <w:rFonts w:ascii="Arial" w:cs="Arial" w:eastAsia="Arial" w:hAnsi="Arial"/>
          <w:sz w:val="18"/>
          <w:szCs w:val="18"/>
          <w:color w:val="auto"/>
        </w:rPr>
        <w:t>. In the event of any conflict between the provisions of any Exhibit and the other provisions of this Agreement, the other provisions of this Agreement shall govern, except to the extent that the relevant provision of the Exhibit expressly identifies the provision of this Agreement it supersedes and expressly indicates that such provision is being superseded or this Agreement expressly indicates that the Exhibit governs.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40"/>
          </w:cols>
          <w:pgMar w:left="440" w:top="274" w:right="519" w:bottom="1440" w:gutter="0" w:footer="0" w:header="0"/>
        </w:sectPr>
      </w:pPr>
    </w:p>
    <w:bookmarkStart w:id="525" w:name="page526"/>
    <w:bookmarkEnd w:id="52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Reynolds Group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3" w:right="1440"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Transition Services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G1: IT Services</w:t>
      </w:r>
      <w:r>
        <w:rPr>
          <w:rFonts w:ascii="Arial" w:cs="Arial" w:eastAsia="Arial" w:hAnsi="Arial"/>
          <w:sz w:val="15"/>
          <w:szCs w:val="15"/>
          <w:b w:val="1"/>
          <w:bCs w:val="1"/>
          <w:color w:val="auto"/>
        </w:rPr>
        <w:t>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Monthly Fee</w:t>
            </w:r>
          </w:p>
        </w:tc>
        <w:tc>
          <w:tcPr>
            <w:tcW w:w="9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5"/>
              </w:rPr>
              <w:t>Monthly Fee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8"/>
              </w:rPr>
              <w:t>(USD) –</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Service Name</w:t>
            </w:r>
          </w:p>
        </w:tc>
        <w:tc>
          <w:tcPr>
            <w:tcW w:w="40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Description of Service</w:t>
            </w:r>
          </w:p>
        </w:tc>
        <w:tc>
          <w:tcPr>
            <w:tcW w:w="11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Term</w:t>
            </w:r>
          </w:p>
        </w:tc>
        <w:tc>
          <w:tcPr>
            <w:tcW w:w="14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9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(USD) –</w:t>
            </w:r>
          </w:p>
        </w:tc>
        <w:tc>
          <w:tcPr>
            <w:tcW w:w="0" w:type="dxa"/>
            <w:vAlign w:val="bottom"/>
          </w:tcPr>
          <w:p>
            <w:pPr>
              <w:spacing w:after="0"/>
              <w:rPr>
                <w:sz w:val="1"/>
                <w:szCs w:val="1"/>
                <w:color w:val="auto"/>
              </w:rPr>
            </w:pPr>
          </w:p>
        </w:tc>
      </w:tr>
      <w:tr>
        <w:trPr>
          <w:trHeight w:val="171"/>
        </w:trPr>
        <w:tc>
          <w:tcPr>
            <w:tcW w:w="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G1.1</w:t>
            </w:r>
          </w:p>
        </w:tc>
        <w:tc>
          <w:tcPr>
            <w:tcW w:w="380" w:type="dxa"/>
            <w:vAlign w:val="bottom"/>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40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Date – 2020</w:t>
            </w:r>
          </w:p>
        </w:tc>
        <w:tc>
          <w:tcPr>
            <w:tcW w:w="9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IT Service Category: Major Applications – Hosting and Infrastructure Support</w:t>
            </w: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000"/>
          </w:cols>
          <w:pgMar w:left="440" w:top="270" w:right="459" w:bottom="1440" w:gutter="0" w:footer="0" w:header="0"/>
        </w:sectPr>
      </w:pPr>
    </w:p>
    <w:p>
      <w:pPr>
        <w:ind w:left="1120"/>
        <w:spacing w:after="0"/>
        <w:tabs>
          <w:tab w:leader="none" w:pos="2960" w:val="left"/>
        </w:tabs>
        <w:rPr>
          <w:sz w:val="20"/>
          <w:szCs w:val="20"/>
          <w:color w:val="auto"/>
        </w:rPr>
      </w:pPr>
      <w:r>
        <w:rPr>
          <w:rFonts w:ascii="Arial" w:cs="Arial" w:eastAsia="Arial" w:hAnsi="Arial"/>
          <w:sz w:val="18"/>
          <w:szCs w:val="18"/>
          <w:i w:val="1"/>
          <w:iCs w:val="1"/>
          <w:color w:val="auto"/>
        </w:rPr>
        <w:t>Hosting – shared and</w:t>
      </w:r>
      <w:r>
        <w:rPr>
          <w:sz w:val="20"/>
          <w:szCs w:val="20"/>
          <w:color w:val="auto"/>
        </w:rPr>
        <w:tab/>
      </w:r>
      <w:r>
        <w:rPr>
          <w:rFonts w:ascii="Arial" w:cs="Arial" w:eastAsia="Arial" w:hAnsi="Arial"/>
          <w:sz w:val="16"/>
          <w:szCs w:val="16"/>
          <w:i w:val="1"/>
          <w:iCs w:val="1"/>
          <w:color w:val="auto"/>
        </w:rPr>
        <w:t>Provision of infrastructure and hosting services at RGHI’s</w:t>
      </w:r>
    </w:p>
    <w:p>
      <w:pPr>
        <w:spacing w:after="0" w:line="23" w:lineRule="exact"/>
        <w:rPr>
          <w:sz w:val="20"/>
          <w:szCs w:val="20"/>
          <w:color w:val="auto"/>
        </w:rPr>
      </w:pPr>
    </w:p>
    <w:p>
      <w:pPr>
        <w:ind w:left="1120"/>
        <w:spacing w:after="0"/>
        <w:tabs>
          <w:tab w:leader="none" w:pos="2960" w:val="left"/>
        </w:tabs>
        <w:rPr>
          <w:sz w:val="20"/>
          <w:szCs w:val="20"/>
          <w:color w:val="auto"/>
        </w:rPr>
      </w:pPr>
      <w:r>
        <w:rPr>
          <w:rFonts w:ascii="Arial" w:cs="Arial" w:eastAsia="Arial" w:hAnsi="Arial"/>
          <w:sz w:val="16"/>
          <w:szCs w:val="16"/>
          <w:i w:val="1"/>
          <w:iCs w:val="1"/>
          <w:color w:val="auto"/>
        </w:rPr>
        <w:t>dedicated</w:t>
      </w:r>
      <w:r>
        <w:rPr>
          <w:sz w:val="20"/>
          <w:szCs w:val="20"/>
          <w:color w:val="auto"/>
        </w:rPr>
        <w:tab/>
      </w:r>
      <w:r>
        <w:rPr>
          <w:rFonts w:ascii="Arial" w:cs="Arial" w:eastAsia="Arial" w:hAnsi="Arial"/>
          <w:sz w:val="16"/>
          <w:szCs w:val="16"/>
          <w:i w:val="1"/>
          <w:iCs w:val="1"/>
          <w:color w:val="auto"/>
        </w:rPr>
        <w:t>data center for shared hardware and hardware dedicated to</w:t>
      </w:r>
    </w:p>
    <w:p>
      <w:pPr>
        <w:spacing w:after="0" w:line="32" w:lineRule="exact"/>
        <w:rPr>
          <w:sz w:val="20"/>
          <w:szCs w:val="20"/>
          <w:color w:val="auto"/>
        </w:rPr>
      </w:pPr>
    </w:p>
    <w:p>
      <w:pPr>
        <w:ind w:left="1120"/>
        <w:spacing w:after="0"/>
        <w:tabs>
          <w:tab w:leader="none" w:pos="2960" w:val="left"/>
        </w:tabs>
        <w:rPr>
          <w:sz w:val="20"/>
          <w:szCs w:val="20"/>
          <w:color w:val="auto"/>
        </w:rPr>
      </w:pPr>
      <w:r>
        <w:rPr>
          <w:rFonts w:ascii="Arial" w:cs="Arial" w:eastAsia="Arial" w:hAnsi="Arial"/>
          <w:sz w:val="18"/>
          <w:szCs w:val="18"/>
          <w:i w:val="1"/>
          <w:iCs w:val="1"/>
          <w:color w:val="auto"/>
        </w:rPr>
        <w:t>environments</w:t>
      </w:r>
      <w:r>
        <w:rPr>
          <w:sz w:val="20"/>
          <w:szCs w:val="20"/>
          <w:color w:val="auto"/>
        </w:rPr>
        <w:tab/>
      </w:r>
      <w:r>
        <w:rPr>
          <w:rFonts w:ascii="Arial" w:cs="Arial" w:eastAsia="Arial" w:hAnsi="Arial"/>
          <w:sz w:val="18"/>
          <w:szCs w:val="18"/>
          <w:i w:val="1"/>
          <w:iCs w:val="1"/>
          <w:color w:val="auto"/>
        </w:rPr>
        <w:t>RCP’s systems. Services include:</w:t>
      </w:r>
    </w:p>
    <w:p>
      <w:pPr>
        <w:spacing w:after="0" w:line="116" w:lineRule="exact"/>
        <w:rPr>
          <w:sz w:val="20"/>
          <w:szCs w:val="20"/>
          <w:color w:val="auto"/>
        </w:rPr>
      </w:pPr>
    </w:p>
    <w:p>
      <w:pPr>
        <w:ind w:left="3340"/>
        <w:spacing w:after="0"/>
        <w:tabs>
          <w:tab w:leader="none" w:pos="3660" w:val="left"/>
        </w:tabs>
        <w:rPr>
          <w:sz w:val="20"/>
          <w:szCs w:val="20"/>
          <w:color w:val="auto"/>
        </w:rPr>
      </w:pPr>
      <w:r>
        <w:rPr>
          <w:rFonts w:ascii="Arial" w:cs="Arial" w:eastAsia="Arial" w:hAnsi="Arial"/>
          <w:sz w:val="16"/>
          <w:szCs w:val="16"/>
          <w:i w:val="1"/>
          <w:iCs w:val="1"/>
          <w:color w:val="auto"/>
        </w:rPr>
        <w:t>•</w:t>
      </w:r>
      <w:r>
        <w:rPr>
          <w:sz w:val="20"/>
          <w:szCs w:val="20"/>
          <w:color w:val="auto"/>
        </w:rPr>
        <w:tab/>
      </w:r>
      <w:r>
        <w:rPr>
          <w:rFonts w:ascii="Arial" w:cs="Arial" w:eastAsia="Arial" w:hAnsi="Arial"/>
          <w:sz w:val="16"/>
          <w:szCs w:val="16"/>
          <w:i w:val="1"/>
          <w:iCs w:val="1"/>
          <w:color w:val="auto"/>
        </w:rPr>
        <w:t>Access to and use of the noted applications groups</w:t>
      </w:r>
    </w:p>
    <w:p>
      <w:pPr>
        <w:spacing w:after="0" w:line="154" w:lineRule="exact"/>
        <w:rPr>
          <w:sz w:val="20"/>
          <w:szCs w:val="20"/>
          <w:color w:val="auto"/>
        </w:rPr>
      </w:pPr>
    </w:p>
    <w:p>
      <w:pPr>
        <w:ind w:left="334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Disaster Recovery</w:t>
      </w:r>
    </w:p>
    <w:p>
      <w:pPr>
        <w:spacing w:after="0" w:line="131" w:lineRule="exact"/>
        <w:rPr>
          <w:sz w:val="20"/>
          <w:szCs w:val="20"/>
          <w:color w:val="auto"/>
        </w:rPr>
      </w:pPr>
    </w:p>
    <w:p>
      <w:pPr>
        <w:ind w:left="334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Administration</w:t>
      </w:r>
    </w:p>
    <w:p>
      <w:pPr>
        <w:spacing w:after="0" w:line="131" w:lineRule="exact"/>
        <w:rPr>
          <w:sz w:val="20"/>
          <w:szCs w:val="20"/>
          <w:color w:val="auto"/>
        </w:rPr>
      </w:pPr>
    </w:p>
    <w:p>
      <w:pPr>
        <w:ind w:left="334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Security management</w:t>
      </w:r>
    </w:p>
    <w:p>
      <w:pPr>
        <w:spacing w:after="0" w:line="131" w:lineRule="exact"/>
        <w:rPr>
          <w:sz w:val="20"/>
          <w:szCs w:val="20"/>
          <w:color w:val="auto"/>
        </w:rPr>
      </w:pPr>
    </w:p>
    <w:p>
      <w:pPr>
        <w:ind w:left="334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Help Desk services</w:t>
      </w:r>
    </w:p>
    <w:p>
      <w:pPr>
        <w:spacing w:after="0" w:line="131" w:lineRule="exact"/>
        <w:rPr>
          <w:sz w:val="20"/>
          <w:szCs w:val="20"/>
          <w:color w:val="auto"/>
        </w:rPr>
      </w:pPr>
    </w:p>
    <w:p>
      <w:pPr>
        <w:ind w:left="334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Backup/restore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All services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group 24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Commencement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can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only be as per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agreed Migration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w:t>
      </w:r>
    </w:p>
    <w:p>
      <w:pPr>
        <w:spacing w:after="0" w:line="724" w:lineRule="exact"/>
        <w:rPr>
          <w:sz w:val="20"/>
          <w:szCs w:val="20"/>
          <w:color w:val="auto"/>
        </w:rPr>
      </w:pPr>
    </w:p>
    <w:p>
      <w:pPr>
        <w:sectPr>
          <w:pgSz w:w="11900" w:h="16838" w:orient="portrait"/>
          <w:cols w:equalWidth="0" w:num="2">
            <w:col w:w="7320" w:space="120"/>
            <w:col w:w="3560"/>
          </w:cols>
          <w:pgMar w:left="440" w:top="270" w:right="459" w:bottom="1440" w:gutter="0" w:footer="0" w:header="0"/>
          <w:type w:val="continuous"/>
        </w:sectPr>
      </w:pPr>
    </w:p>
    <w:p>
      <w:pPr>
        <w:ind w:left="2980"/>
        <w:spacing w:after="0"/>
        <w:rPr>
          <w:sz w:val="20"/>
          <w:szCs w:val="20"/>
          <w:color w:val="auto"/>
        </w:rPr>
      </w:pPr>
      <w:r>
        <w:rPr>
          <w:rFonts w:ascii="Arial" w:cs="Arial" w:eastAsia="Arial" w:hAnsi="Arial"/>
          <w:sz w:val="18"/>
          <w:szCs w:val="18"/>
          <w:i w:val="1"/>
          <w:iCs w:val="1"/>
          <w:color w:val="auto"/>
        </w:rPr>
        <w:t>Service also includes provision of equivalent access to this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set of RCP applications in alternative data center(s) upon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migration to RCP’s new operating environment(s), and/or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equivalent services from alternative providers, managed</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under this Agreement by RGHI.</w:t>
      </w:r>
    </w:p>
    <w:p>
      <w:pPr>
        <w:spacing w:after="0" w:line="116" w:lineRule="exact"/>
        <w:rPr>
          <w:sz w:val="20"/>
          <w:szCs w:val="20"/>
          <w:color w:val="auto"/>
        </w:rPr>
      </w:pPr>
    </w:p>
    <w:p>
      <w:pPr>
        <w:spacing w:after="0"/>
        <w:tabs>
          <w:tab w:leader="none" w:pos="1100" w:val="left"/>
          <w:tab w:leader="none" w:pos="2960" w:val="left"/>
          <w:tab w:leader="none" w:pos="9320" w:val="left"/>
          <w:tab w:leader="none" w:pos="10600" w:val="left"/>
        </w:tabs>
        <w:rPr>
          <w:sz w:val="20"/>
          <w:szCs w:val="20"/>
          <w:color w:val="auto"/>
        </w:rPr>
      </w:pPr>
      <w:r>
        <w:rPr>
          <w:rFonts w:ascii="Arial" w:cs="Arial" w:eastAsia="Arial" w:hAnsi="Arial"/>
          <w:sz w:val="18"/>
          <w:szCs w:val="18"/>
          <w:color w:val="auto"/>
        </w:rPr>
        <w:t>G1.1.1</w:t>
      </w:r>
      <w:r>
        <w:rPr>
          <w:sz w:val="20"/>
          <w:szCs w:val="20"/>
          <w:color w:val="auto"/>
        </w:rPr>
        <w:tab/>
      </w:r>
      <w:r>
        <w:rPr>
          <w:rFonts w:ascii="Arial" w:cs="Arial" w:eastAsia="Arial" w:hAnsi="Arial"/>
          <w:sz w:val="18"/>
          <w:szCs w:val="18"/>
          <w:color w:val="auto"/>
        </w:rPr>
        <w:t>Autosys</w:t>
      </w:r>
      <w:r>
        <w:rPr>
          <w:sz w:val="20"/>
          <w:szCs w:val="20"/>
          <w:color w:val="auto"/>
        </w:rPr>
        <w:tab/>
      </w:r>
      <w:r>
        <w:rPr>
          <w:rFonts w:ascii="Arial" w:cs="Arial" w:eastAsia="Arial" w:hAnsi="Arial"/>
          <w:sz w:val="18"/>
          <w:szCs w:val="18"/>
          <w:color w:val="auto"/>
        </w:rPr>
        <w:t>Job Scheduling and Monitoring System.</w:t>
      </w:r>
      <w:r>
        <w:rPr>
          <w:sz w:val="20"/>
          <w:szCs w:val="20"/>
          <w:color w:val="auto"/>
        </w:rPr>
        <w:tab/>
      </w:r>
      <w:r>
        <w:rPr>
          <w:rFonts w:ascii="Arial" w:cs="Arial" w:eastAsia="Arial" w:hAnsi="Arial"/>
          <w:sz w:val="18"/>
          <w:szCs w:val="18"/>
          <w:color w:val="auto"/>
        </w:rPr>
        <w:t>$10,109</w:t>
      </w:r>
      <w:r>
        <w:rPr>
          <w:sz w:val="20"/>
          <w:szCs w:val="20"/>
          <w:color w:val="auto"/>
        </w:rPr>
        <w:tab/>
      </w:r>
      <w:r>
        <w:rPr>
          <w:rFonts w:ascii="Arial" w:cs="Arial" w:eastAsia="Arial" w:hAnsi="Arial"/>
          <w:sz w:val="18"/>
          <w:szCs w:val="18"/>
          <w:color w:val="auto"/>
        </w:rPr>
        <w:t>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ind w:left="440" w:hanging="436"/>
        <w:spacing w:after="0" w:line="291" w:lineRule="auto"/>
        <w:tabs>
          <w:tab w:leader="none" w:pos="440" w:val="left"/>
        </w:tabs>
        <w:numPr>
          <w:ilvl w:val="0"/>
          <w:numId w:val="460"/>
        </w:numPr>
        <w:rPr>
          <w:rFonts w:ascii="Arial" w:cs="Arial" w:eastAsia="Arial" w:hAnsi="Arial"/>
          <w:sz w:val="14"/>
          <w:szCs w:val="14"/>
          <w:color w:val="auto"/>
        </w:rPr>
      </w:pPr>
      <w:r>
        <w:rPr>
          <w:rFonts w:ascii="Arial" w:cs="Arial" w:eastAsia="Arial" w:hAnsi="Arial"/>
          <w:sz w:val="16"/>
          <w:szCs w:val="16"/>
          <w:color w:val="auto"/>
        </w:rPr>
        <w:t>Where reference is made to RGHI’s data center, this means either (1) the Lincolnshire facility at 605 Heathrow Drive, (2) the Lake Forest backup data center at 1900 West Field Court, or (3) the Cloud Service provider selected to house certain infrastructure operations from time to time during</w:t>
      </w:r>
    </w:p>
    <w:p>
      <w:pPr>
        <w:ind w:left="440"/>
        <w:spacing w:after="0"/>
        <w:rPr>
          <w:sz w:val="20"/>
          <w:szCs w:val="20"/>
          <w:color w:val="auto"/>
        </w:rPr>
      </w:pPr>
      <w:r>
        <w:rPr>
          <w:rFonts w:ascii="Arial" w:cs="Arial" w:eastAsia="Arial" w:hAnsi="Arial"/>
          <w:sz w:val="18"/>
          <w:szCs w:val="18"/>
          <w:color w:val="auto"/>
        </w:rPr>
        <w:t>the Term and migration.</w:t>
      </w:r>
    </w:p>
    <w:p>
      <w:pPr>
        <w:spacing w:after="0" w:line="8" w:lineRule="exact"/>
        <w:rPr>
          <w:sz w:val="20"/>
          <w:szCs w:val="20"/>
          <w:color w:val="auto"/>
        </w:rPr>
      </w:pPr>
    </w:p>
    <w:p>
      <w:pPr>
        <w:ind w:left="440" w:hanging="436"/>
        <w:spacing w:after="0"/>
        <w:tabs>
          <w:tab w:leader="none" w:pos="440" w:val="left"/>
        </w:tabs>
        <w:numPr>
          <w:ilvl w:val="0"/>
          <w:numId w:val="461"/>
        </w:numPr>
        <w:rPr>
          <w:rFonts w:ascii="Arial" w:cs="Arial" w:eastAsia="Arial" w:hAnsi="Arial"/>
          <w:sz w:val="15"/>
          <w:szCs w:val="15"/>
          <w:color w:val="auto"/>
        </w:rPr>
      </w:pPr>
      <w:r>
        <w:rPr>
          <w:rFonts w:ascii="Arial" w:cs="Arial" w:eastAsia="Arial" w:hAnsi="Arial"/>
          <w:sz w:val="18"/>
          <w:szCs w:val="18"/>
          <w:color w:val="auto"/>
        </w:rPr>
        <w:t>Fees for 2021 are not yet finalized, and will be negotiated in good faith by RGHI and RCP during the course of 2020.</w:t>
      </w:r>
    </w:p>
    <w:p>
      <w:pPr>
        <w:sectPr>
          <w:pgSz w:w="11900" w:h="16838" w:orient="portrait"/>
          <w:cols w:equalWidth="0" w:num="1">
            <w:col w:w="11000"/>
          </w:cols>
          <w:pgMar w:left="440" w:top="270" w:right="459" w:bottom="1440" w:gutter="0" w:footer="0" w:header="0"/>
          <w:type w:val="continuous"/>
        </w:sectPr>
      </w:pPr>
    </w:p>
    <w:bookmarkStart w:id="527" w:name="page528"/>
    <w:bookmarkEnd w:id="5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vMerge w:val="restart"/>
          </w:tcPr>
          <w:p>
            <w:pPr>
              <w:spacing w:after="0"/>
              <w:rPr>
                <w:sz w:val="20"/>
                <w:szCs w:val="20"/>
                <w:color w:val="auto"/>
              </w:rPr>
            </w:pPr>
            <w:r>
              <w:rPr>
                <w:rFonts w:ascii="Arial" w:cs="Arial" w:eastAsia="Arial" w:hAnsi="Arial"/>
                <w:sz w:val="18"/>
                <w:szCs w:val="18"/>
                <w:color w:val="auto"/>
              </w:rPr>
              <w:t>G1.1.2</w:t>
            </w:r>
          </w:p>
        </w:tc>
        <w:tc>
          <w:tcPr>
            <w:tcW w:w="280" w:type="dxa"/>
            <w:vAlign w:val="bottom"/>
          </w:tcPr>
          <w:p>
            <w:pPr>
              <w:spacing w:after="0"/>
              <w:rPr>
                <w:sz w:val="16"/>
                <w:szCs w:val="16"/>
                <w:color w:val="auto"/>
              </w:rPr>
            </w:pP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Service Name</w:t>
            </w:r>
          </w:p>
        </w:tc>
        <w:tc>
          <w:tcPr>
            <w:tcW w:w="200" w:type="dxa"/>
            <w:vAlign w:val="bottom"/>
          </w:tcPr>
          <w:p>
            <w:pPr>
              <w:spacing w:after="0"/>
              <w:rPr>
                <w:sz w:val="16"/>
                <w:szCs w:val="16"/>
                <w:color w:val="auto"/>
              </w:rPr>
            </w:pPr>
          </w:p>
        </w:tc>
        <w:tc>
          <w:tcPr>
            <w:tcW w:w="44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Citrix/Virtual</w:t>
            </w:r>
          </w:p>
        </w:tc>
        <w:tc>
          <w:tcPr>
            <w:tcW w:w="20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2"/>
              </w:rPr>
              <w:t>VDI environment for remote application routing and access.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Desktops</w:t>
            </w: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G1.1.3</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w w:val="94"/>
              </w:rPr>
              <w:t>Collaboration – Email,</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MS Exchange email Service, Outlook integration, MS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Instant Messaging &amp;</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teams, and Skype for Business Instant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Teams</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Messaging/Collaboration.</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G1.1.4</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CRM</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1"/>
              </w:rPr>
              <w:t>RCP’s instance of the MS Dynamics Customer Relationship</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Management System.</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G1.1.5</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Easy Software</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Easy payments software suite for Accounts Payable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G1.1.6</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EDI Infrastructure</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Electronic data Interchange services for transactional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interfacing with vendors and suppliers.</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G1.1.7</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HP Dazel</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SAP printing control subsystem.</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G1.1.8</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Hyperion/HFM</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5"/>
              </w:rPr>
              <w:t>Hyperion Financial Management system for consolidation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and reporting.</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G1.1.9</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JDA</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8"/>
              </w:rPr>
              <w:t>JDA suite of applications for planning and transportation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G1.1.10</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RightFax</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Electronic fax messaging system.</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G1.1.11</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RPA/AA</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Automation Anywhere ecosystem for Robotic Process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Automation.</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G1.1.12</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Sabrix</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6"/>
              </w:rPr>
              <w:t>Thomson Reuters Sales and Use Tax calculation Engine.</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G1.1.13</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SharePoint</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6"/>
              </w:rPr>
              <w:t>MS SharePoint environment for collaboration, file-sharing</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and intranet delivery.</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G1.1.14</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w w:val="94"/>
              </w:rPr>
              <w:t>Maintenance Connect</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Plant Maintenance system.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Monthly Fee</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Monthly Fee</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(USD) –</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Term</w:t>
            </w:r>
          </w:p>
        </w:tc>
        <w:tc>
          <w:tcPr>
            <w:tcW w:w="1200" w:type="dxa"/>
            <w:vAlign w:val="bottom"/>
            <w:gridSpan w:val="2"/>
          </w:tcPr>
          <w:p>
            <w:pPr>
              <w:jc w:val="center"/>
              <w:ind w:left="111"/>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26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(USD) –</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 2020</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$5,834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756"/>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$32,155</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$5,073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$4,094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$5,918</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$4,028</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$4,815</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$2,292</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$11,861</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$7,597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$9,649</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$4,316</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bl>
    <w:p>
      <w:pPr>
        <w:sectPr>
          <w:pgSz w:w="11900" w:h="16838" w:orient="portrait"/>
          <w:cols w:equalWidth="0" w:num="2">
            <w:col w:w="7420" w:space="120"/>
            <w:col w:w="3440"/>
          </w:cols>
          <w:pgMar w:left="440" w:top="252" w:right="479" w:bottom="1440" w:gutter="0" w:footer="0" w:header="0"/>
        </w:sectPr>
      </w:pPr>
    </w:p>
    <w:bookmarkStart w:id="528" w:name="page529"/>
    <w:bookmarkEnd w:id="5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Monthly Fee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(USD) –</w:t>
            </w:r>
          </w:p>
        </w:tc>
        <w:tc>
          <w:tcPr>
            <w:tcW w:w="11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Monthly Fee</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Service Name</w:t>
            </w:r>
          </w:p>
        </w:tc>
        <w:tc>
          <w:tcPr>
            <w:tcW w:w="24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Description of Service</w:t>
            </w:r>
          </w:p>
        </w:tc>
        <w:tc>
          <w:tcPr>
            <w:tcW w:w="16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Term</w:t>
            </w:r>
          </w:p>
        </w:tc>
        <w:tc>
          <w:tcPr>
            <w:tcW w:w="162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w w:val="91"/>
              </w:rPr>
              <w:t>Commencement</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G1.2</w:t>
            </w:r>
          </w:p>
        </w:tc>
        <w:tc>
          <w:tcPr>
            <w:tcW w:w="440" w:type="dxa"/>
            <w:vAlign w:val="bottom"/>
          </w:tcPr>
          <w:p>
            <w:pPr>
              <w:spacing w:after="0"/>
              <w:rPr>
                <w:sz w:val="15"/>
                <w:szCs w:val="15"/>
                <w:color w:val="auto"/>
              </w:rPr>
            </w:pPr>
          </w:p>
        </w:tc>
        <w:tc>
          <w:tcPr>
            <w:tcW w:w="3020" w:type="dxa"/>
            <w:vAlign w:val="bottom"/>
            <w:tcBorders>
              <w:bottom w:val="single" w:sz="8" w:color="auto"/>
            </w:tcBorders>
            <w:vMerge w:val="continue"/>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Date – 2020</w:t>
            </w: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8"/>
              </w:rPr>
              <w:t>(USD) – 2021</w:t>
            </w:r>
          </w:p>
        </w:tc>
        <w:tc>
          <w:tcPr>
            <w:tcW w:w="0" w:type="dxa"/>
            <w:vAlign w:val="bottom"/>
          </w:tcPr>
          <w:p>
            <w:pPr>
              <w:spacing w:after="0"/>
              <w:rPr>
                <w:sz w:val="1"/>
                <w:szCs w:val="1"/>
                <w:color w:val="auto"/>
              </w:rPr>
            </w:pPr>
          </w:p>
        </w:tc>
      </w:tr>
      <w:tr>
        <w:trPr>
          <w:trHeight w:val="224"/>
        </w:trPr>
        <w:tc>
          <w:tcPr>
            <w:tcW w:w="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w w:val="91"/>
              </w:rPr>
              <w:t>IT Service Category: Support Services</w:t>
            </w:r>
          </w:p>
        </w:tc>
        <w:tc>
          <w:tcPr>
            <w:tcW w:w="2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040"/>
          </w:cols>
          <w:pgMar w:left="440" w:top="253" w:right="419" w:bottom="1440" w:gutter="0" w:footer="0" w:header="0"/>
        </w:sectPr>
      </w:pPr>
    </w:p>
    <w:p>
      <w:pPr>
        <w:ind w:left="1200"/>
        <w:spacing w:after="0"/>
        <w:tabs>
          <w:tab w:leader="none" w:pos="3160" w:val="left"/>
        </w:tabs>
        <w:rPr>
          <w:sz w:val="20"/>
          <w:szCs w:val="20"/>
          <w:color w:val="auto"/>
        </w:rPr>
      </w:pPr>
      <w:r>
        <w:rPr>
          <w:rFonts w:ascii="Arial" w:cs="Arial" w:eastAsia="Arial" w:hAnsi="Arial"/>
          <w:sz w:val="18"/>
          <w:szCs w:val="18"/>
          <w:i w:val="1"/>
          <w:iCs w:val="1"/>
          <w:color w:val="auto"/>
        </w:rPr>
        <w:t>General support</w:t>
      </w:r>
      <w:r>
        <w:rPr>
          <w:sz w:val="20"/>
          <w:szCs w:val="20"/>
          <w:color w:val="auto"/>
        </w:rPr>
        <w:tab/>
      </w:r>
      <w:r>
        <w:rPr>
          <w:rFonts w:ascii="Arial" w:cs="Arial" w:eastAsia="Arial" w:hAnsi="Arial"/>
          <w:sz w:val="16"/>
          <w:szCs w:val="16"/>
          <w:i w:val="1"/>
          <w:iCs w:val="1"/>
          <w:color w:val="auto"/>
        </w:rPr>
        <w:t>Overall services associated with delivery of general</w:t>
      </w:r>
    </w:p>
    <w:p>
      <w:pPr>
        <w:spacing w:after="0" w:line="23" w:lineRule="exact"/>
        <w:rPr>
          <w:sz w:val="20"/>
          <w:szCs w:val="20"/>
          <w:color w:val="auto"/>
        </w:rPr>
      </w:pPr>
    </w:p>
    <w:p>
      <w:pPr>
        <w:ind w:left="1200"/>
        <w:spacing w:after="0"/>
        <w:tabs>
          <w:tab w:leader="none" w:pos="3160" w:val="left"/>
        </w:tabs>
        <w:rPr>
          <w:sz w:val="20"/>
          <w:szCs w:val="20"/>
          <w:color w:val="auto"/>
        </w:rPr>
      </w:pPr>
      <w:r>
        <w:rPr>
          <w:rFonts w:ascii="Arial" w:cs="Arial" w:eastAsia="Arial" w:hAnsi="Arial"/>
          <w:sz w:val="16"/>
          <w:szCs w:val="16"/>
          <w:i w:val="1"/>
          <w:iCs w:val="1"/>
          <w:color w:val="auto"/>
        </w:rPr>
        <w:t>services</w:t>
      </w:r>
      <w:r>
        <w:rPr>
          <w:sz w:val="20"/>
          <w:szCs w:val="20"/>
          <w:color w:val="auto"/>
        </w:rPr>
        <w:tab/>
      </w:r>
      <w:r>
        <w:rPr>
          <w:rFonts w:ascii="Arial" w:cs="Arial" w:eastAsia="Arial" w:hAnsi="Arial"/>
          <w:sz w:val="16"/>
          <w:szCs w:val="16"/>
          <w:i w:val="1"/>
          <w:iCs w:val="1"/>
          <w:color w:val="auto"/>
        </w:rPr>
        <w:t>support from RGHI to RCP, including components</w:t>
      </w:r>
    </w:p>
    <w:p>
      <w:pPr>
        <w:spacing w:after="0" w:line="32" w:lineRule="exact"/>
        <w:rPr>
          <w:sz w:val="20"/>
          <w:szCs w:val="20"/>
          <w:color w:val="auto"/>
        </w:rPr>
      </w:pPr>
    </w:p>
    <w:p>
      <w:pPr>
        <w:jc w:val="center"/>
        <w:ind w:left="20"/>
        <w:spacing w:after="0"/>
        <w:rPr>
          <w:sz w:val="20"/>
          <w:szCs w:val="20"/>
          <w:color w:val="auto"/>
        </w:rPr>
      </w:pPr>
      <w:r>
        <w:rPr>
          <w:rFonts w:ascii="Arial" w:cs="Arial" w:eastAsia="Arial" w:hAnsi="Arial"/>
          <w:sz w:val="18"/>
          <w:szCs w:val="18"/>
          <w:i w:val="1"/>
          <w:iCs w:val="1"/>
          <w:color w:val="auto"/>
        </w:rPr>
        <w:t>such as:</w:t>
      </w:r>
    </w:p>
    <w:p>
      <w:pPr>
        <w:spacing w:after="0" w:line="116" w:lineRule="exact"/>
        <w:rPr>
          <w:sz w:val="20"/>
          <w:szCs w:val="20"/>
          <w:color w:val="auto"/>
        </w:rPr>
      </w:pPr>
    </w:p>
    <w:p>
      <w:pPr>
        <w:ind w:left="3540"/>
        <w:spacing w:after="0"/>
        <w:tabs>
          <w:tab w:leader="none" w:pos="3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Administration of vendors</w:t>
      </w:r>
    </w:p>
    <w:p>
      <w:pPr>
        <w:spacing w:after="0" w:line="131" w:lineRule="exact"/>
        <w:rPr>
          <w:sz w:val="20"/>
          <w:szCs w:val="20"/>
          <w:color w:val="auto"/>
        </w:rPr>
      </w:pPr>
    </w:p>
    <w:p>
      <w:pPr>
        <w:ind w:left="3540"/>
        <w:spacing w:after="0"/>
        <w:tabs>
          <w:tab w:leader="none" w:pos="3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Procurement</w:t>
      </w:r>
    </w:p>
    <w:p>
      <w:pPr>
        <w:spacing w:after="0" w:line="131" w:lineRule="exact"/>
        <w:rPr>
          <w:sz w:val="20"/>
          <w:szCs w:val="20"/>
          <w:color w:val="auto"/>
        </w:rPr>
      </w:pPr>
    </w:p>
    <w:p>
      <w:pPr>
        <w:ind w:left="3540"/>
        <w:spacing w:after="0"/>
        <w:tabs>
          <w:tab w:leader="none" w:pos="3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Network management</w:t>
      </w:r>
    </w:p>
    <w:p>
      <w:pPr>
        <w:spacing w:after="0" w:line="131" w:lineRule="exact"/>
        <w:rPr>
          <w:sz w:val="20"/>
          <w:szCs w:val="20"/>
          <w:color w:val="auto"/>
        </w:rPr>
      </w:pPr>
    </w:p>
    <w:p>
      <w:pPr>
        <w:ind w:left="3540"/>
        <w:spacing w:after="0"/>
        <w:tabs>
          <w:tab w:leader="none" w:pos="3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Infrastructure administration and</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All services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group 24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Commencement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can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only be as per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agreed Migration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w:t>
      </w:r>
    </w:p>
    <w:p>
      <w:pPr>
        <w:spacing w:after="0" w:line="264" w:lineRule="exact"/>
        <w:rPr>
          <w:sz w:val="20"/>
          <w:szCs w:val="20"/>
          <w:color w:val="auto"/>
        </w:rPr>
      </w:pPr>
    </w:p>
    <w:p>
      <w:pPr>
        <w:sectPr>
          <w:pgSz w:w="11900" w:h="16838" w:orient="portrait"/>
          <w:cols w:equalWidth="0" w:num="2">
            <w:col w:w="6920" w:space="220"/>
            <w:col w:w="3900"/>
          </w:cols>
          <w:pgMar w:left="440" w:top="253"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G1.2.1</w:t>
            </w:r>
          </w:p>
        </w:tc>
        <w:tc>
          <w:tcPr>
            <w:tcW w:w="2100" w:type="dxa"/>
            <w:vAlign w:val="bottom"/>
          </w:tcPr>
          <w:p>
            <w:pPr>
              <w:ind w:left="360"/>
              <w:spacing w:after="0"/>
              <w:rPr>
                <w:sz w:val="20"/>
                <w:szCs w:val="20"/>
                <w:color w:val="auto"/>
              </w:rPr>
            </w:pPr>
            <w:r>
              <w:rPr>
                <w:rFonts w:ascii="Arial" w:cs="Arial" w:eastAsia="Arial" w:hAnsi="Arial"/>
                <w:sz w:val="18"/>
                <w:szCs w:val="18"/>
                <w:color w:val="auto"/>
              </w:rPr>
              <w:t>Site Security</w:t>
            </w:r>
          </w:p>
        </w:tc>
        <w:tc>
          <w:tcPr>
            <w:tcW w:w="5100" w:type="dxa"/>
            <w:vAlign w:val="bottom"/>
          </w:tcPr>
          <w:p>
            <w:pPr>
              <w:ind w:left="240"/>
              <w:spacing w:after="0"/>
              <w:rPr>
                <w:sz w:val="20"/>
                <w:szCs w:val="20"/>
                <w:color w:val="auto"/>
              </w:rPr>
            </w:pPr>
            <w:r>
              <w:rPr>
                <w:rFonts w:ascii="Arial" w:cs="Arial" w:eastAsia="Arial" w:hAnsi="Arial"/>
                <w:sz w:val="18"/>
                <w:szCs w:val="18"/>
                <w:color w:val="auto"/>
              </w:rPr>
              <w:t>Management of various site security systems, badge</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Application Services</w:t>
            </w:r>
          </w:p>
        </w:tc>
        <w:tc>
          <w:tcPr>
            <w:tcW w:w="5100" w:type="dxa"/>
            <w:vAlign w:val="bottom"/>
          </w:tcPr>
          <w:p>
            <w:pPr>
              <w:ind w:left="240"/>
              <w:spacing w:after="0"/>
              <w:rPr>
                <w:sz w:val="20"/>
                <w:szCs w:val="20"/>
                <w:color w:val="auto"/>
              </w:rPr>
            </w:pPr>
            <w:r>
              <w:rPr>
                <w:rFonts w:ascii="Arial" w:cs="Arial" w:eastAsia="Arial" w:hAnsi="Arial"/>
                <w:sz w:val="18"/>
                <w:szCs w:val="18"/>
                <w:color w:val="auto"/>
              </w:rPr>
              <w:t>processing, video surveillance.</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$1,583</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G1.2.2</w:t>
            </w:r>
          </w:p>
        </w:tc>
        <w:tc>
          <w:tcPr>
            <w:tcW w:w="2100" w:type="dxa"/>
            <w:vAlign w:val="bottom"/>
          </w:tcPr>
          <w:p>
            <w:pPr>
              <w:ind w:left="360"/>
              <w:spacing w:after="0"/>
              <w:rPr>
                <w:sz w:val="20"/>
                <w:szCs w:val="20"/>
                <w:color w:val="auto"/>
              </w:rPr>
            </w:pPr>
            <w:r>
              <w:rPr>
                <w:rFonts w:ascii="Arial" w:cs="Arial" w:eastAsia="Arial" w:hAnsi="Arial"/>
                <w:sz w:val="18"/>
                <w:szCs w:val="18"/>
                <w:color w:val="auto"/>
              </w:rPr>
              <w:t>Desktop &amp; Site</w:t>
            </w:r>
          </w:p>
        </w:tc>
        <w:tc>
          <w:tcPr>
            <w:tcW w:w="5100" w:type="dxa"/>
            <w:vAlign w:val="bottom"/>
          </w:tcPr>
          <w:p>
            <w:pPr>
              <w:ind w:left="240"/>
              <w:spacing w:after="0"/>
              <w:rPr>
                <w:sz w:val="20"/>
                <w:szCs w:val="20"/>
                <w:color w:val="auto"/>
              </w:rPr>
            </w:pPr>
            <w:r>
              <w:rPr>
                <w:rFonts w:ascii="Arial" w:cs="Arial" w:eastAsia="Arial" w:hAnsi="Arial"/>
                <w:sz w:val="18"/>
                <w:szCs w:val="18"/>
                <w:color w:val="auto"/>
              </w:rPr>
              <w:t>Centralized management services for facility</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Management</w:t>
            </w:r>
          </w:p>
        </w:tc>
        <w:tc>
          <w:tcPr>
            <w:tcW w:w="5100" w:type="dxa"/>
            <w:vAlign w:val="bottom"/>
          </w:tcPr>
          <w:p>
            <w:pPr>
              <w:ind w:left="240"/>
              <w:spacing w:after="0"/>
              <w:rPr>
                <w:sz w:val="20"/>
                <w:szCs w:val="20"/>
                <w:color w:val="auto"/>
              </w:rPr>
            </w:pPr>
            <w:r>
              <w:rPr>
                <w:rFonts w:ascii="Arial" w:cs="Arial" w:eastAsia="Arial" w:hAnsi="Arial"/>
                <w:sz w:val="18"/>
                <w:szCs w:val="18"/>
                <w:color w:val="auto"/>
              </w:rPr>
              <w:t>environments: patching, backup, package delivery,</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imaging, RF device support.</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$39,079</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G1.2.3</w:t>
            </w:r>
          </w:p>
        </w:tc>
        <w:tc>
          <w:tcPr>
            <w:tcW w:w="2100" w:type="dxa"/>
            <w:vAlign w:val="bottom"/>
          </w:tcPr>
          <w:p>
            <w:pPr>
              <w:ind w:left="360"/>
              <w:spacing w:after="0"/>
              <w:rPr>
                <w:sz w:val="20"/>
                <w:szCs w:val="20"/>
                <w:color w:val="auto"/>
              </w:rPr>
            </w:pPr>
            <w:r>
              <w:rPr>
                <w:rFonts w:ascii="Arial" w:cs="Arial" w:eastAsia="Arial" w:hAnsi="Arial"/>
                <w:sz w:val="18"/>
                <w:szCs w:val="18"/>
                <w:color w:val="auto"/>
              </w:rPr>
              <w:t>IT Security</w:t>
            </w:r>
          </w:p>
        </w:tc>
        <w:tc>
          <w:tcPr>
            <w:tcW w:w="5100" w:type="dxa"/>
            <w:vAlign w:val="bottom"/>
          </w:tcPr>
          <w:p>
            <w:pPr>
              <w:ind w:left="240"/>
              <w:spacing w:after="0"/>
              <w:rPr>
                <w:sz w:val="20"/>
                <w:szCs w:val="20"/>
                <w:color w:val="auto"/>
              </w:rPr>
            </w:pPr>
            <w:r>
              <w:rPr>
                <w:rFonts w:ascii="Arial" w:cs="Arial" w:eastAsia="Arial" w:hAnsi="Arial"/>
                <w:sz w:val="18"/>
                <w:szCs w:val="18"/>
                <w:color w:val="auto"/>
              </w:rPr>
              <w:t>Management of security provisioning for all</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Provisioning</w:t>
            </w:r>
          </w:p>
        </w:tc>
        <w:tc>
          <w:tcPr>
            <w:tcW w:w="5100" w:type="dxa"/>
            <w:vAlign w:val="bottom"/>
          </w:tcPr>
          <w:p>
            <w:pPr>
              <w:ind w:left="240"/>
              <w:spacing w:after="0"/>
              <w:rPr>
                <w:sz w:val="20"/>
                <w:szCs w:val="20"/>
                <w:color w:val="auto"/>
              </w:rPr>
            </w:pPr>
            <w:r>
              <w:rPr>
                <w:rFonts w:ascii="Arial" w:cs="Arial" w:eastAsia="Arial" w:hAnsi="Arial"/>
                <w:sz w:val="18"/>
                <w:szCs w:val="18"/>
                <w:color w:val="auto"/>
              </w:rPr>
              <w:t>applications and access, including SSO and AD.</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$18,479</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G1.2.4</w:t>
            </w:r>
          </w:p>
        </w:tc>
        <w:tc>
          <w:tcPr>
            <w:tcW w:w="2100" w:type="dxa"/>
            <w:vAlign w:val="bottom"/>
          </w:tcPr>
          <w:p>
            <w:pPr>
              <w:ind w:left="360"/>
              <w:spacing w:after="0"/>
              <w:rPr>
                <w:sz w:val="20"/>
                <w:szCs w:val="20"/>
                <w:color w:val="auto"/>
              </w:rPr>
            </w:pPr>
            <w:r>
              <w:rPr>
                <w:rFonts w:ascii="Arial" w:cs="Arial" w:eastAsia="Arial" w:hAnsi="Arial"/>
                <w:sz w:val="18"/>
                <w:szCs w:val="18"/>
                <w:color w:val="auto"/>
              </w:rPr>
              <w:t>IT Procurement</w:t>
            </w:r>
          </w:p>
        </w:tc>
        <w:tc>
          <w:tcPr>
            <w:tcW w:w="5100" w:type="dxa"/>
            <w:vAlign w:val="bottom"/>
          </w:tcPr>
          <w:p>
            <w:pPr>
              <w:ind w:left="240"/>
              <w:spacing w:after="0"/>
              <w:rPr>
                <w:sz w:val="20"/>
                <w:szCs w:val="20"/>
                <w:color w:val="auto"/>
              </w:rPr>
            </w:pPr>
            <w:r>
              <w:rPr>
                <w:rFonts w:ascii="Arial" w:cs="Arial" w:eastAsia="Arial" w:hAnsi="Arial"/>
                <w:sz w:val="18"/>
                <w:szCs w:val="18"/>
                <w:color w:val="auto"/>
              </w:rPr>
              <w:t>Handling of procurement activities for existing and</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new vendors, including contract management, SOW</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completion, PR and PO processing.</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$9,233</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G1.2.5</w:t>
            </w:r>
          </w:p>
        </w:tc>
        <w:tc>
          <w:tcPr>
            <w:tcW w:w="2100" w:type="dxa"/>
            <w:vAlign w:val="bottom"/>
          </w:tcPr>
          <w:p>
            <w:pPr>
              <w:ind w:left="360"/>
              <w:spacing w:after="0"/>
              <w:rPr>
                <w:sz w:val="20"/>
                <w:szCs w:val="20"/>
                <w:color w:val="auto"/>
              </w:rPr>
            </w:pPr>
            <w:r>
              <w:rPr>
                <w:rFonts w:ascii="Arial" w:cs="Arial" w:eastAsia="Arial" w:hAnsi="Arial"/>
                <w:sz w:val="18"/>
                <w:szCs w:val="18"/>
                <w:color w:val="auto"/>
              </w:rPr>
              <w:t>IT Finance</w:t>
            </w:r>
          </w:p>
        </w:tc>
        <w:tc>
          <w:tcPr>
            <w:tcW w:w="5100" w:type="dxa"/>
            <w:vAlign w:val="bottom"/>
          </w:tcPr>
          <w:p>
            <w:pPr>
              <w:ind w:left="240"/>
              <w:spacing w:after="0"/>
              <w:rPr>
                <w:sz w:val="20"/>
                <w:szCs w:val="20"/>
                <w:color w:val="auto"/>
              </w:rPr>
            </w:pPr>
            <w:r>
              <w:rPr>
                <w:rFonts w:ascii="Arial" w:cs="Arial" w:eastAsia="Arial" w:hAnsi="Arial"/>
                <w:sz w:val="18"/>
                <w:szCs w:val="18"/>
                <w:color w:val="auto"/>
              </w:rPr>
              <w:t>Payments, allocation processing, invoicing &amp;</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reporting, and budgeting for existing and new</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vendors.</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$11,113</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G1.2.6</w:t>
            </w:r>
          </w:p>
        </w:tc>
        <w:tc>
          <w:tcPr>
            <w:tcW w:w="2100" w:type="dxa"/>
            <w:vAlign w:val="bottom"/>
          </w:tcPr>
          <w:p>
            <w:pPr>
              <w:ind w:left="360"/>
              <w:spacing w:after="0"/>
              <w:rPr>
                <w:sz w:val="20"/>
                <w:szCs w:val="20"/>
                <w:color w:val="auto"/>
              </w:rPr>
            </w:pPr>
            <w:r>
              <w:rPr>
                <w:rFonts w:ascii="Arial" w:cs="Arial" w:eastAsia="Arial" w:hAnsi="Arial"/>
                <w:sz w:val="18"/>
                <w:szCs w:val="18"/>
                <w:color w:val="auto"/>
              </w:rPr>
              <w:t>Voice and Cellular</w:t>
            </w:r>
          </w:p>
        </w:tc>
        <w:tc>
          <w:tcPr>
            <w:tcW w:w="5100" w:type="dxa"/>
            <w:vAlign w:val="bottom"/>
          </w:tcPr>
          <w:p>
            <w:pPr>
              <w:ind w:left="240"/>
              <w:spacing w:after="0"/>
              <w:rPr>
                <w:sz w:val="20"/>
                <w:szCs w:val="20"/>
                <w:color w:val="auto"/>
              </w:rPr>
            </w:pPr>
            <w:r>
              <w:rPr>
                <w:rFonts w:ascii="Arial" w:cs="Arial" w:eastAsia="Arial" w:hAnsi="Arial"/>
                <w:sz w:val="18"/>
                <w:szCs w:val="18"/>
                <w:color w:val="auto"/>
              </w:rPr>
              <w:t>General provisioning and management of VOIP</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Phone Support</w:t>
            </w:r>
          </w:p>
        </w:tc>
        <w:tc>
          <w:tcPr>
            <w:tcW w:w="5100" w:type="dxa"/>
            <w:vAlign w:val="bottom"/>
          </w:tcPr>
          <w:p>
            <w:pPr>
              <w:ind w:left="240"/>
              <w:spacing w:after="0"/>
              <w:rPr>
                <w:sz w:val="20"/>
                <w:szCs w:val="20"/>
                <w:color w:val="auto"/>
              </w:rPr>
            </w:pPr>
            <w:r>
              <w:rPr>
                <w:rFonts w:ascii="Arial" w:cs="Arial" w:eastAsia="Arial" w:hAnsi="Arial"/>
                <w:sz w:val="18"/>
                <w:szCs w:val="18"/>
                <w:color w:val="auto"/>
              </w:rPr>
              <w:t>services and CRU mobility with vendors.</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$12,137</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G1.2.7</w:t>
            </w:r>
          </w:p>
        </w:tc>
        <w:tc>
          <w:tcPr>
            <w:tcW w:w="2100" w:type="dxa"/>
            <w:vAlign w:val="bottom"/>
          </w:tcPr>
          <w:p>
            <w:pPr>
              <w:ind w:left="360"/>
              <w:spacing w:after="0"/>
              <w:rPr>
                <w:sz w:val="20"/>
                <w:szCs w:val="20"/>
                <w:color w:val="auto"/>
              </w:rPr>
            </w:pPr>
            <w:r>
              <w:rPr>
                <w:rFonts w:ascii="Arial" w:cs="Arial" w:eastAsia="Arial" w:hAnsi="Arial"/>
                <w:sz w:val="18"/>
                <w:szCs w:val="18"/>
                <w:color w:val="auto"/>
              </w:rPr>
              <w:t>Microsoft Tenant</w:t>
            </w:r>
          </w:p>
        </w:tc>
        <w:tc>
          <w:tcPr>
            <w:tcW w:w="5100" w:type="dxa"/>
            <w:vAlign w:val="bottom"/>
          </w:tcPr>
          <w:p>
            <w:pPr>
              <w:ind w:left="240"/>
              <w:spacing w:after="0"/>
              <w:rPr>
                <w:sz w:val="20"/>
                <w:szCs w:val="20"/>
                <w:color w:val="auto"/>
              </w:rPr>
            </w:pPr>
            <w:r>
              <w:rPr>
                <w:rFonts w:ascii="Arial" w:cs="Arial" w:eastAsia="Arial" w:hAnsi="Arial"/>
                <w:sz w:val="18"/>
                <w:szCs w:val="18"/>
                <w:color w:val="auto"/>
              </w:rPr>
              <w:t>Interaction with the MS cloud services agency for</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Management</w:t>
            </w:r>
          </w:p>
        </w:tc>
        <w:tc>
          <w:tcPr>
            <w:tcW w:w="5100" w:type="dxa"/>
            <w:vAlign w:val="bottom"/>
          </w:tcPr>
          <w:p>
            <w:pPr>
              <w:ind w:left="240"/>
              <w:spacing w:after="0"/>
              <w:rPr>
                <w:sz w:val="20"/>
                <w:szCs w:val="20"/>
                <w:color w:val="auto"/>
              </w:rPr>
            </w:pPr>
            <w:r>
              <w:rPr>
                <w:rFonts w:ascii="Arial" w:cs="Arial" w:eastAsia="Arial" w:hAnsi="Arial"/>
                <w:sz w:val="18"/>
                <w:szCs w:val="18"/>
                <w:color w:val="auto"/>
              </w:rPr>
              <w:t>MS tenancy management and administration in</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Azure.</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$15,637</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G1.2.8</w:t>
            </w:r>
          </w:p>
        </w:tc>
        <w:tc>
          <w:tcPr>
            <w:tcW w:w="2100" w:type="dxa"/>
            <w:vAlign w:val="bottom"/>
          </w:tcPr>
          <w:p>
            <w:pPr>
              <w:ind w:left="360"/>
              <w:spacing w:after="0"/>
              <w:rPr>
                <w:sz w:val="20"/>
                <w:szCs w:val="20"/>
                <w:color w:val="auto"/>
              </w:rPr>
            </w:pPr>
            <w:r>
              <w:rPr>
                <w:rFonts w:ascii="Arial" w:cs="Arial" w:eastAsia="Arial" w:hAnsi="Arial"/>
                <w:sz w:val="18"/>
                <w:szCs w:val="18"/>
                <w:color w:val="auto"/>
              </w:rPr>
              <w:t>AWS Tenant</w:t>
            </w:r>
          </w:p>
        </w:tc>
        <w:tc>
          <w:tcPr>
            <w:tcW w:w="5100" w:type="dxa"/>
            <w:vAlign w:val="bottom"/>
          </w:tcPr>
          <w:p>
            <w:pPr>
              <w:ind w:left="240"/>
              <w:spacing w:after="0"/>
              <w:rPr>
                <w:sz w:val="20"/>
                <w:szCs w:val="20"/>
                <w:color w:val="auto"/>
              </w:rPr>
            </w:pPr>
            <w:r>
              <w:rPr>
                <w:rFonts w:ascii="Arial" w:cs="Arial" w:eastAsia="Arial" w:hAnsi="Arial"/>
                <w:sz w:val="18"/>
                <w:szCs w:val="18"/>
                <w:color w:val="auto"/>
              </w:rPr>
              <w:t>Interaction with the AWS cloud services agency and</w:t>
            </w: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100" w:type="dxa"/>
            <w:vAlign w:val="bottom"/>
          </w:tcPr>
          <w:p>
            <w:pPr>
              <w:ind w:left="360"/>
              <w:spacing w:after="0"/>
              <w:rPr>
                <w:sz w:val="20"/>
                <w:szCs w:val="20"/>
                <w:color w:val="auto"/>
              </w:rPr>
            </w:pPr>
            <w:r>
              <w:rPr>
                <w:rFonts w:ascii="Arial" w:cs="Arial" w:eastAsia="Arial" w:hAnsi="Arial"/>
                <w:sz w:val="18"/>
                <w:szCs w:val="18"/>
                <w:color w:val="auto"/>
              </w:rPr>
              <w:t>Management</w:t>
            </w:r>
          </w:p>
        </w:tc>
        <w:tc>
          <w:tcPr>
            <w:tcW w:w="5100" w:type="dxa"/>
            <w:vAlign w:val="bottom"/>
          </w:tcPr>
          <w:p>
            <w:pPr>
              <w:ind w:left="240"/>
              <w:spacing w:after="0"/>
              <w:rPr>
                <w:sz w:val="20"/>
                <w:szCs w:val="20"/>
                <w:color w:val="auto"/>
              </w:rPr>
            </w:pPr>
            <w:r>
              <w:rPr>
                <w:rFonts w:ascii="Arial" w:cs="Arial" w:eastAsia="Arial" w:hAnsi="Arial"/>
                <w:sz w:val="18"/>
                <w:szCs w:val="18"/>
                <w:color w:val="auto"/>
              </w:rPr>
              <w:t>LemonGrass for AWS tenancy management and</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administration in Amazon.</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$36,835</w:t>
            </w:r>
          </w:p>
        </w:tc>
        <w:tc>
          <w:tcPr>
            <w:tcW w:w="840" w:type="dxa"/>
            <w:vAlign w:val="bottom"/>
          </w:tcPr>
          <w:p>
            <w:pPr>
              <w:ind w:left="480"/>
              <w:spacing w:after="0"/>
              <w:rPr>
                <w:sz w:val="20"/>
                <w:szCs w:val="20"/>
                <w:color w:val="auto"/>
              </w:rPr>
            </w:pPr>
            <w:r>
              <w:rPr>
                <w:rFonts w:ascii="Arial" w:cs="Arial" w:eastAsia="Arial" w:hAnsi="Arial"/>
                <w:sz w:val="18"/>
                <w:szCs w:val="18"/>
                <w:color w:val="auto"/>
                <w:w w:val="94"/>
              </w:rPr>
              <w:t>TBD</w:t>
            </w:r>
          </w:p>
        </w:tc>
      </w:tr>
    </w:tbl>
    <w:p>
      <w:pPr>
        <w:sectPr>
          <w:pgSz w:w="11900" w:h="16838" w:orient="portrait"/>
          <w:cols w:equalWidth="0" w:num="1">
            <w:col w:w="11040"/>
          </w:cols>
          <w:pgMar w:left="440" w:top="253" w:right="419" w:bottom="1440" w:gutter="0" w:footer="0" w:header="0"/>
          <w:type w:val="continuous"/>
        </w:sectPr>
      </w:pPr>
    </w:p>
    <w:bookmarkStart w:id="529" w:name="page530"/>
    <w:bookmarkEnd w:id="5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vMerge w:val="restart"/>
          </w:tcPr>
          <w:p>
            <w:pPr>
              <w:spacing w:after="0"/>
              <w:rPr>
                <w:sz w:val="20"/>
                <w:szCs w:val="20"/>
                <w:color w:val="auto"/>
              </w:rPr>
            </w:pPr>
            <w:r>
              <w:rPr>
                <w:rFonts w:ascii="Arial" w:cs="Arial" w:eastAsia="Arial" w:hAnsi="Arial"/>
                <w:sz w:val="18"/>
                <w:szCs w:val="18"/>
                <w:color w:val="auto"/>
              </w:rPr>
              <w:t>G1.2.9</w:t>
            </w:r>
          </w:p>
        </w:tc>
        <w:tc>
          <w:tcPr>
            <w:tcW w:w="320" w:type="dxa"/>
            <w:vAlign w:val="bottom"/>
          </w:tcPr>
          <w:p>
            <w:pPr>
              <w:spacing w:after="0"/>
              <w:rPr>
                <w:sz w:val="16"/>
                <w:szCs w:val="16"/>
                <w:color w:val="auto"/>
              </w:rPr>
            </w:pP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220" w:type="dxa"/>
            <w:vAlign w:val="bottom"/>
          </w:tcPr>
          <w:p>
            <w:pPr>
              <w:spacing w:after="0"/>
              <w:rPr>
                <w:sz w:val="16"/>
                <w:szCs w:val="16"/>
                <w:color w:val="auto"/>
              </w:rPr>
            </w:pPr>
          </w:p>
        </w:tc>
        <w:tc>
          <w:tcPr>
            <w:tcW w:w="37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LAN &amp; WAN</w:t>
            </w:r>
          </w:p>
        </w:tc>
        <w:tc>
          <w:tcPr>
            <w:tcW w:w="22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Provisioning, monitoring, troubleshooting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Management</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administration of all long distance and local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network facilities, including AT&amp;T (and other)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w w:val="93"/>
              </w:rPr>
              <w:t>MPLS, DMVPN, Routers and Switches, and Wi-Fi</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APs.</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G1.2.10</w:t>
            </w: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Governance</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w w:val="96"/>
              </w:rPr>
              <w:t>Overall management of services delivered under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this Agreement.</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G1.2.11</w:t>
            </w: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SAP Basis</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Support for SAP technical environment,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configuration, and database management.</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G1.2.12</w:t>
            </w: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SQL Management</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w w:val="97"/>
              </w:rPr>
              <w:t>Management of environments for miscellaneous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MS SQL databases/systems.</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G1.2.13</w:t>
            </w: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Base Infrastructure</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All management and administration of core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datacenter environments in support of all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centralized applications and utility delivery,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including all services associated with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Lincolnshire Data Center, Cloud Hosting</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environments, third party administration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support services.</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i w:val="1"/>
                <w:iCs w:val="1"/>
                <w:color w:val="auto"/>
              </w:rPr>
              <w:t>G1.3</w:t>
            </w:r>
          </w:p>
        </w:tc>
        <w:tc>
          <w:tcPr>
            <w:tcW w:w="6020" w:type="dxa"/>
            <w:vAlign w:val="bottom"/>
            <w:gridSpan w:val="4"/>
          </w:tcPr>
          <w:p>
            <w:pPr>
              <w:ind w:left="300"/>
              <w:spacing w:after="0"/>
              <w:rPr>
                <w:sz w:val="20"/>
                <w:szCs w:val="20"/>
                <w:color w:val="auto"/>
              </w:rPr>
            </w:pPr>
            <w:r>
              <w:rPr>
                <w:rFonts w:ascii="Arial" w:cs="Arial" w:eastAsia="Arial" w:hAnsi="Arial"/>
                <w:sz w:val="18"/>
                <w:szCs w:val="18"/>
                <w:b w:val="1"/>
                <w:bCs w:val="1"/>
                <w:i w:val="1"/>
                <w:iCs w:val="1"/>
                <w:color w:val="auto"/>
              </w:rPr>
              <w:t>IT Service Category: General Pass-thru / Variable Costs</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4"/>
                <w:szCs w:val="24"/>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i w:val="1"/>
                <w:iCs w:val="1"/>
                <w:color w:val="auto"/>
                <w:w w:val="95"/>
              </w:rPr>
              <w:t>Variable and Pass-thru</w:t>
            </w:r>
          </w:p>
        </w:tc>
        <w:tc>
          <w:tcPr>
            <w:tcW w:w="3960" w:type="dxa"/>
            <w:vAlign w:val="bottom"/>
            <w:gridSpan w:val="2"/>
          </w:tcPr>
          <w:p>
            <w:pPr>
              <w:ind w:left="220"/>
              <w:spacing w:after="0"/>
              <w:rPr>
                <w:sz w:val="20"/>
                <w:szCs w:val="20"/>
                <w:color w:val="auto"/>
              </w:rPr>
            </w:pPr>
            <w:r>
              <w:rPr>
                <w:rFonts w:ascii="Arial" w:cs="Arial" w:eastAsia="Arial" w:hAnsi="Arial"/>
                <w:sz w:val="18"/>
                <w:szCs w:val="18"/>
                <w:i w:val="1"/>
                <w:iCs w:val="1"/>
                <w:color w:val="auto"/>
              </w:rPr>
              <w:t>Service fees for consumption or license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i w:val="1"/>
                <w:iCs w:val="1"/>
                <w:color w:val="auto"/>
              </w:rPr>
              <w:t>costs</w:t>
            </w:r>
          </w:p>
        </w:tc>
        <w:tc>
          <w:tcPr>
            <w:tcW w:w="3960" w:type="dxa"/>
            <w:vAlign w:val="bottom"/>
            <w:gridSpan w:val="2"/>
          </w:tcPr>
          <w:p>
            <w:pPr>
              <w:ind w:left="220"/>
              <w:spacing w:after="0"/>
              <w:rPr>
                <w:sz w:val="20"/>
                <w:szCs w:val="20"/>
                <w:color w:val="auto"/>
              </w:rPr>
            </w:pPr>
            <w:r>
              <w:rPr>
                <w:rFonts w:ascii="Arial" w:cs="Arial" w:eastAsia="Arial" w:hAnsi="Arial"/>
                <w:sz w:val="18"/>
                <w:szCs w:val="18"/>
                <w:i w:val="1"/>
                <w:iCs w:val="1"/>
                <w:color w:val="auto"/>
                <w:w w:val="93"/>
              </w:rPr>
              <w:t>maintenance as levied by vendors to RGHI based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i w:val="1"/>
                <w:iCs w:val="1"/>
                <w:color w:val="auto"/>
                <w:w w:val="99"/>
              </w:rPr>
              <w:t>on RCP utilization of such services or licenses.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G1.3.1</w:t>
            </w:r>
          </w:p>
        </w:tc>
        <w:tc>
          <w:tcPr>
            <w:tcW w:w="2120" w:type="dxa"/>
            <w:vAlign w:val="bottom"/>
          </w:tcPr>
          <w:p>
            <w:pPr>
              <w:ind w:left="360"/>
              <w:spacing w:after="0"/>
              <w:rPr>
                <w:sz w:val="20"/>
                <w:szCs w:val="20"/>
                <w:color w:val="auto"/>
              </w:rPr>
            </w:pPr>
            <w:r>
              <w:rPr>
                <w:rFonts w:ascii="Arial" w:cs="Arial" w:eastAsia="Arial" w:hAnsi="Arial"/>
                <w:sz w:val="18"/>
                <w:szCs w:val="18"/>
                <w:color w:val="auto"/>
              </w:rPr>
              <w:t>WAN Services – Site</w:t>
            </w:r>
          </w:p>
        </w:tc>
        <w:tc>
          <w:tcPr>
            <w:tcW w:w="3920" w:type="dxa"/>
            <w:vAlign w:val="bottom"/>
          </w:tcPr>
          <w:p>
            <w:pPr>
              <w:ind w:left="220"/>
              <w:spacing w:after="0"/>
              <w:rPr>
                <w:sz w:val="20"/>
                <w:szCs w:val="20"/>
                <w:color w:val="auto"/>
              </w:rPr>
            </w:pPr>
            <w:r>
              <w:rPr>
                <w:rFonts w:ascii="Arial" w:cs="Arial" w:eastAsia="Arial" w:hAnsi="Arial"/>
                <w:sz w:val="18"/>
                <w:szCs w:val="18"/>
                <w:color w:val="auto"/>
                <w:w w:val="91"/>
              </w:rPr>
              <w:t>Vendor (AT&amp;T and other) costs for usage of MPLS</w:t>
            </w:r>
          </w:p>
        </w:tc>
      </w:tr>
      <w:tr>
        <w:trPr>
          <w:trHeight w:val="230"/>
        </w:trPr>
        <w:tc>
          <w:tcPr>
            <w:tcW w:w="840" w:type="dxa"/>
            <w:vAlign w:val="bottom"/>
          </w:tcPr>
          <w:p>
            <w:pPr>
              <w:spacing w:after="0"/>
              <w:rPr>
                <w:sz w:val="20"/>
                <w:szCs w:val="20"/>
                <w:color w:val="auto"/>
              </w:rPr>
            </w:pPr>
          </w:p>
        </w:tc>
        <w:tc>
          <w:tcPr>
            <w:tcW w:w="2120" w:type="dxa"/>
            <w:vAlign w:val="bottom"/>
          </w:tcPr>
          <w:p>
            <w:pPr>
              <w:ind w:left="360"/>
              <w:spacing w:after="0"/>
              <w:rPr>
                <w:sz w:val="20"/>
                <w:szCs w:val="20"/>
                <w:color w:val="auto"/>
              </w:rPr>
            </w:pPr>
            <w:r>
              <w:rPr>
                <w:rFonts w:ascii="Arial" w:cs="Arial" w:eastAsia="Arial" w:hAnsi="Arial"/>
                <w:sz w:val="18"/>
                <w:szCs w:val="18"/>
                <w:color w:val="auto"/>
              </w:rPr>
              <w:t>Network</w:t>
            </w:r>
          </w:p>
        </w:tc>
        <w:tc>
          <w:tcPr>
            <w:tcW w:w="3920" w:type="dxa"/>
            <w:vAlign w:val="bottom"/>
          </w:tcPr>
          <w:p>
            <w:pPr>
              <w:ind w:left="220"/>
              <w:spacing w:after="0"/>
              <w:rPr>
                <w:sz w:val="20"/>
                <w:szCs w:val="20"/>
                <w:color w:val="auto"/>
              </w:rPr>
            </w:pPr>
            <w:r>
              <w:rPr>
                <w:rFonts w:ascii="Arial" w:cs="Arial" w:eastAsia="Arial" w:hAnsi="Arial"/>
                <w:sz w:val="18"/>
                <w:szCs w:val="18"/>
                <w:color w:val="auto"/>
              </w:rPr>
              <w:t>and ISP services.</w:t>
            </w: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G1.3.2</w:t>
            </w:r>
          </w:p>
        </w:tc>
        <w:tc>
          <w:tcPr>
            <w:tcW w:w="2120" w:type="dxa"/>
            <w:vAlign w:val="bottom"/>
          </w:tcPr>
          <w:p>
            <w:pPr>
              <w:ind w:left="360"/>
              <w:spacing w:after="0"/>
              <w:rPr>
                <w:sz w:val="20"/>
                <w:szCs w:val="20"/>
                <w:color w:val="auto"/>
              </w:rPr>
            </w:pPr>
            <w:r>
              <w:rPr>
                <w:rFonts w:ascii="Arial" w:cs="Arial" w:eastAsia="Arial" w:hAnsi="Arial"/>
                <w:sz w:val="18"/>
                <w:szCs w:val="18"/>
                <w:color w:val="auto"/>
              </w:rPr>
              <w:t>Voice and Cellular</w:t>
            </w:r>
          </w:p>
        </w:tc>
        <w:tc>
          <w:tcPr>
            <w:tcW w:w="3920" w:type="dxa"/>
            <w:vAlign w:val="bottom"/>
          </w:tcPr>
          <w:p>
            <w:pPr>
              <w:ind w:left="220"/>
              <w:spacing w:after="0"/>
              <w:rPr>
                <w:sz w:val="20"/>
                <w:szCs w:val="20"/>
                <w:color w:val="auto"/>
              </w:rPr>
            </w:pPr>
            <w:r>
              <w:rPr>
                <w:rFonts w:ascii="Arial" w:cs="Arial" w:eastAsia="Arial" w:hAnsi="Arial"/>
                <w:sz w:val="18"/>
                <w:szCs w:val="18"/>
                <w:color w:val="auto"/>
              </w:rPr>
              <w:t>Local, Long Distance, &amp; Mobile usage costs.</w:t>
            </w:r>
          </w:p>
        </w:tc>
      </w:tr>
      <w:tr>
        <w:trPr>
          <w:trHeight w:val="230"/>
        </w:trPr>
        <w:tc>
          <w:tcPr>
            <w:tcW w:w="840" w:type="dxa"/>
            <w:vAlign w:val="bottom"/>
          </w:tcPr>
          <w:p>
            <w:pPr>
              <w:spacing w:after="0"/>
              <w:rPr>
                <w:sz w:val="20"/>
                <w:szCs w:val="20"/>
                <w:color w:val="auto"/>
              </w:rPr>
            </w:pPr>
          </w:p>
        </w:tc>
        <w:tc>
          <w:tcPr>
            <w:tcW w:w="2120" w:type="dxa"/>
            <w:vAlign w:val="bottom"/>
          </w:tcPr>
          <w:p>
            <w:pPr>
              <w:ind w:left="360"/>
              <w:spacing w:after="0"/>
              <w:rPr>
                <w:sz w:val="20"/>
                <w:szCs w:val="20"/>
                <w:color w:val="auto"/>
              </w:rPr>
            </w:pPr>
            <w:r>
              <w:rPr>
                <w:rFonts w:ascii="Arial" w:cs="Arial" w:eastAsia="Arial" w:hAnsi="Arial"/>
                <w:sz w:val="18"/>
                <w:szCs w:val="18"/>
                <w:color w:val="auto"/>
              </w:rPr>
              <w:t>Phone Service</w:t>
            </w:r>
          </w:p>
        </w:tc>
        <w:tc>
          <w:tcPr>
            <w:tcW w:w="3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Monthly Fee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(USD) –</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Monthly Fee</w:t>
            </w:r>
          </w:p>
        </w:tc>
        <w:tc>
          <w:tcPr>
            <w:tcW w:w="0" w:type="dxa"/>
            <w:vAlign w:val="bottom"/>
          </w:tcPr>
          <w:p>
            <w:pPr>
              <w:spacing w:after="0"/>
              <w:rPr>
                <w:sz w:val="1"/>
                <w:szCs w:val="1"/>
                <w:color w:val="auto"/>
              </w:rPr>
            </w:pPr>
          </w:p>
        </w:tc>
      </w:tr>
      <w:tr>
        <w:trPr>
          <w:trHeight w:val="144"/>
        </w:trPr>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Term</w:t>
            </w:r>
          </w:p>
        </w:tc>
        <w:tc>
          <w:tcPr>
            <w:tcW w:w="220" w:type="dxa"/>
            <w:vAlign w:val="bottom"/>
            <w:vMerge w:val="restart"/>
          </w:tcPr>
          <w:p>
            <w:pPr>
              <w:spacing w:after="0"/>
              <w:rPr>
                <w:sz w:val="12"/>
                <w:szCs w:val="12"/>
                <w:color w:val="auto"/>
              </w:rPr>
            </w:pPr>
          </w:p>
        </w:tc>
        <w:tc>
          <w:tcPr>
            <w:tcW w:w="160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1"/>
              </w:rPr>
              <w:t>Commencement</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 2020</w:t>
            </w:r>
          </w:p>
        </w:tc>
        <w:tc>
          <w:tcPr>
            <w:tcW w:w="440" w:type="dxa"/>
            <w:vAlign w:val="bottom"/>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(USD) –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$97,353</w:t>
      </w:r>
      <w:r>
        <w:rPr>
          <w:sz w:val="20"/>
          <w:szCs w:val="20"/>
          <w:color w:val="auto"/>
        </w:rPr>
        <w:tab/>
      </w:r>
      <w:r>
        <w:rPr>
          <w:rFonts w:ascii="Arial" w:cs="Arial" w:eastAsia="Arial" w:hAnsi="Arial"/>
          <w:sz w:val="18"/>
          <w:szCs w:val="18"/>
          <w:color w:val="auto"/>
        </w:rPr>
        <w:t>TBD</w:t>
      </w:r>
    </w:p>
    <w:p>
      <w:pPr>
        <w:spacing w:after="0" w:line="333"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$41,820</w:t>
      </w:r>
      <w:r>
        <w:rPr>
          <w:sz w:val="20"/>
          <w:szCs w:val="20"/>
          <w:color w:val="auto"/>
        </w:rPr>
        <w:tab/>
      </w:r>
      <w:r>
        <w:rPr>
          <w:rFonts w:ascii="Arial" w:cs="Arial" w:eastAsia="Arial" w:hAnsi="Arial"/>
          <w:sz w:val="18"/>
          <w:szCs w:val="18"/>
          <w:color w:val="auto"/>
        </w:rPr>
        <w:t>TBD</w:t>
      </w:r>
    </w:p>
    <w:p>
      <w:pPr>
        <w:spacing w:after="0" w:line="333"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$61,082</w:t>
      </w:r>
      <w:r>
        <w:rPr>
          <w:sz w:val="20"/>
          <w:szCs w:val="20"/>
          <w:color w:val="auto"/>
        </w:rPr>
        <w:tab/>
      </w:r>
      <w:r>
        <w:rPr>
          <w:rFonts w:ascii="Arial" w:cs="Arial" w:eastAsia="Arial" w:hAnsi="Arial"/>
          <w:sz w:val="18"/>
          <w:szCs w:val="18"/>
          <w:color w:val="auto"/>
        </w:rPr>
        <w:t>TBD</w:t>
      </w:r>
    </w:p>
    <w:p>
      <w:pPr>
        <w:spacing w:after="0" w:line="333"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$32,720</w:t>
      </w:r>
      <w:r>
        <w:rPr>
          <w:sz w:val="20"/>
          <w:szCs w:val="20"/>
          <w:color w:val="auto"/>
        </w:rPr>
        <w:tab/>
      </w:r>
      <w:r>
        <w:rPr>
          <w:rFonts w:ascii="Arial" w:cs="Arial" w:eastAsia="Arial" w:hAnsi="Arial"/>
          <w:sz w:val="18"/>
          <w:szCs w:val="18"/>
          <w:color w:val="auto"/>
        </w:rPr>
        <w:t>TBD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$220,775</w:t>
      </w:r>
      <w:r>
        <w:rPr>
          <w:sz w:val="20"/>
          <w:szCs w:val="20"/>
          <w:color w:val="auto"/>
        </w:rPr>
        <w:tab/>
      </w:r>
      <w:r>
        <w:rPr>
          <w:rFonts w:ascii="Arial" w:cs="Arial" w:eastAsia="Arial" w:hAnsi="Arial"/>
          <w:sz w:val="18"/>
          <w:szCs w:val="18"/>
          <w:color w:val="auto"/>
        </w:rPr>
        <w:t>TBD</w:t>
      </w:r>
    </w:p>
    <w:p>
      <w:pPr>
        <w:spacing w:after="0" w:line="200" w:lineRule="exact"/>
        <w:rPr>
          <w:sz w:val="20"/>
          <w:szCs w:val="20"/>
          <w:color w:val="auto"/>
        </w:rPr>
      </w:pPr>
    </w:p>
    <w:p>
      <w:pPr>
        <w:spacing w:after="0" w:line="24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i w:val="1"/>
          <w:iCs w:val="1"/>
          <w:color w:val="auto"/>
        </w:rPr>
        <w:t>All services in</w:t>
      </w:r>
      <w:r>
        <w:rPr>
          <w:sz w:val="20"/>
          <w:szCs w:val="20"/>
          <w:color w:val="auto"/>
        </w:rPr>
        <w:tab/>
      </w:r>
      <w:r>
        <w:rPr>
          <w:rFonts w:ascii="Arial" w:cs="Arial" w:eastAsia="Arial" w:hAnsi="Arial"/>
          <w:sz w:val="16"/>
          <w:szCs w:val="16"/>
          <w:i w:val="1"/>
          <w:iCs w:val="1"/>
          <w:color w:val="auto"/>
        </w:rPr>
        <w:t>All services costs are pass-</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i w:val="1"/>
          <w:iCs w:val="1"/>
          <w:color w:val="auto"/>
        </w:rPr>
        <w:t>group 24 months</w:t>
      </w:r>
      <w:r>
        <w:rPr>
          <w:sz w:val="20"/>
          <w:szCs w:val="20"/>
          <w:color w:val="auto"/>
        </w:rPr>
        <w:tab/>
      </w:r>
      <w:r>
        <w:rPr>
          <w:rFonts w:ascii="Arial" w:cs="Arial" w:eastAsia="Arial" w:hAnsi="Arial"/>
          <w:sz w:val="16"/>
          <w:szCs w:val="16"/>
          <w:i w:val="1"/>
          <w:iCs w:val="1"/>
          <w:color w:val="auto"/>
        </w:rPr>
        <w:t>through of actual third-</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i w:val="1"/>
          <w:iCs w:val="1"/>
          <w:color w:val="auto"/>
        </w:rPr>
        <w:t>from the</w:t>
      </w:r>
      <w:r>
        <w:rPr>
          <w:sz w:val="20"/>
          <w:szCs w:val="20"/>
          <w:color w:val="auto"/>
        </w:rPr>
        <w:tab/>
      </w:r>
      <w:r>
        <w:rPr>
          <w:rFonts w:ascii="Arial" w:cs="Arial" w:eastAsia="Arial" w:hAnsi="Arial"/>
          <w:sz w:val="16"/>
          <w:szCs w:val="16"/>
          <w:i w:val="1"/>
          <w:iCs w:val="1"/>
          <w:color w:val="auto"/>
        </w:rPr>
        <w:t>party costs incurred in</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i w:val="1"/>
          <w:iCs w:val="1"/>
          <w:color w:val="auto"/>
        </w:rPr>
        <w:t>Commencement</w:t>
      </w:r>
      <w:r>
        <w:rPr>
          <w:sz w:val="20"/>
          <w:szCs w:val="20"/>
          <w:color w:val="auto"/>
        </w:rPr>
        <w:tab/>
      </w:r>
      <w:r>
        <w:rPr>
          <w:rFonts w:ascii="Arial" w:cs="Arial" w:eastAsia="Arial" w:hAnsi="Arial"/>
          <w:sz w:val="18"/>
          <w:szCs w:val="18"/>
          <w:i w:val="1"/>
          <w:iCs w:val="1"/>
          <w:color w:val="auto"/>
        </w:rPr>
        <w:t>providing the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occur as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are contracted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directly with RCP</w:t>
      </w:r>
    </w:p>
    <w:p>
      <w:pPr>
        <w:sectPr>
          <w:pgSz w:w="11900" w:h="16838" w:orient="portrait"/>
          <w:cols w:equalWidth="0" w:num="2">
            <w:col w:w="6920" w:space="100"/>
            <w:col w:w="4020"/>
          </w:cols>
          <w:pgMar w:left="440" w:top="253" w:right="419" w:bottom="1440" w:gutter="0" w:footer="0" w:header="0"/>
        </w:sectPr>
      </w:pPr>
    </w:p>
    <w:bookmarkStart w:id="530" w:name="page531"/>
    <w:bookmarkEnd w:id="5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vMerge w:val="restart"/>
          </w:tcPr>
          <w:p>
            <w:pPr>
              <w:spacing w:after="0"/>
              <w:rPr>
                <w:sz w:val="20"/>
                <w:szCs w:val="20"/>
                <w:color w:val="auto"/>
              </w:rPr>
            </w:pPr>
            <w:r>
              <w:rPr>
                <w:rFonts w:ascii="Arial" w:cs="Arial" w:eastAsia="Arial" w:hAnsi="Arial"/>
                <w:sz w:val="18"/>
                <w:szCs w:val="18"/>
                <w:color w:val="auto"/>
              </w:rPr>
              <w:t>G1.3.3</w:t>
            </w:r>
          </w:p>
        </w:tc>
        <w:tc>
          <w:tcPr>
            <w:tcW w:w="360" w:type="dxa"/>
            <w:vAlign w:val="bottom"/>
          </w:tcPr>
          <w:p>
            <w:pPr>
              <w:spacing w:after="0"/>
              <w:rPr>
                <w:sz w:val="16"/>
                <w:szCs w:val="16"/>
                <w:color w:val="auto"/>
              </w:rPr>
            </w:pP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340" w:type="dxa"/>
            <w:vAlign w:val="bottom"/>
          </w:tcPr>
          <w:p>
            <w:pPr>
              <w:spacing w:after="0"/>
              <w:rPr>
                <w:sz w:val="16"/>
                <w:szCs w:val="16"/>
                <w:color w:val="auto"/>
              </w:rPr>
            </w:pPr>
          </w:p>
        </w:tc>
        <w:tc>
          <w:tcPr>
            <w:tcW w:w="48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1"/>
        </w:trPr>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line="191" w:lineRule="exact"/>
              <w:rPr>
                <w:sz w:val="20"/>
                <w:szCs w:val="20"/>
                <w:color w:val="auto"/>
              </w:rPr>
            </w:pPr>
            <w:r>
              <w:rPr>
                <w:rFonts w:ascii="Arial" w:cs="Arial" w:eastAsia="Arial" w:hAnsi="Arial"/>
                <w:sz w:val="18"/>
                <w:szCs w:val="18"/>
                <w:color w:val="auto"/>
              </w:rPr>
              <w:t>Multi-function device</w:t>
            </w:r>
          </w:p>
        </w:tc>
        <w:tc>
          <w:tcPr>
            <w:tcW w:w="340" w:type="dxa"/>
            <w:vAlign w:val="bottom"/>
          </w:tcPr>
          <w:p>
            <w:pPr>
              <w:spacing w:after="0"/>
              <w:rPr>
                <w:sz w:val="16"/>
                <w:szCs w:val="16"/>
                <w:color w:val="auto"/>
              </w:rPr>
            </w:pPr>
          </w:p>
        </w:tc>
        <w:tc>
          <w:tcPr>
            <w:tcW w:w="4800" w:type="dxa"/>
            <w:vAlign w:val="bottom"/>
          </w:tcPr>
          <w:p>
            <w:pPr>
              <w:spacing w:after="0" w:line="191" w:lineRule="exact"/>
              <w:rPr>
                <w:sz w:val="20"/>
                <w:szCs w:val="20"/>
                <w:color w:val="auto"/>
              </w:rPr>
            </w:pPr>
            <w:r>
              <w:rPr>
                <w:rFonts w:ascii="Arial" w:cs="Arial" w:eastAsia="Arial" w:hAnsi="Arial"/>
                <w:sz w:val="18"/>
                <w:szCs w:val="18"/>
                <w:color w:val="auto"/>
              </w:rPr>
              <w:t>Lexmark usage and consumables costs.</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MFD</w:t>
            </w:r>
            <w:r>
              <w:rPr>
                <w:rFonts w:ascii="Arial" w:cs="Arial" w:eastAsia="Arial" w:hAnsi="Arial"/>
                <w:sz w:val="18"/>
                <w:szCs w:val="18"/>
                <w:color w:val="auto"/>
              </w:rPr>
              <w:t>) Services</w:t>
            </w: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G1.3.4</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Hosting – Microsoft</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O365 – Microsoft usage</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G1.3.5</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Licensing—Microsoft</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Microsoft license maintenance (SA) and subscriptions.</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G1.3.6</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 – SAP</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SAP license maintenance – R/3</w:t>
            </w: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G1.3.7</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Licensing—SAP</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SAP license maintenance – BI (Hana), MII (IFP)</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BI/MII</w:t>
            </w: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G1.3.8</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w w:val="99"/>
              </w:rPr>
              <w:t>Oracle license maintenance for Hyperion Financial Manager.</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Oracle/HFM</w:t>
            </w: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G1.3.9</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 – JDA</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JDA Transportation and Planning license maintenance fees.</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G1.3.10</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 – GEP</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GE Procurement system license fees.</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G1.3.11</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 – Novatus</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Novatus contract management system license fees.</w:t>
            </w: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G1.3.12</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 –</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Thingworks (PTC) license fees (IFP).</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Thingworxs</w:t>
            </w: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G1.3.13</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w w:val="95"/>
              </w:rPr>
              <w:t>Licensing – Winshuttle</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Winshuttle (MDM management) license fees.</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G1.3.14</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w w:val="96"/>
              </w:rPr>
              <w:t>Licensing – SpecRight</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Specright license fees.</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G1.3.15</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Domain Names</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Domain name annual registration fees.</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G1.3.16</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w w:val="93"/>
              </w:rPr>
              <w:t>IT Procurement – Fees</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Hardware/Software/Services procured on behalf of RCP.</w:t>
            </w: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G1.3.17</w:t>
            </w: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Licensing – Other</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w w:val="98"/>
              </w:rPr>
              <w:t>Kronos, Minitab, &amp; KnowBe4, plus other miscellaneous minor</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licenses maintenance fees.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Monthly Fee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(USD) –</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Monthly Fee</w:t>
            </w:r>
          </w:p>
        </w:tc>
        <w:tc>
          <w:tcPr>
            <w:tcW w:w="0" w:type="dxa"/>
            <w:vAlign w:val="bottom"/>
          </w:tcPr>
          <w:p>
            <w:pPr>
              <w:spacing w:after="0"/>
              <w:rPr>
                <w:sz w:val="1"/>
                <w:szCs w:val="1"/>
                <w:color w:val="auto"/>
              </w:rPr>
            </w:pPr>
          </w:p>
        </w:tc>
      </w:tr>
      <w:tr>
        <w:trPr>
          <w:trHeight w:val="144"/>
        </w:trPr>
        <w:tc>
          <w:tcPr>
            <w:tcW w:w="4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Term</w:t>
            </w:r>
          </w:p>
        </w:tc>
        <w:tc>
          <w:tcPr>
            <w:tcW w:w="14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1"/>
              </w:rPr>
              <w:t>Commencement</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 2020</w:t>
            </w:r>
          </w:p>
        </w:tc>
        <w:tc>
          <w:tcPr>
            <w:tcW w:w="220" w:type="dxa"/>
            <w:vAlign w:val="bottom"/>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(USD) – 2021</w:t>
            </w:r>
          </w:p>
        </w:tc>
        <w:tc>
          <w:tcPr>
            <w:tcW w:w="0" w:type="dxa"/>
            <w:vAlign w:val="bottom"/>
          </w:tcPr>
          <w:p>
            <w:pPr>
              <w:spacing w:after="0"/>
              <w:rPr>
                <w:sz w:val="1"/>
                <w:szCs w:val="1"/>
                <w:color w:val="auto"/>
              </w:rPr>
            </w:pPr>
          </w:p>
        </w:tc>
      </w:tr>
    </w:tbl>
    <w:p>
      <w:pPr>
        <w:sectPr>
          <w:pgSz w:w="11900" w:h="16838" w:orient="portrait"/>
          <w:cols w:equalWidth="0" w:num="2">
            <w:col w:w="8180" w:space="100"/>
            <w:col w:w="2760"/>
          </w:cols>
          <w:pgMar w:left="440" w:top="253" w:right="419" w:bottom="1440" w:gutter="0" w:footer="0" w:header="0"/>
        </w:sectPr>
      </w:pPr>
    </w:p>
    <w:bookmarkStart w:id="531" w:name="page532"/>
    <w:bookmarkEnd w:id="5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Service Name</w:t>
            </w:r>
          </w:p>
        </w:tc>
        <w:tc>
          <w:tcPr>
            <w:tcW w:w="28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Description of Service</w:t>
            </w:r>
          </w:p>
        </w:tc>
        <w:tc>
          <w:tcPr>
            <w:tcW w:w="1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Term</w:t>
            </w:r>
          </w:p>
        </w:tc>
        <w:tc>
          <w:tcPr>
            <w:tcW w:w="240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Monthly Fee (USD) –</w:t>
            </w: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w w:val="95"/>
              </w:rPr>
              <w:t>Monthly Fee</w:t>
            </w:r>
          </w:p>
        </w:tc>
        <w:tc>
          <w:tcPr>
            <w:tcW w:w="0" w:type="dxa"/>
            <w:vAlign w:val="bottom"/>
          </w:tcPr>
          <w:p>
            <w:pPr>
              <w:spacing w:after="0"/>
              <w:rPr>
                <w:sz w:val="1"/>
                <w:szCs w:val="1"/>
                <w:color w:val="auto"/>
              </w:rPr>
            </w:pPr>
          </w:p>
        </w:tc>
      </w:tr>
      <w:tr>
        <w:trPr>
          <w:trHeight w:val="186"/>
        </w:trPr>
        <w:tc>
          <w:tcPr>
            <w:tcW w:w="148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240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Commencement Date – 2020</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w w:val="93"/>
              </w:rPr>
              <w:t>(USD) –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0</wp:posOffset>
            </wp:positionV>
            <wp:extent cx="630301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ectPr>
          <w:pgSz w:w="11900" w:h="16838" w:orient="portrait"/>
          <w:cols w:equalWidth="0" w:num="1">
            <w:col w:w="11020"/>
          </w:cols>
          <w:pgMar w:left="440" w:top="253" w:right="439" w:bottom="1440" w:gutter="0" w:footer="0" w:header="0"/>
        </w:sect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b w:val="1"/>
                <w:bCs w:val="1"/>
                <w:i w:val="1"/>
                <w:iCs w:val="1"/>
                <w:color w:val="auto"/>
              </w:rPr>
              <w:t>G1.4</w:t>
            </w:r>
          </w:p>
        </w:tc>
        <w:tc>
          <w:tcPr>
            <w:tcW w:w="52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w w:val="98"/>
              </w:rPr>
              <w:t>IT Service Category: Project Management / IT Consulting</w:t>
            </w:r>
            <w:r>
              <w:rPr>
                <w:rFonts w:ascii="Arial" w:cs="Arial" w:eastAsia="Arial" w:hAnsi="Arial"/>
                <w:sz w:val="15"/>
                <w:szCs w:val="15"/>
                <w:b w:val="1"/>
                <w:bCs w:val="1"/>
                <w:i w:val="1"/>
                <w:iCs w:val="1"/>
                <w:color w:val="auto"/>
                <w:w w:val="98"/>
              </w:rPr>
              <w:t>3</w:t>
            </w:r>
          </w:p>
        </w:tc>
        <w:tc>
          <w:tcPr>
            <w:tcW w:w="1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00" w:type="dxa"/>
            <w:vAlign w:val="bottom"/>
          </w:tcPr>
          <w:p>
            <w:pPr>
              <w:spacing w:after="0"/>
              <w:rPr>
                <w:sz w:val="20"/>
                <w:szCs w:val="20"/>
                <w:color w:val="auto"/>
              </w:rPr>
            </w:pPr>
            <w:r>
              <w:rPr>
                <w:rFonts w:ascii="Arial" w:cs="Arial" w:eastAsia="Arial" w:hAnsi="Arial"/>
                <w:sz w:val="18"/>
                <w:szCs w:val="18"/>
                <w:color w:val="auto"/>
              </w:rPr>
              <w:t>G1.4.1</w:t>
            </w:r>
          </w:p>
        </w:tc>
        <w:tc>
          <w:tcPr>
            <w:tcW w:w="1760" w:type="dxa"/>
            <w:vAlign w:val="bottom"/>
          </w:tcPr>
          <w:p>
            <w:pPr>
              <w:ind w:left="300"/>
              <w:spacing w:after="0"/>
              <w:rPr>
                <w:sz w:val="20"/>
                <w:szCs w:val="20"/>
                <w:color w:val="auto"/>
              </w:rPr>
            </w:pPr>
            <w:r>
              <w:rPr>
                <w:rFonts w:ascii="Arial" w:cs="Arial" w:eastAsia="Arial" w:hAnsi="Arial"/>
                <w:sz w:val="18"/>
                <w:szCs w:val="18"/>
                <w:color w:val="auto"/>
              </w:rPr>
              <w:t>Discretionary</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w w:val="97"/>
              </w:rPr>
              <w:t>Any system changes or enhancements</w:t>
            </w:r>
          </w:p>
        </w:tc>
        <w:tc>
          <w:tcPr>
            <w:tcW w:w="1600" w:type="dxa"/>
            <w:vAlign w:val="bottom"/>
          </w:tcPr>
          <w:p>
            <w:pPr>
              <w:ind w:left="320"/>
              <w:spacing w:after="0"/>
              <w:rPr>
                <w:sz w:val="20"/>
                <w:szCs w:val="20"/>
                <w:color w:val="auto"/>
              </w:rPr>
            </w:pPr>
            <w:r>
              <w:rPr>
                <w:rFonts w:ascii="Arial" w:cs="Arial" w:eastAsia="Arial" w:hAnsi="Arial"/>
                <w:sz w:val="18"/>
                <w:szCs w:val="18"/>
                <w:color w:val="auto"/>
              </w:rPr>
              <w:t>24 months from</w:t>
            </w:r>
          </w:p>
        </w:tc>
        <w:tc>
          <w:tcPr>
            <w:tcW w:w="2400" w:type="dxa"/>
            <w:vAlign w:val="bottom"/>
          </w:tcPr>
          <w:p>
            <w:pPr>
              <w:ind w:left="120"/>
              <w:spacing w:after="0"/>
              <w:rPr>
                <w:sz w:val="20"/>
                <w:szCs w:val="20"/>
                <w:color w:val="auto"/>
              </w:rPr>
            </w:pPr>
            <w:r>
              <w:rPr>
                <w:rFonts w:ascii="Arial" w:cs="Arial" w:eastAsia="Arial" w:hAnsi="Arial"/>
                <w:sz w:val="18"/>
                <w:szCs w:val="18"/>
                <w:color w:val="auto"/>
                <w:w w:val="90"/>
              </w:rPr>
              <w:t>Quoted hourly rate with respect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ind w:left="300"/>
              <w:spacing w:after="0"/>
              <w:rPr>
                <w:sz w:val="20"/>
                <w:szCs w:val="20"/>
                <w:color w:val="auto"/>
              </w:rPr>
            </w:pPr>
            <w:r>
              <w:rPr>
                <w:rFonts w:ascii="Arial" w:cs="Arial" w:eastAsia="Arial" w:hAnsi="Arial"/>
                <w:sz w:val="18"/>
                <w:szCs w:val="18"/>
                <w:color w:val="auto"/>
              </w:rPr>
              <w:t>Enhancements</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to the technical operating</w:t>
            </w:r>
          </w:p>
        </w:tc>
        <w:tc>
          <w:tcPr>
            <w:tcW w:w="1600" w:type="dxa"/>
            <w:vAlign w:val="bottom"/>
          </w:tcPr>
          <w:p>
            <w:pPr>
              <w:ind w:left="320"/>
              <w:spacing w:after="0"/>
              <w:rPr>
                <w:sz w:val="20"/>
                <w:szCs w:val="20"/>
                <w:color w:val="auto"/>
              </w:rPr>
            </w:pPr>
            <w:r>
              <w:rPr>
                <w:rFonts w:ascii="Arial" w:cs="Arial" w:eastAsia="Arial" w:hAnsi="Arial"/>
                <w:sz w:val="18"/>
                <w:szCs w:val="18"/>
                <w:color w:val="auto"/>
              </w:rPr>
              <w:t>the</w:t>
            </w:r>
          </w:p>
        </w:tc>
        <w:tc>
          <w:tcPr>
            <w:tcW w:w="2400" w:type="dxa"/>
            <w:vAlign w:val="bottom"/>
          </w:tcPr>
          <w:p>
            <w:pPr>
              <w:ind w:left="120"/>
              <w:spacing w:after="0"/>
              <w:rPr>
                <w:sz w:val="20"/>
                <w:szCs w:val="20"/>
                <w:color w:val="auto"/>
              </w:rPr>
            </w:pPr>
            <w:r>
              <w:rPr>
                <w:rFonts w:ascii="Arial" w:cs="Arial" w:eastAsia="Arial" w:hAnsi="Arial"/>
                <w:sz w:val="18"/>
                <w:szCs w:val="18"/>
                <w:color w:val="auto"/>
                <w:w w:val="97"/>
              </w:rPr>
              <w:t>to the particular service to be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environment (excluding, for the</w:t>
            </w:r>
          </w:p>
        </w:tc>
        <w:tc>
          <w:tcPr>
            <w:tcW w:w="1600" w:type="dxa"/>
            <w:vAlign w:val="bottom"/>
          </w:tcPr>
          <w:p>
            <w:pPr>
              <w:ind w:left="320"/>
              <w:spacing w:after="0"/>
              <w:rPr>
                <w:sz w:val="20"/>
                <w:szCs w:val="20"/>
                <w:color w:val="auto"/>
              </w:rPr>
            </w:pPr>
            <w:r>
              <w:rPr>
                <w:rFonts w:ascii="Arial" w:cs="Arial" w:eastAsia="Arial" w:hAnsi="Arial"/>
                <w:sz w:val="18"/>
                <w:szCs w:val="18"/>
                <w:color w:val="auto"/>
                <w:w w:val="95"/>
              </w:rPr>
              <w:t>Commencement</w:t>
            </w:r>
          </w:p>
        </w:tc>
        <w:tc>
          <w:tcPr>
            <w:tcW w:w="2400" w:type="dxa"/>
            <w:vAlign w:val="bottom"/>
          </w:tcPr>
          <w:p>
            <w:pPr>
              <w:ind w:left="120"/>
              <w:spacing w:after="0"/>
              <w:rPr>
                <w:sz w:val="20"/>
                <w:szCs w:val="20"/>
                <w:color w:val="auto"/>
              </w:rPr>
            </w:pPr>
            <w:r>
              <w:rPr>
                <w:rFonts w:ascii="Arial" w:cs="Arial" w:eastAsia="Arial" w:hAnsi="Arial"/>
                <w:sz w:val="18"/>
                <w:szCs w:val="18"/>
                <w:color w:val="auto"/>
              </w:rPr>
              <w:t>provided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avoidance of doubt, Migration</w:t>
            </w:r>
          </w:p>
        </w:tc>
        <w:tc>
          <w:tcPr>
            <w:tcW w:w="1600" w:type="dxa"/>
            <w:vAlign w:val="bottom"/>
          </w:tcPr>
          <w:p>
            <w:pPr>
              <w:ind w:left="320"/>
              <w:spacing w:after="0"/>
              <w:rPr>
                <w:sz w:val="20"/>
                <w:szCs w:val="20"/>
                <w:color w:val="auto"/>
              </w:rPr>
            </w:pPr>
            <w:r>
              <w:rPr>
                <w:rFonts w:ascii="Arial" w:cs="Arial" w:eastAsia="Arial" w:hAnsi="Arial"/>
                <w:sz w:val="18"/>
                <w:szCs w:val="18"/>
                <w:color w:val="auto"/>
              </w:rPr>
              <w:t>Date</w:t>
            </w:r>
          </w:p>
        </w:tc>
        <w:tc>
          <w:tcPr>
            <w:tcW w:w="2400" w:type="dxa"/>
            <w:vAlign w:val="bottom"/>
            <w:vMerge w:val="restart"/>
          </w:tcPr>
          <w:p>
            <w:pPr>
              <w:ind w:left="120"/>
              <w:spacing w:after="0"/>
              <w:rPr>
                <w:sz w:val="20"/>
                <w:szCs w:val="20"/>
                <w:color w:val="auto"/>
              </w:rPr>
            </w:pPr>
            <w:r>
              <w:rPr>
                <w:rFonts w:ascii="Arial" w:cs="Arial" w:eastAsia="Arial" w:hAnsi="Arial"/>
                <w:sz w:val="18"/>
                <w:szCs w:val="18"/>
                <w:color w:val="auto"/>
                <w:w w:val="91"/>
              </w:rPr>
              <w:t>Plus the pass-through of actual</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40" w:type="dxa"/>
            <w:vAlign w:val="bottom"/>
            <w:gridSpan w:val="2"/>
            <w:vMerge w:val="restart"/>
          </w:tcPr>
          <w:p>
            <w:pPr>
              <w:ind w:left="400"/>
              <w:spacing w:after="0"/>
              <w:rPr>
                <w:sz w:val="20"/>
                <w:szCs w:val="20"/>
                <w:color w:val="auto"/>
              </w:rPr>
            </w:pPr>
            <w:r>
              <w:rPr>
                <w:rFonts w:ascii="Arial" w:cs="Arial" w:eastAsia="Arial" w:hAnsi="Arial"/>
                <w:sz w:val="18"/>
                <w:szCs w:val="18"/>
                <w:color w:val="auto"/>
              </w:rPr>
              <w:t>Services described in G1.4.4)</w:t>
            </w:r>
          </w:p>
        </w:tc>
        <w:tc>
          <w:tcPr>
            <w:tcW w:w="160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600" w:type="dxa"/>
            <w:vAlign w:val="bottom"/>
          </w:tcPr>
          <w:p>
            <w:pPr>
              <w:spacing w:after="0"/>
              <w:rPr>
                <w:sz w:val="8"/>
                <w:szCs w:val="8"/>
                <w:color w:val="auto"/>
              </w:rPr>
            </w:pPr>
          </w:p>
        </w:tc>
        <w:tc>
          <w:tcPr>
            <w:tcW w:w="2400" w:type="dxa"/>
            <w:vAlign w:val="bottom"/>
            <w:vMerge w:val="restart"/>
          </w:tcPr>
          <w:p>
            <w:pPr>
              <w:ind w:left="120"/>
              <w:spacing w:after="0"/>
              <w:rPr>
                <w:sz w:val="20"/>
                <w:szCs w:val="20"/>
                <w:color w:val="auto"/>
              </w:rPr>
            </w:pPr>
            <w:r>
              <w:rPr>
                <w:rFonts w:ascii="Arial" w:cs="Arial" w:eastAsia="Arial" w:hAnsi="Arial"/>
                <w:sz w:val="18"/>
                <w:szCs w:val="18"/>
                <w:color w:val="auto"/>
              </w:rPr>
              <w:t>third-party costs incurred in</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40" w:type="dxa"/>
            <w:vAlign w:val="bottom"/>
            <w:gridSpan w:val="2"/>
            <w:vMerge w:val="restart"/>
          </w:tcPr>
          <w:p>
            <w:pPr>
              <w:ind w:left="400"/>
              <w:spacing w:after="0"/>
              <w:rPr>
                <w:sz w:val="20"/>
                <w:szCs w:val="20"/>
                <w:color w:val="auto"/>
              </w:rPr>
            </w:pPr>
            <w:r>
              <w:rPr>
                <w:rFonts w:ascii="Arial" w:cs="Arial" w:eastAsia="Arial" w:hAnsi="Arial"/>
                <w:sz w:val="18"/>
                <w:szCs w:val="18"/>
                <w:color w:val="auto"/>
              </w:rPr>
              <w:t>requested by RCP during the Term</w:t>
            </w:r>
          </w:p>
        </w:tc>
        <w:tc>
          <w:tcPr>
            <w:tcW w:w="160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600" w:type="dxa"/>
            <w:vAlign w:val="bottom"/>
          </w:tcPr>
          <w:p>
            <w:pPr>
              <w:spacing w:after="0"/>
              <w:rPr>
                <w:sz w:val="8"/>
                <w:szCs w:val="8"/>
                <w:color w:val="auto"/>
              </w:rPr>
            </w:pPr>
          </w:p>
        </w:tc>
        <w:tc>
          <w:tcPr>
            <w:tcW w:w="2400" w:type="dxa"/>
            <w:vAlign w:val="bottom"/>
            <w:vMerge w:val="restart"/>
          </w:tcPr>
          <w:p>
            <w:pPr>
              <w:ind w:left="120"/>
              <w:spacing w:after="0"/>
              <w:rPr>
                <w:sz w:val="20"/>
                <w:szCs w:val="20"/>
                <w:color w:val="auto"/>
              </w:rPr>
            </w:pPr>
            <w:r>
              <w:rPr>
                <w:rFonts w:ascii="Arial" w:cs="Arial" w:eastAsia="Arial" w:hAnsi="Arial"/>
                <w:sz w:val="18"/>
                <w:szCs w:val="18"/>
                <w:color w:val="auto"/>
              </w:rPr>
              <w:t>providing the service</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40" w:type="dxa"/>
            <w:vAlign w:val="bottom"/>
            <w:gridSpan w:val="2"/>
            <w:vMerge w:val="restart"/>
          </w:tcPr>
          <w:p>
            <w:pPr>
              <w:ind w:left="400"/>
              <w:spacing w:after="0"/>
              <w:rPr>
                <w:sz w:val="20"/>
                <w:szCs w:val="20"/>
                <w:color w:val="auto"/>
              </w:rPr>
            </w:pPr>
            <w:r>
              <w:rPr>
                <w:rFonts w:ascii="Arial" w:cs="Arial" w:eastAsia="Arial" w:hAnsi="Arial"/>
                <w:sz w:val="18"/>
                <w:szCs w:val="18"/>
                <w:color w:val="auto"/>
                <w:w w:val="98"/>
              </w:rPr>
              <w:t>require agreement between RGHI and</w:t>
            </w:r>
          </w:p>
        </w:tc>
        <w:tc>
          <w:tcPr>
            <w:tcW w:w="160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44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RCP. Provision of this Service is</w:t>
            </w:r>
          </w:p>
        </w:tc>
        <w:tc>
          <w:tcPr>
            <w:tcW w:w="1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subject to the availability of internal</w:t>
            </w:r>
          </w:p>
        </w:tc>
        <w:tc>
          <w:tcPr>
            <w:tcW w:w="1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resource within RGHI and agreement</w:t>
            </w:r>
          </w:p>
        </w:tc>
        <w:tc>
          <w:tcPr>
            <w:tcW w:w="1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between the Parties regarding the</w:t>
            </w:r>
          </w:p>
        </w:tc>
        <w:tc>
          <w:tcPr>
            <w:tcW w:w="1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scope of the changes/enhancements.</w:t>
            </w:r>
          </w:p>
        </w:tc>
        <w:tc>
          <w:tcPr>
            <w:tcW w:w="1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Where this Service is used, the rates</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will be as follows:</w:t>
            </w:r>
          </w:p>
        </w:tc>
        <w:tc>
          <w:tcPr>
            <w:tcW w:w="1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Project Manager at $150 /</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hour</w:t>
            </w:r>
          </w:p>
        </w:tc>
        <w:tc>
          <w:tcPr>
            <w:tcW w:w="1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Senior Engineer at $200 /</w:t>
            </w: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hour</w:t>
            </w:r>
          </w:p>
        </w:tc>
        <w:tc>
          <w:tcPr>
            <w:tcW w:w="1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Quoted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hourly rate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 provided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Plus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actual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incurred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service</w:t>
      </w:r>
    </w:p>
    <w:p>
      <w:pPr>
        <w:spacing w:after="0" w:line="1007" w:lineRule="exact"/>
        <w:rPr>
          <w:sz w:val="20"/>
          <w:szCs w:val="20"/>
          <w:color w:val="auto"/>
        </w:rPr>
      </w:pPr>
    </w:p>
    <w:p>
      <w:pPr>
        <w:sectPr>
          <w:pgSz w:w="11900" w:h="16838" w:orient="portrait"/>
          <w:cols w:equalWidth="0" w:num="2">
            <w:col w:w="10000" w:space="140"/>
            <w:col w:w="880"/>
          </w:cols>
          <w:pgMar w:left="440" w:top="253" w:right="439" w:bottom="1440" w:gutter="0" w:footer="0" w:header="0"/>
          <w:type w:val="continuous"/>
        </w:sectPr>
      </w:pPr>
    </w:p>
    <w:p>
      <w:pPr>
        <w:ind w:left="3680" w:right="5540" w:hanging="358"/>
        <w:spacing w:after="0" w:line="277" w:lineRule="auto"/>
        <w:tabs>
          <w:tab w:leader="none" w:pos="366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Junior Engineer at $150 / hour</w:t>
      </w:r>
    </w:p>
    <w:p>
      <w:pPr>
        <w:sectPr>
          <w:pgSz w:w="11900" w:h="16838" w:orient="portrait"/>
          <w:cols w:equalWidth="0" w:num="1">
            <w:col w:w="11020"/>
          </w:cols>
          <w:pgMar w:left="440" w:top="253" w:right="4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G1.4.2</w:t>
            </w:r>
          </w:p>
        </w:tc>
        <w:tc>
          <w:tcPr>
            <w:tcW w:w="5180" w:type="dxa"/>
            <w:vAlign w:val="bottom"/>
            <w:gridSpan w:val="2"/>
          </w:tcPr>
          <w:p>
            <w:pPr>
              <w:ind w:left="300"/>
              <w:spacing w:after="0"/>
              <w:rPr>
                <w:sz w:val="20"/>
                <w:szCs w:val="20"/>
                <w:color w:val="auto"/>
              </w:rPr>
            </w:pPr>
            <w:r>
              <w:rPr>
                <w:rFonts w:ascii="Arial" w:cs="Arial" w:eastAsia="Arial" w:hAnsi="Arial"/>
                <w:sz w:val="18"/>
                <w:szCs w:val="18"/>
                <w:color w:val="auto"/>
              </w:rPr>
              <w:t>IT Consulting Services  Provision of advice, guidance and</w:t>
            </w:r>
          </w:p>
        </w:tc>
        <w:tc>
          <w:tcPr>
            <w:tcW w:w="1620" w:type="dxa"/>
            <w:vAlign w:val="bottom"/>
          </w:tcPr>
          <w:p>
            <w:pPr>
              <w:ind w:left="340"/>
              <w:spacing w:after="0"/>
              <w:rPr>
                <w:sz w:val="20"/>
                <w:szCs w:val="20"/>
                <w:color w:val="auto"/>
              </w:rPr>
            </w:pPr>
            <w:r>
              <w:rPr>
                <w:rFonts w:ascii="Arial" w:cs="Arial" w:eastAsia="Arial" w:hAnsi="Arial"/>
                <w:sz w:val="18"/>
                <w:szCs w:val="18"/>
                <w:color w:val="auto"/>
              </w:rPr>
              <w:t>24 months from</w:t>
            </w:r>
          </w:p>
        </w:tc>
        <w:tc>
          <w:tcPr>
            <w:tcW w:w="2400" w:type="dxa"/>
            <w:vAlign w:val="bottom"/>
          </w:tcPr>
          <w:p>
            <w:pPr>
              <w:ind w:left="120"/>
              <w:spacing w:after="0"/>
              <w:rPr>
                <w:sz w:val="20"/>
                <w:szCs w:val="20"/>
                <w:color w:val="auto"/>
              </w:rPr>
            </w:pPr>
            <w:r>
              <w:rPr>
                <w:rFonts w:ascii="Arial" w:cs="Arial" w:eastAsia="Arial" w:hAnsi="Arial"/>
                <w:sz w:val="18"/>
                <w:szCs w:val="18"/>
                <w:color w:val="auto"/>
                <w:w w:val="90"/>
              </w:rPr>
              <w:t>Quoted hourly rate with respect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recommendations on new services</w:t>
            </w:r>
          </w:p>
        </w:tc>
        <w:tc>
          <w:tcPr>
            <w:tcW w:w="1620" w:type="dxa"/>
            <w:vAlign w:val="bottom"/>
          </w:tcPr>
          <w:p>
            <w:pPr>
              <w:ind w:left="340"/>
              <w:spacing w:after="0"/>
              <w:rPr>
                <w:sz w:val="20"/>
                <w:szCs w:val="20"/>
                <w:color w:val="auto"/>
              </w:rPr>
            </w:pPr>
            <w:r>
              <w:rPr>
                <w:rFonts w:ascii="Arial" w:cs="Arial" w:eastAsia="Arial" w:hAnsi="Arial"/>
                <w:sz w:val="18"/>
                <w:szCs w:val="18"/>
                <w:color w:val="auto"/>
              </w:rPr>
              <w:t>the</w:t>
            </w:r>
          </w:p>
        </w:tc>
        <w:tc>
          <w:tcPr>
            <w:tcW w:w="2400" w:type="dxa"/>
            <w:vAlign w:val="bottom"/>
          </w:tcPr>
          <w:p>
            <w:pPr>
              <w:ind w:left="120"/>
              <w:spacing w:after="0"/>
              <w:rPr>
                <w:sz w:val="20"/>
                <w:szCs w:val="20"/>
                <w:color w:val="auto"/>
              </w:rPr>
            </w:pPr>
            <w:r>
              <w:rPr>
                <w:rFonts w:ascii="Arial" w:cs="Arial" w:eastAsia="Arial" w:hAnsi="Arial"/>
                <w:sz w:val="18"/>
                <w:szCs w:val="18"/>
                <w:color w:val="auto"/>
                <w:w w:val="97"/>
              </w:rPr>
              <w:t>to the particular service to be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(excluding, for the avoidance of</w:t>
            </w:r>
          </w:p>
        </w:tc>
        <w:tc>
          <w:tcPr>
            <w:tcW w:w="1620" w:type="dxa"/>
            <w:vAlign w:val="bottom"/>
          </w:tcPr>
          <w:p>
            <w:pPr>
              <w:ind w:left="340"/>
              <w:spacing w:after="0"/>
              <w:rPr>
                <w:sz w:val="20"/>
                <w:szCs w:val="20"/>
                <w:color w:val="auto"/>
              </w:rPr>
            </w:pPr>
            <w:r>
              <w:rPr>
                <w:rFonts w:ascii="Arial" w:cs="Arial" w:eastAsia="Arial" w:hAnsi="Arial"/>
                <w:sz w:val="18"/>
                <w:szCs w:val="18"/>
                <w:color w:val="auto"/>
                <w:w w:val="95"/>
              </w:rPr>
              <w:t>Commencement</w:t>
            </w:r>
          </w:p>
        </w:tc>
        <w:tc>
          <w:tcPr>
            <w:tcW w:w="2400" w:type="dxa"/>
            <w:vAlign w:val="bottom"/>
          </w:tcPr>
          <w:p>
            <w:pPr>
              <w:ind w:left="120"/>
              <w:spacing w:after="0"/>
              <w:rPr>
                <w:sz w:val="20"/>
                <w:szCs w:val="20"/>
                <w:color w:val="auto"/>
              </w:rPr>
            </w:pPr>
            <w:r>
              <w:rPr>
                <w:rFonts w:ascii="Arial" w:cs="Arial" w:eastAsia="Arial" w:hAnsi="Arial"/>
                <w:sz w:val="18"/>
                <w:szCs w:val="18"/>
                <w:color w:val="auto"/>
              </w:rPr>
              <w:t>provided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doubt, Migration Services described</w:t>
            </w:r>
          </w:p>
        </w:tc>
        <w:tc>
          <w:tcPr>
            <w:tcW w:w="1620" w:type="dxa"/>
            <w:vAlign w:val="bottom"/>
          </w:tcPr>
          <w:p>
            <w:pPr>
              <w:ind w:left="340"/>
              <w:spacing w:after="0"/>
              <w:rPr>
                <w:sz w:val="20"/>
                <w:szCs w:val="20"/>
                <w:color w:val="auto"/>
              </w:rPr>
            </w:pPr>
            <w:r>
              <w:rPr>
                <w:rFonts w:ascii="Arial" w:cs="Arial" w:eastAsia="Arial" w:hAnsi="Arial"/>
                <w:sz w:val="18"/>
                <w:szCs w:val="18"/>
                <w:color w:val="auto"/>
              </w:rPr>
              <w:t>Date</w:t>
            </w:r>
          </w:p>
        </w:tc>
        <w:tc>
          <w:tcPr>
            <w:tcW w:w="2400" w:type="dxa"/>
            <w:vAlign w:val="bottom"/>
            <w:vMerge w:val="restart"/>
          </w:tcPr>
          <w:p>
            <w:pPr>
              <w:ind w:left="120"/>
              <w:spacing w:after="0"/>
              <w:rPr>
                <w:sz w:val="20"/>
                <w:szCs w:val="20"/>
                <w:color w:val="auto"/>
              </w:rPr>
            </w:pPr>
            <w:r>
              <w:rPr>
                <w:rFonts w:ascii="Arial" w:cs="Arial" w:eastAsia="Arial" w:hAnsi="Arial"/>
                <w:sz w:val="18"/>
                <w:szCs w:val="18"/>
                <w:color w:val="auto"/>
                <w:w w:val="91"/>
              </w:rPr>
              <w:t>Plus the pass-through of actual</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5180" w:type="dxa"/>
            <w:vAlign w:val="bottom"/>
            <w:gridSpan w:val="2"/>
            <w:vMerge w:val="restart"/>
          </w:tcPr>
          <w:p>
            <w:pPr>
              <w:ind w:left="2160"/>
              <w:spacing w:after="0"/>
              <w:rPr>
                <w:sz w:val="20"/>
                <w:szCs w:val="20"/>
                <w:color w:val="auto"/>
              </w:rPr>
            </w:pPr>
            <w:r>
              <w:rPr>
                <w:rFonts w:ascii="Arial" w:cs="Arial" w:eastAsia="Arial" w:hAnsi="Arial"/>
                <w:sz w:val="18"/>
                <w:szCs w:val="18"/>
                <w:color w:val="auto"/>
              </w:rPr>
              <w:t>in G1.4.4), new technical solutions</w:t>
            </w: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2400" w:type="dxa"/>
            <w:vAlign w:val="bottom"/>
            <w:vMerge w:val="restart"/>
          </w:tcPr>
          <w:p>
            <w:pPr>
              <w:ind w:left="120"/>
              <w:spacing w:after="0"/>
              <w:rPr>
                <w:sz w:val="20"/>
                <w:szCs w:val="20"/>
                <w:color w:val="auto"/>
              </w:rPr>
            </w:pPr>
            <w:r>
              <w:rPr>
                <w:rFonts w:ascii="Arial" w:cs="Arial" w:eastAsia="Arial" w:hAnsi="Arial"/>
                <w:sz w:val="18"/>
                <w:szCs w:val="18"/>
                <w:color w:val="auto"/>
              </w:rPr>
              <w:t>third-party costs incurred in</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5180" w:type="dxa"/>
            <w:vAlign w:val="bottom"/>
            <w:gridSpan w:val="2"/>
            <w:vMerge w:val="restart"/>
          </w:tcPr>
          <w:p>
            <w:pPr>
              <w:ind w:left="2160"/>
              <w:spacing w:after="0"/>
              <w:rPr>
                <w:sz w:val="20"/>
                <w:szCs w:val="20"/>
                <w:color w:val="auto"/>
              </w:rPr>
            </w:pPr>
            <w:r>
              <w:rPr>
                <w:rFonts w:ascii="Arial" w:cs="Arial" w:eastAsia="Arial" w:hAnsi="Arial"/>
                <w:sz w:val="18"/>
                <w:szCs w:val="18"/>
                <w:color w:val="auto"/>
              </w:rPr>
              <w:t>related to applications and</w:t>
            </w: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2400" w:type="dxa"/>
            <w:vAlign w:val="bottom"/>
            <w:vMerge w:val="restart"/>
          </w:tcPr>
          <w:p>
            <w:pPr>
              <w:ind w:left="120"/>
              <w:spacing w:after="0"/>
              <w:rPr>
                <w:sz w:val="20"/>
                <w:szCs w:val="20"/>
                <w:color w:val="auto"/>
              </w:rPr>
            </w:pPr>
            <w:r>
              <w:rPr>
                <w:rFonts w:ascii="Arial" w:cs="Arial" w:eastAsia="Arial" w:hAnsi="Arial"/>
                <w:sz w:val="18"/>
                <w:szCs w:val="18"/>
                <w:color w:val="auto"/>
              </w:rPr>
              <w:t>providing the service</w:t>
            </w:r>
          </w:p>
        </w:tc>
        <w:tc>
          <w:tcPr>
            <w:tcW w:w="0" w:type="dxa"/>
            <w:vAlign w:val="bottom"/>
          </w:tcPr>
          <w:p>
            <w:pPr>
              <w:spacing w:after="0"/>
              <w:rPr>
                <w:sz w:val="1"/>
                <w:szCs w:val="1"/>
                <w:color w:val="auto"/>
              </w:rPr>
            </w:pPr>
          </w:p>
        </w:tc>
      </w:tr>
      <w:tr>
        <w:trPr>
          <w:trHeight w:val="136"/>
        </w:trPr>
        <w:tc>
          <w:tcPr>
            <w:tcW w:w="800" w:type="dxa"/>
            <w:vAlign w:val="bottom"/>
          </w:tcPr>
          <w:p>
            <w:pPr>
              <w:spacing w:after="0"/>
              <w:rPr>
                <w:sz w:val="11"/>
                <w:szCs w:val="11"/>
                <w:color w:val="auto"/>
              </w:rPr>
            </w:pPr>
          </w:p>
        </w:tc>
        <w:tc>
          <w:tcPr>
            <w:tcW w:w="5180" w:type="dxa"/>
            <w:vAlign w:val="bottom"/>
            <w:gridSpan w:val="2"/>
            <w:vMerge w:val="restart"/>
          </w:tcPr>
          <w:p>
            <w:pPr>
              <w:ind w:left="2160"/>
              <w:spacing w:after="0"/>
              <w:rPr>
                <w:sz w:val="20"/>
                <w:szCs w:val="20"/>
                <w:color w:val="auto"/>
              </w:rPr>
            </w:pPr>
            <w:r>
              <w:rPr>
                <w:rFonts w:ascii="Arial" w:cs="Arial" w:eastAsia="Arial" w:hAnsi="Arial"/>
                <w:sz w:val="18"/>
                <w:szCs w:val="18"/>
                <w:color w:val="auto"/>
              </w:rPr>
              <w:t>infrastructure, etc.</w:t>
            </w:r>
          </w:p>
        </w:tc>
        <w:tc>
          <w:tcPr>
            <w:tcW w:w="162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18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Provision of this Service is subject to</w:t>
            </w:r>
          </w:p>
        </w:tc>
        <w:tc>
          <w:tcPr>
            <w:tcW w:w="1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availability of internal resource</w:t>
            </w:r>
          </w:p>
        </w:tc>
        <w:tc>
          <w:tcPr>
            <w:tcW w:w="1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within RGHI and agreement between</w:t>
            </w:r>
          </w:p>
        </w:tc>
        <w:tc>
          <w:tcPr>
            <w:tcW w:w="1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the Parties. Where this Service is</w:t>
            </w:r>
          </w:p>
        </w:tc>
        <w:tc>
          <w:tcPr>
            <w:tcW w:w="1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180" w:type="dxa"/>
            <w:vAlign w:val="bottom"/>
            <w:gridSpan w:val="2"/>
          </w:tcPr>
          <w:p>
            <w:pPr>
              <w:ind w:left="2160"/>
              <w:spacing w:after="0"/>
              <w:rPr>
                <w:sz w:val="20"/>
                <w:szCs w:val="20"/>
                <w:color w:val="auto"/>
              </w:rPr>
            </w:pPr>
            <w:r>
              <w:rPr>
                <w:rFonts w:ascii="Arial" w:cs="Arial" w:eastAsia="Arial" w:hAnsi="Arial"/>
                <w:sz w:val="18"/>
                <w:szCs w:val="18"/>
                <w:color w:val="auto"/>
              </w:rPr>
              <w:t>used, the rates will be as follows:</w:t>
            </w: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2720" w:type="dxa"/>
            <w:vAlign w:val="bottom"/>
          </w:tcPr>
          <w:p>
            <w:pPr>
              <w:ind w:left="252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IT Consulting Services at</w:t>
            </w: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$200 / hour</w:t>
            </w:r>
          </w:p>
        </w:tc>
        <w:tc>
          <w:tcPr>
            <w:tcW w:w="1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6327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Quoted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hourly rate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 provided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Plus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actual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incurred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service</w:t>
      </w:r>
    </w:p>
    <w:p>
      <w:pPr>
        <w:spacing w:after="0" w:line="197" w:lineRule="exact"/>
        <w:rPr>
          <w:sz w:val="20"/>
          <w:szCs w:val="20"/>
          <w:color w:val="auto"/>
        </w:rPr>
      </w:pPr>
    </w:p>
    <w:p>
      <w:pPr>
        <w:sectPr>
          <w:pgSz w:w="11900" w:h="16838" w:orient="portrait"/>
          <w:cols w:equalWidth="0" w:num="2">
            <w:col w:w="10000" w:space="140"/>
            <w:col w:w="880"/>
          </w:cols>
          <w:pgMar w:left="440" w:top="253" w:right="439" w:bottom="1440" w:gutter="0" w:footer="0" w:header="0"/>
          <w:type w:val="continuous"/>
        </w:sectPr>
      </w:pPr>
    </w:p>
    <w:p>
      <w:pPr>
        <w:ind w:left="440" w:hanging="436"/>
        <w:spacing w:after="0"/>
        <w:tabs>
          <w:tab w:leader="none" w:pos="440" w:val="left"/>
        </w:tabs>
        <w:numPr>
          <w:ilvl w:val="0"/>
          <w:numId w:val="463"/>
        </w:numPr>
        <w:rPr>
          <w:rFonts w:ascii="Arial" w:cs="Arial" w:eastAsia="Arial" w:hAnsi="Arial"/>
          <w:sz w:val="14"/>
          <w:szCs w:val="14"/>
          <w:color w:val="auto"/>
        </w:rPr>
      </w:pPr>
      <w:r>
        <w:rPr>
          <w:rFonts w:ascii="Arial" w:cs="Arial" w:eastAsia="Arial" w:hAnsi="Arial"/>
          <w:sz w:val="16"/>
          <w:szCs w:val="16"/>
          <w:color w:val="auto"/>
        </w:rPr>
        <w:t>RGHI shall provide the first 3,500 hours pursuant to G1.4.1 and G1.4.2 at no charge; thereafter, the stated rates shall apply.</w:t>
      </w:r>
    </w:p>
    <w:p>
      <w:pPr>
        <w:sectPr>
          <w:pgSz w:w="11900" w:h="16838" w:orient="portrait"/>
          <w:cols w:equalWidth="0" w:num="1">
            <w:col w:w="11020"/>
          </w:cols>
          <w:pgMar w:left="440" w:top="253" w:right="439" w:bottom="1440" w:gutter="0" w:footer="0" w:header="0"/>
          <w:type w:val="continuous"/>
        </w:sectPr>
      </w:pPr>
    </w:p>
    <w:bookmarkStart w:id="532" w:name="page533"/>
    <w:bookmarkEnd w:id="532"/>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vMerge w:val="restart"/>
          </w:tcPr>
          <w:p>
            <w:pPr>
              <w:spacing w:after="0"/>
              <w:rPr>
                <w:sz w:val="20"/>
                <w:szCs w:val="20"/>
                <w:color w:val="auto"/>
              </w:rPr>
            </w:pPr>
            <w:r>
              <w:rPr>
                <w:rFonts w:ascii="Arial" w:cs="Arial" w:eastAsia="Arial" w:hAnsi="Arial"/>
                <w:sz w:val="18"/>
                <w:szCs w:val="18"/>
                <w:color w:val="auto"/>
              </w:rPr>
              <w:t>G1.4.3</w:t>
            </w:r>
          </w:p>
        </w:tc>
        <w:tc>
          <w:tcPr>
            <w:tcW w:w="30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Project Management</w:t>
            </w:r>
          </w:p>
        </w:tc>
        <w:tc>
          <w:tcPr>
            <w:tcW w:w="100" w:type="dxa"/>
            <w:vAlign w:val="bottom"/>
          </w:tcPr>
          <w:p>
            <w:pPr>
              <w:spacing w:after="0"/>
              <w:rPr>
                <w:sz w:val="16"/>
                <w:szCs w:val="16"/>
                <w:color w:val="auto"/>
              </w:rPr>
            </w:pPr>
          </w:p>
        </w:tc>
        <w:tc>
          <w:tcPr>
            <w:tcW w:w="2760" w:type="dxa"/>
            <w:vAlign w:val="bottom"/>
            <w:gridSpan w:val="2"/>
          </w:tcPr>
          <w:p>
            <w:pPr>
              <w:spacing w:after="0" w:line="195" w:lineRule="exact"/>
              <w:rPr>
                <w:sz w:val="20"/>
                <w:szCs w:val="20"/>
                <w:color w:val="auto"/>
              </w:rPr>
            </w:pPr>
            <w:r>
              <w:rPr>
                <w:rFonts w:ascii="Arial" w:cs="Arial" w:eastAsia="Arial" w:hAnsi="Arial"/>
                <w:sz w:val="18"/>
                <w:szCs w:val="18"/>
                <w:color w:val="auto"/>
              </w:rPr>
              <w:t>Provision of Project Management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Services</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2"/>
              </w:rPr>
              <w:t>services and resources and technical</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2"/>
              </w:rPr>
              <w:t>resources required to deliver projects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agreed between RGHI and RCP</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(excluding, for the avoidance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5"/>
              </w:rPr>
              <w:t>doubt, Migration Services described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in G1.4.4).</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3"/>
              </w:rPr>
              <w:t>Provision of this Service is subject to</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availability of internal resource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2"/>
              </w:rPr>
              <w:t>within RGHI and agreement between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the Parties. Where this Service is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used, the rates will be as follows:</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w w:val="98"/>
              </w:rPr>
              <w:t>Project Manager at $150 /</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hour</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w w:val="99"/>
              </w:rPr>
              <w:t>Senior Engineer at $200 /</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hour</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Junior Engineer at $150 /</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hour</w:t>
            </w:r>
          </w:p>
        </w:tc>
        <w:tc>
          <w:tcPr>
            <w:tcW w:w="0" w:type="dxa"/>
            <w:vAlign w:val="bottom"/>
          </w:tcPr>
          <w:p>
            <w:pPr>
              <w:spacing w:after="0"/>
              <w:rPr>
                <w:sz w:val="1"/>
                <w:szCs w:val="1"/>
                <w:color w:val="auto"/>
              </w:rPr>
            </w:pPr>
          </w:p>
        </w:tc>
      </w:tr>
      <w:tr>
        <w:trPr>
          <w:trHeight w:val="323"/>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Any costs for engaging external</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6"/>
              </w:rPr>
              <w:t>resources will be passed through to</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RCP.</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G1.4.4</w:t>
            </w: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Migration Services</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Project services to manage and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execute the extraction of IT</w:t>
            </w:r>
          </w:p>
        </w:tc>
        <w:tc>
          <w:tcPr>
            <w:tcW w:w="0" w:type="dxa"/>
            <w:vAlign w:val="bottom"/>
          </w:tcPr>
          <w:p>
            <w:pPr>
              <w:spacing w:after="0"/>
              <w:rPr>
                <w:sz w:val="1"/>
                <w:szCs w:val="1"/>
                <w:color w:val="auto"/>
              </w:rPr>
            </w:pPr>
          </w:p>
        </w:tc>
      </w:tr>
    </w:tbl>
    <w:p>
      <w:pPr>
        <w:ind w:left="2960"/>
        <w:spacing w:after="0"/>
        <w:rPr>
          <w:sz w:val="20"/>
          <w:szCs w:val="20"/>
          <w:color w:val="auto"/>
        </w:rPr>
      </w:pPr>
      <w:r>
        <w:rPr>
          <w:rFonts w:ascii="Arial" w:cs="Arial" w:eastAsia="Arial" w:hAnsi="Arial"/>
          <w:sz w:val="18"/>
          <w:szCs w:val="18"/>
          <w:color w:val="auto"/>
        </w:rPr>
        <w:t>operations from the RLS managed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environment(s) and enable RCP to</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exit this TSA, as defined in the TSA</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Migration Services in Section 2.1.(c).</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For the avoidance of doubt, this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service includes all internal RGHI</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labor and third-party costs associated</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with project management and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execution of all separation activities,</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and any license or technology</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acquisitions required to facilitate the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establishment of RCP’s new, stand-</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alone IT environment and the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handover of same to RCP for future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management.</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This Service cannot be terminated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until such time as separation has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concluded to the satisfaction of RGHI</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and RCP.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Monthly Fee (USD) –</w:t>
            </w:r>
          </w:p>
        </w:tc>
        <w:tc>
          <w:tcPr>
            <w:tcW w:w="1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Monthly Fee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Commencement Date – 2020</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(USD) –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80" w:type="dxa"/>
            <w:vAlign w:val="bottom"/>
          </w:tcPr>
          <w:p>
            <w:pPr>
              <w:spacing w:after="0" w:line="195" w:lineRule="exact"/>
              <w:rPr>
                <w:sz w:val="20"/>
                <w:szCs w:val="20"/>
                <w:color w:val="auto"/>
              </w:rPr>
            </w:pPr>
            <w:r>
              <w:rPr>
                <w:rFonts w:ascii="Arial" w:cs="Arial" w:eastAsia="Arial" w:hAnsi="Arial"/>
                <w:sz w:val="18"/>
                <w:szCs w:val="18"/>
                <w:color w:val="auto"/>
              </w:rPr>
              <w:t>24 months from</w:t>
            </w:r>
          </w:p>
        </w:tc>
        <w:tc>
          <w:tcPr>
            <w:tcW w:w="12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w w:val="91"/>
              </w:rPr>
              <w:t>Quoted hourly rate with respect</w:t>
            </w:r>
          </w:p>
        </w:tc>
        <w:tc>
          <w:tcPr>
            <w:tcW w:w="12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Quoted</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the</w:t>
            </w:r>
          </w:p>
        </w:tc>
        <w:tc>
          <w:tcPr>
            <w:tcW w:w="2420" w:type="dxa"/>
            <w:vAlign w:val="bottom"/>
            <w:gridSpan w:val="2"/>
          </w:tcPr>
          <w:p>
            <w:pPr>
              <w:ind w:left="100"/>
              <w:spacing w:after="0"/>
              <w:rPr>
                <w:sz w:val="20"/>
                <w:szCs w:val="20"/>
                <w:color w:val="auto"/>
              </w:rPr>
            </w:pPr>
            <w:r>
              <w:rPr>
                <w:rFonts w:ascii="Arial" w:cs="Arial" w:eastAsia="Arial" w:hAnsi="Arial"/>
                <w:sz w:val="18"/>
                <w:szCs w:val="18"/>
                <w:color w:val="auto"/>
                <w:w w:val="99"/>
              </w:rPr>
              <w:t>to the particular service to be</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hourly rate</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w w:val="96"/>
              </w:rPr>
              <w:t>Commencement</w:t>
            </w:r>
          </w:p>
        </w:tc>
        <w:tc>
          <w:tcPr>
            <w:tcW w:w="2420" w:type="dxa"/>
            <w:vAlign w:val="bottom"/>
            <w:gridSpan w:val="2"/>
          </w:tcPr>
          <w:p>
            <w:pPr>
              <w:ind w:left="100"/>
              <w:spacing w:after="0"/>
              <w:rPr>
                <w:sz w:val="20"/>
                <w:szCs w:val="20"/>
                <w:color w:val="auto"/>
              </w:rPr>
            </w:pPr>
            <w:r>
              <w:rPr>
                <w:rFonts w:ascii="Arial" w:cs="Arial" w:eastAsia="Arial" w:hAnsi="Arial"/>
                <w:sz w:val="18"/>
                <w:szCs w:val="18"/>
                <w:color w:val="auto"/>
              </w:rPr>
              <w:t>provided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1"/>
              </w:rPr>
              <w:t>with respect</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Date</w:t>
            </w:r>
          </w:p>
        </w:tc>
        <w:tc>
          <w:tcPr>
            <w:tcW w:w="242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Plus the pass-through of actual</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to the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rPr>
              <w:t>particular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20" w:type="dxa"/>
            <w:vAlign w:val="bottom"/>
            <w:gridSpan w:val="2"/>
            <w:vMerge w:val="restart"/>
          </w:tcPr>
          <w:p>
            <w:pPr>
              <w:ind w:left="100"/>
              <w:spacing w:after="0"/>
              <w:rPr>
                <w:sz w:val="20"/>
                <w:szCs w:val="20"/>
                <w:color w:val="auto"/>
              </w:rPr>
            </w:pPr>
            <w:r>
              <w:rPr>
                <w:rFonts w:ascii="Arial" w:cs="Arial" w:eastAsia="Arial" w:hAnsi="Arial"/>
                <w:sz w:val="18"/>
                <w:szCs w:val="18"/>
                <w:color w:val="auto"/>
              </w:rPr>
              <w:t>third-party costs incurred in</w:t>
            </w: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rPr>
              <w:t>service to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20" w:type="dxa"/>
            <w:vAlign w:val="bottom"/>
            <w:gridSpan w:val="2"/>
            <w:vMerge w:val="restart"/>
          </w:tcPr>
          <w:p>
            <w:pPr>
              <w:ind w:left="100"/>
              <w:spacing w:after="0"/>
              <w:rPr>
                <w:sz w:val="20"/>
                <w:szCs w:val="20"/>
                <w:color w:val="auto"/>
              </w:rPr>
            </w:pPr>
            <w:r>
              <w:rPr>
                <w:rFonts w:ascii="Arial" w:cs="Arial" w:eastAsia="Arial" w:hAnsi="Arial"/>
                <w:sz w:val="18"/>
                <w:szCs w:val="18"/>
                <w:color w:val="auto"/>
              </w:rPr>
              <w:t>providing the service</w:t>
            </w: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3"/>
              </w:rPr>
              <w:t>be provided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Plus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pass-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through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3"/>
              </w:rPr>
              <w:t>actual third-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party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incurred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providing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the service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24 months from</w:t>
            </w:r>
          </w:p>
        </w:tc>
        <w:tc>
          <w:tcPr>
            <w:tcW w:w="2480" w:type="dxa"/>
            <w:vAlign w:val="bottom"/>
          </w:tcPr>
          <w:p>
            <w:pPr>
              <w:ind w:left="120"/>
              <w:spacing w:after="0"/>
              <w:rPr>
                <w:sz w:val="20"/>
                <w:szCs w:val="20"/>
                <w:color w:val="auto"/>
              </w:rPr>
            </w:pPr>
            <w:r>
              <w:rPr>
                <w:rFonts w:ascii="Arial" w:cs="Arial" w:eastAsia="Arial" w:hAnsi="Arial"/>
                <w:sz w:val="18"/>
                <w:szCs w:val="18"/>
                <w:color w:val="auto"/>
                <w:w w:val="93"/>
              </w:rPr>
              <w:t>Quoted hourly rate with respect</w:t>
            </w:r>
          </w:p>
        </w:tc>
        <w:tc>
          <w:tcPr>
            <w:tcW w:w="940" w:type="dxa"/>
            <w:vAlign w:val="bottom"/>
          </w:tcPr>
          <w:p>
            <w:pPr>
              <w:ind w:left="60"/>
              <w:spacing w:after="0"/>
              <w:rPr>
                <w:sz w:val="20"/>
                <w:szCs w:val="20"/>
                <w:color w:val="auto"/>
              </w:rPr>
            </w:pPr>
            <w:r>
              <w:rPr>
                <w:rFonts w:ascii="Arial" w:cs="Arial" w:eastAsia="Arial" w:hAnsi="Arial"/>
                <w:sz w:val="18"/>
                <w:szCs w:val="18"/>
                <w:color w:val="auto"/>
              </w:rPr>
              <w:t>Quoted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the</w:t>
            </w:r>
          </w:p>
        </w:tc>
        <w:tc>
          <w:tcPr>
            <w:tcW w:w="2480" w:type="dxa"/>
            <w:vAlign w:val="bottom"/>
          </w:tcPr>
          <w:p>
            <w:pPr>
              <w:ind w:left="120"/>
              <w:spacing w:after="0"/>
              <w:rPr>
                <w:sz w:val="20"/>
                <w:szCs w:val="20"/>
                <w:color w:val="auto"/>
              </w:rPr>
            </w:pPr>
            <w:r>
              <w:rPr>
                <w:rFonts w:ascii="Arial" w:cs="Arial" w:eastAsia="Arial" w:hAnsi="Arial"/>
                <w:sz w:val="18"/>
                <w:szCs w:val="18"/>
                <w:color w:val="auto"/>
              </w:rPr>
              <w:t>to the particular service to be</w:t>
            </w:r>
          </w:p>
        </w:tc>
        <w:tc>
          <w:tcPr>
            <w:tcW w:w="940" w:type="dxa"/>
            <w:vAlign w:val="bottom"/>
          </w:tcPr>
          <w:p>
            <w:pPr>
              <w:ind w:left="60"/>
              <w:spacing w:after="0"/>
              <w:rPr>
                <w:sz w:val="20"/>
                <w:szCs w:val="20"/>
                <w:color w:val="auto"/>
              </w:rPr>
            </w:pPr>
            <w:r>
              <w:rPr>
                <w:rFonts w:ascii="Arial" w:cs="Arial" w:eastAsia="Arial" w:hAnsi="Arial"/>
                <w:sz w:val="18"/>
                <w:szCs w:val="18"/>
                <w:color w:val="auto"/>
              </w:rPr>
              <w:t>hourly rate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5"/>
              </w:rPr>
              <w:t>Commencement</w:t>
            </w:r>
          </w:p>
        </w:tc>
        <w:tc>
          <w:tcPr>
            <w:tcW w:w="2480" w:type="dxa"/>
            <w:vAlign w:val="bottom"/>
          </w:tcPr>
          <w:p>
            <w:pPr>
              <w:ind w:left="120"/>
              <w:spacing w:after="0"/>
              <w:rPr>
                <w:sz w:val="20"/>
                <w:szCs w:val="20"/>
                <w:color w:val="auto"/>
              </w:rPr>
            </w:pPr>
            <w:r>
              <w:rPr>
                <w:rFonts w:ascii="Arial" w:cs="Arial" w:eastAsia="Arial" w:hAnsi="Arial"/>
                <w:sz w:val="18"/>
                <w:szCs w:val="18"/>
                <w:color w:val="auto"/>
              </w:rPr>
              <w:t>provided</w:t>
            </w:r>
          </w:p>
        </w:tc>
        <w:tc>
          <w:tcPr>
            <w:tcW w:w="940" w:type="dxa"/>
            <w:vAlign w:val="bottom"/>
          </w:tcPr>
          <w:p>
            <w:pPr>
              <w:ind w:left="60"/>
              <w:spacing w:after="0"/>
              <w:rPr>
                <w:sz w:val="20"/>
                <w:szCs w:val="20"/>
                <w:color w:val="auto"/>
              </w:rPr>
            </w:pPr>
            <w:r>
              <w:rPr>
                <w:rFonts w:ascii="Arial" w:cs="Arial" w:eastAsia="Arial" w:hAnsi="Arial"/>
                <w:sz w:val="18"/>
                <w:szCs w:val="18"/>
                <w:color w:val="auto"/>
                <w:w w:val="89"/>
              </w:rPr>
              <w:t>with respect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vMerge w:val="restart"/>
          </w:tcPr>
          <w:p>
            <w:pPr>
              <w:ind w:left="120"/>
              <w:spacing w:after="0"/>
              <w:rPr>
                <w:sz w:val="20"/>
                <w:szCs w:val="20"/>
                <w:color w:val="auto"/>
              </w:rPr>
            </w:pPr>
            <w:r>
              <w:rPr>
                <w:rFonts w:ascii="Arial" w:cs="Arial" w:eastAsia="Arial" w:hAnsi="Arial"/>
                <w:sz w:val="18"/>
                <w:szCs w:val="18"/>
                <w:color w:val="auto"/>
                <w:w w:val="94"/>
              </w:rPr>
              <w:t>Plus the pass-through of actual</w:t>
            </w:r>
          </w:p>
        </w:tc>
        <w:tc>
          <w:tcPr>
            <w:tcW w:w="940" w:type="dxa"/>
            <w:vAlign w:val="bottom"/>
          </w:tcPr>
          <w:p>
            <w:pPr>
              <w:ind w:left="60"/>
              <w:spacing w:after="0"/>
              <w:rPr>
                <w:sz w:val="20"/>
                <w:szCs w:val="20"/>
                <w:color w:val="auto"/>
              </w:rPr>
            </w:pPr>
            <w:r>
              <w:rPr>
                <w:rFonts w:ascii="Arial" w:cs="Arial" w:eastAsia="Arial" w:hAnsi="Arial"/>
                <w:sz w:val="18"/>
                <w:szCs w:val="18"/>
                <w:color w:val="auto"/>
              </w:rPr>
              <w:t>to the</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particular</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2480" w:type="dxa"/>
            <w:vAlign w:val="bottom"/>
            <w:vMerge w:val="restart"/>
          </w:tcPr>
          <w:p>
            <w:pPr>
              <w:ind w:left="120"/>
              <w:spacing w:after="0"/>
              <w:rPr>
                <w:sz w:val="20"/>
                <w:szCs w:val="20"/>
                <w:color w:val="auto"/>
              </w:rPr>
            </w:pPr>
            <w:r>
              <w:rPr>
                <w:rFonts w:ascii="Arial" w:cs="Arial" w:eastAsia="Arial" w:hAnsi="Arial"/>
                <w:sz w:val="18"/>
                <w:szCs w:val="18"/>
                <w:color w:val="auto"/>
              </w:rPr>
              <w:t>third-party costs incurred in</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service to</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2480" w:type="dxa"/>
            <w:vAlign w:val="bottom"/>
            <w:vMerge w:val="restart"/>
          </w:tcPr>
          <w:p>
            <w:pPr>
              <w:ind w:left="120"/>
              <w:spacing w:after="0"/>
              <w:rPr>
                <w:sz w:val="20"/>
                <w:szCs w:val="20"/>
                <w:color w:val="auto"/>
              </w:rPr>
            </w:pPr>
            <w:r>
              <w:rPr>
                <w:rFonts w:ascii="Arial" w:cs="Arial" w:eastAsia="Arial" w:hAnsi="Arial"/>
                <w:sz w:val="18"/>
                <w:szCs w:val="18"/>
                <w:color w:val="auto"/>
              </w:rPr>
              <w:t>providing the service</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w w:val="91"/>
              </w:rPr>
              <w:t>be provided</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Plus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pass-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through 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91"/>
              </w:rPr>
              <w:t>actual third-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98"/>
              </w:rPr>
              <w:t>party costs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incurred in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providing</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98"/>
              </w:rPr>
              <w:t>the service</w:t>
            </w:r>
          </w:p>
        </w:tc>
        <w:tc>
          <w:tcPr>
            <w:tcW w:w="0" w:type="dxa"/>
            <w:vAlign w:val="bottom"/>
          </w:tcPr>
          <w:p>
            <w:pPr>
              <w:spacing w:after="0"/>
              <w:rPr>
                <w:sz w:val="1"/>
                <w:szCs w:val="1"/>
                <w:color w:val="auto"/>
              </w:rPr>
            </w:pPr>
          </w:p>
        </w:tc>
      </w:tr>
    </w:tbl>
    <w:p>
      <w:pPr>
        <w:sectPr>
          <w:pgSz w:w="11900" w:h="16838" w:orient="portrait"/>
          <w:cols w:equalWidth="0" w:num="2">
            <w:col w:w="5720" w:space="600"/>
            <w:col w:w="4720"/>
          </w:cols>
          <w:pgMar w:left="440" w:top="252" w:right="419" w:bottom="1440" w:gutter="0" w:footer="0" w:header="0"/>
        </w:sectPr>
      </w:pPr>
    </w:p>
    <w:bookmarkStart w:id="533" w:name="page534"/>
    <w:bookmarkEnd w:id="5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vMerge w:val="restart"/>
          </w:tcPr>
          <w:p>
            <w:pPr>
              <w:spacing w:after="0"/>
              <w:rPr>
                <w:sz w:val="20"/>
                <w:szCs w:val="20"/>
                <w:color w:val="auto"/>
              </w:rPr>
            </w:pPr>
            <w:r>
              <w:rPr>
                <w:rFonts w:ascii="Arial" w:cs="Arial" w:eastAsia="Arial" w:hAnsi="Arial"/>
                <w:sz w:val="18"/>
                <w:szCs w:val="18"/>
                <w:color w:val="auto"/>
              </w:rPr>
              <w:t>G1.4.5</w:t>
            </w:r>
          </w:p>
        </w:tc>
        <w:tc>
          <w:tcPr>
            <w:tcW w:w="380" w:type="dxa"/>
            <w:vAlign w:val="bottom"/>
          </w:tcPr>
          <w:p>
            <w:pPr>
              <w:spacing w:after="0"/>
              <w:rPr>
                <w:sz w:val="16"/>
                <w:szCs w:val="16"/>
                <w:color w:val="auto"/>
              </w:rPr>
            </w:pP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220" w:type="dxa"/>
            <w:vAlign w:val="bottom"/>
          </w:tcPr>
          <w:p>
            <w:pPr>
              <w:spacing w:after="0"/>
              <w:rPr>
                <w:sz w:val="16"/>
                <w:szCs w:val="16"/>
                <w:color w:val="auto"/>
              </w:rPr>
            </w:pPr>
          </w:p>
        </w:tc>
        <w:tc>
          <w:tcPr>
            <w:tcW w:w="39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Crossover Services</w:t>
            </w:r>
          </w:p>
        </w:tc>
        <w:tc>
          <w:tcPr>
            <w:tcW w:w="22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w w:val="97"/>
              </w:rPr>
              <w:t>Provision of desktop support and core applications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gridSpan w:val="2"/>
          </w:tcPr>
          <w:p>
            <w:pPr>
              <w:ind w:left="220"/>
              <w:spacing w:after="0"/>
              <w:rPr>
                <w:sz w:val="20"/>
                <w:szCs w:val="20"/>
                <w:color w:val="auto"/>
              </w:rPr>
            </w:pPr>
            <w:r>
              <w:rPr>
                <w:rFonts w:ascii="Arial" w:cs="Arial" w:eastAsia="Arial" w:hAnsi="Arial"/>
                <w:sz w:val="18"/>
                <w:szCs w:val="18"/>
                <w:color w:val="auto"/>
                <w:w w:val="89"/>
              </w:rPr>
              <w:t>services for scenarios where people not transferred are</w:t>
            </w:r>
          </w:p>
        </w:tc>
        <w:tc>
          <w:tcPr>
            <w:tcW w:w="0" w:type="dxa"/>
            <w:vAlign w:val="bottom"/>
          </w:tcPr>
          <w:p>
            <w:pPr>
              <w:spacing w:after="0"/>
              <w:rPr>
                <w:sz w:val="1"/>
                <w:szCs w:val="1"/>
                <w:color w:val="auto"/>
              </w:rPr>
            </w:pPr>
          </w:p>
        </w:tc>
      </w:tr>
    </w:tbl>
    <w:p>
      <w:pPr>
        <w:ind w:left="3180" w:right="120"/>
        <w:spacing w:after="0" w:line="253" w:lineRule="auto"/>
        <w:rPr>
          <w:sz w:val="20"/>
          <w:szCs w:val="20"/>
          <w:color w:val="auto"/>
        </w:rPr>
      </w:pPr>
      <w:r>
        <w:rPr>
          <w:rFonts w:ascii="Arial" w:cs="Arial" w:eastAsia="Arial" w:hAnsi="Arial"/>
          <w:sz w:val="18"/>
          <w:szCs w:val="18"/>
          <w:color w:val="auto"/>
        </w:rPr>
        <w:t>required to temporarily assist in RCP to augment transferred peoples’ expertise or capacity, notwithstanding both parties’ intentions to have these areas of support self-sufficient inside RCP by commencement date.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Monthly Fee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(USD) –</w:t>
            </w:r>
          </w:p>
        </w:tc>
        <w:tc>
          <w:tcPr>
            <w:tcW w:w="220" w:type="dxa"/>
            <w:vAlign w:val="bottom"/>
          </w:tcPr>
          <w:p>
            <w:pPr>
              <w:spacing w:after="0"/>
              <w:rPr>
                <w:sz w:val="12"/>
                <w:szCs w:val="12"/>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Monthly Fee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Commencement</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 2020</w:t>
            </w:r>
          </w:p>
        </w:tc>
        <w:tc>
          <w:tcPr>
            <w:tcW w:w="220" w:type="dxa"/>
            <w:vAlign w:val="bottom"/>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(USD)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12 months from</w:t>
            </w:r>
          </w:p>
        </w:tc>
        <w:tc>
          <w:tcPr>
            <w:tcW w:w="220" w:type="dxa"/>
            <w:vAlign w:val="bottom"/>
          </w:tcPr>
          <w:p>
            <w:pPr>
              <w:spacing w:after="0"/>
              <w:rPr>
                <w:sz w:val="16"/>
                <w:szCs w:val="16"/>
                <w:color w:val="auto"/>
              </w:rPr>
            </w:pPr>
          </w:p>
        </w:tc>
        <w:tc>
          <w:tcPr>
            <w:tcW w:w="1160" w:type="dxa"/>
            <w:vAlign w:val="bottom"/>
          </w:tcPr>
          <w:p>
            <w:pPr>
              <w:spacing w:after="0" w:line="195" w:lineRule="exact"/>
              <w:rPr>
                <w:sz w:val="20"/>
                <w:szCs w:val="20"/>
                <w:color w:val="auto"/>
              </w:rPr>
            </w:pPr>
            <w:r>
              <w:rPr>
                <w:rFonts w:ascii="Arial" w:cs="Arial" w:eastAsia="Arial" w:hAnsi="Arial"/>
                <w:sz w:val="18"/>
                <w:szCs w:val="18"/>
                <w:color w:val="auto"/>
              </w:rPr>
              <w:t>No fee</w:t>
            </w:r>
          </w:p>
        </w:tc>
        <w:tc>
          <w:tcPr>
            <w:tcW w:w="22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No fee</w:t>
            </w: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the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w w:val="98"/>
              </w:rPr>
              <w:t>Commencement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7140" w:space="100"/>
            <w:col w:w="3800"/>
          </w:cols>
          <w:pgMar w:left="440" w:top="253" w:right="41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G2: HR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G2.1</w:t>
            </w:r>
          </w:p>
        </w:tc>
        <w:tc>
          <w:tcPr>
            <w:tcW w:w="400" w:type="dxa"/>
            <w:vAlign w:val="bottom"/>
          </w:tcPr>
          <w:p>
            <w:pPr>
              <w:spacing w:after="0"/>
              <w:rPr>
                <w:sz w:val="16"/>
                <w:szCs w:val="16"/>
                <w:color w:val="auto"/>
              </w:rPr>
            </w:pP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Description of Service</w:t>
            </w:r>
          </w:p>
        </w:tc>
        <w:tc>
          <w:tcPr>
            <w:tcW w:w="100" w:type="dxa"/>
            <w:vAlign w:val="bottom"/>
          </w:tcPr>
          <w:p>
            <w:pPr>
              <w:spacing w:after="0"/>
              <w:rPr>
                <w:sz w:val="16"/>
                <w:szCs w:val="16"/>
                <w:color w:val="auto"/>
              </w:rPr>
            </w:pPr>
          </w:p>
        </w:tc>
        <w:tc>
          <w:tcPr>
            <w:tcW w:w="17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spacing w:after="0" w:line="195" w:lineRule="exact"/>
              <w:rPr>
                <w:sz w:val="20"/>
                <w:szCs w:val="20"/>
                <w:color w:val="auto"/>
              </w:rPr>
            </w:pPr>
            <w:r>
              <w:rPr>
                <w:rFonts w:ascii="Arial" w:cs="Arial" w:eastAsia="Arial" w:hAnsi="Arial"/>
                <w:sz w:val="18"/>
                <w:szCs w:val="18"/>
                <w:color w:val="auto"/>
              </w:rPr>
              <w:t>General HR – Ancillary</w:t>
            </w:r>
          </w:p>
        </w:tc>
        <w:tc>
          <w:tcPr>
            <w:tcW w:w="1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w w:val="98"/>
              </w:rPr>
              <w:t>RGHI will be available to provide transition of support and</w:t>
            </w:r>
          </w:p>
        </w:tc>
        <w:tc>
          <w:tcPr>
            <w:tcW w:w="1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No fee</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500" w:type="dxa"/>
            <w:vAlign w:val="bottom"/>
            <w:gridSpan w:val="2"/>
          </w:tcPr>
          <w:p>
            <w:pPr>
              <w:ind w:left="380"/>
              <w:spacing w:after="0"/>
              <w:rPr>
                <w:sz w:val="20"/>
                <w:szCs w:val="20"/>
                <w:color w:val="auto"/>
              </w:rPr>
            </w:pPr>
            <w:r>
              <w:rPr>
                <w:rFonts w:ascii="Arial" w:cs="Arial" w:eastAsia="Arial" w:hAnsi="Arial"/>
                <w:sz w:val="18"/>
                <w:szCs w:val="18"/>
                <w:color w:val="auto"/>
              </w:rPr>
              <w:t>Services</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agreements and provide support for meetings to share</w:t>
            </w: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w w:val="99"/>
              </w:rPr>
              <w:t>Commencement Date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w w:val="95"/>
              </w:rPr>
              <w:t>information and answer any questions with current vendors</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regarding current practices, including but not limited to</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w w:val="96"/>
              </w:rPr>
              <w:t>support for separation of 401(K), H&amp;W, and pension plans.</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parties shall cooperate in good faith regarding preparation</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of 5500s and ACA reporting for plan year 2019, with</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responsibility for filings as follows:</w:t>
      </w:r>
    </w:p>
    <w:p>
      <w:pPr>
        <w:spacing w:after="0" w:line="116" w:lineRule="exact"/>
        <w:rPr>
          <w:sz w:val="20"/>
          <w:szCs w:val="20"/>
          <w:color w:val="auto"/>
        </w:rPr>
      </w:pPr>
    </w:p>
    <w:p>
      <w:pPr>
        <w:ind w:left="3680" w:hanging="340"/>
        <w:spacing w:after="0"/>
        <w:tabs>
          <w:tab w:leader="none" w:pos="36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401(K) 5500s</w:t>
      </w:r>
    </w:p>
    <w:p>
      <w:pPr>
        <w:spacing w:after="0" w:line="130" w:lineRule="exact"/>
        <w:rPr>
          <w:rFonts w:ascii="Arial" w:cs="Arial" w:eastAsia="Arial" w:hAnsi="Arial"/>
          <w:sz w:val="18"/>
          <w:szCs w:val="18"/>
          <w:color w:val="auto"/>
        </w:rPr>
      </w:pPr>
    </w:p>
    <w:p>
      <w:pPr>
        <w:ind w:left="4060" w:right="3260" w:hanging="360"/>
        <w:spacing w:after="0" w:line="264" w:lineRule="auto"/>
        <w:tabs>
          <w:tab w:leader="none" w:pos="404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RGHI shall file for existing Employee Savings Plan (non-bargaining) and Employee Savings Plan for Pactiv Bargaining</w:t>
      </w:r>
    </w:p>
    <w:p>
      <w:pPr>
        <w:spacing w:after="0" w:line="86" w:lineRule="exact"/>
        <w:rPr>
          <w:rFonts w:ascii="Arial" w:cs="Arial" w:eastAsia="Arial" w:hAnsi="Arial"/>
          <w:sz w:val="18"/>
          <w:szCs w:val="18"/>
          <w:color w:val="auto"/>
        </w:rPr>
      </w:pPr>
    </w:p>
    <w:p>
      <w:pPr>
        <w:ind w:left="4060" w:right="3300" w:hanging="360"/>
        <w:spacing w:after="0" w:line="259" w:lineRule="auto"/>
        <w:tabs>
          <w:tab w:leader="none" w:pos="404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RCP shall file for Employee Savings Plan for Reynolds Bargaining and any new Company savings plans established as of the Commencement Date</w:t>
      </w:r>
    </w:p>
    <w:p>
      <w:pPr>
        <w:spacing w:after="0" w:line="92" w:lineRule="exact"/>
        <w:rPr>
          <w:rFonts w:ascii="Arial" w:cs="Arial" w:eastAsia="Arial" w:hAnsi="Arial"/>
          <w:sz w:val="18"/>
          <w:szCs w:val="18"/>
          <w:color w:val="auto"/>
        </w:rPr>
      </w:pPr>
    </w:p>
    <w:p>
      <w:pPr>
        <w:ind w:left="3680" w:hanging="340"/>
        <w:spacing w:after="0"/>
        <w:tabs>
          <w:tab w:leader="none" w:pos="36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Pension and H&amp;W 5500s</w:t>
      </w:r>
    </w:p>
    <w:p>
      <w:pPr>
        <w:spacing w:after="0" w:line="130" w:lineRule="exact"/>
        <w:rPr>
          <w:rFonts w:ascii="Arial" w:cs="Arial" w:eastAsia="Arial" w:hAnsi="Arial"/>
          <w:sz w:val="18"/>
          <w:szCs w:val="18"/>
          <w:color w:val="auto"/>
        </w:rPr>
      </w:pPr>
    </w:p>
    <w:p>
      <w:pPr>
        <w:ind w:left="4060" w:right="3400" w:hanging="360"/>
        <w:spacing w:after="0" w:line="293" w:lineRule="auto"/>
        <w:tabs>
          <w:tab w:leader="none" w:pos="4044" w:val="left"/>
        </w:tabs>
        <w:numPr>
          <w:ilvl w:val="1"/>
          <w:numId w:val="464"/>
        </w:numPr>
        <w:rPr>
          <w:rFonts w:ascii="Arial" w:cs="Arial" w:eastAsia="Arial" w:hAnsi="Arial"/>
          <w:sz w:val="16"/>
          <w:szCs w:val="16"/>
          <w:color w:val="auto"/>
        </w:rPr>
      </w:pPr>
      <w:r>
        <w:rPr>
          <w:rFonts w:ascii="Arial" w:cs="Arial" w:eastAsia="Arial" w:hAnsi="Arial"/>
          <w:sz w:val="16"/>
          <w:szCs w:val="16"/>
          <w:color w:val="auto"/>
        </w:rPr>
        <w:t>RGHI shall file for Reynolds Services Inc. Group Benefit Plan, Pactiv Retirement Plan, Reynolds Services Inc. Group Benefit Plan for Bargaining Unit Employees, Pactiv Retiree Health &amp; Welfare Plan, Reynolds Group Pension Plan, Evergreen Packaging Pension Plan</w:t>
      </w:r>
    </w:p>
    <w:p>
      <w:pPr>
        <w:spacing w:after="0" w:line="70" w:lineRule="exact"/>
        <w:rPr>
          <w:rFonts w:ascii="Arial" w:cs="Arial" w:eastAsia="Arial" w:hAnsi="Arial"/>
          <w:sz w:val="16"/>
          <w:szCs w:val="16"/>
          <w:color w:val="auto"/>
        </w:rPr>
      </w:pPr>
    </w:p>
    <w:p>
      <w:pPr>
        <w:ind w:left="4060" w:right="3380" w:hanging="360"/>
        <w:spacing w:after="0" w:line="277" w:lineRule="auto"/>
        <w:tabs>
          <w:tab w:leader="none" w:pos="404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RCP shall file for new Company plans established as of the Commencement Date</w:t>
      </w:r>
    </w:p>
    <w:p>
      <w:pPr>
        <w:spacing w:after="0" w:line="75" w:lineRule="exact"/>
        <w:rPr>
          <w:rFonts w:ascii="Arial" w:cs="Arial" w:eastAsia="Arial" w:hAnsi="Arial"/>
          <w:sz w:val="18"/>
          <w:szCs w:val="18"/>
          <w:color w:val="auto"/>
        </w:rPr>
      </w:pPr>
    </w:p>
    <w:p>
      <w:pPr>
        <w:ind w:left="3680" w:hanging="340"/>
        <w:spacing w:after="0"/>
        <w:tabs>
          <w:tab w:leader="none" w:pos="36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ACA Reporting</w:t>
      </w:r>
    </w:p>
    <w:p>
      <w:pPr>
        <w:spacing w:after="0" w:line="130" w:lineRule="exact"/>
        <w:rPr>
          <w:rFonts w:ascii="Arial" w:cs="Arial" w:eastAsia="Arial" w:hAnsi="Arial"/>
          <w:sz w:val="18"/>
          <w:szCs w:val="18"/>
          <w:color w:val="auto"/>
        </w:rPr>
      </w:pPr>
    </w:p>
    <w:p>
      <w:pPr>
        <w:ind w:left="4040" w:hanging="340"/>
        <w:spacing w:after="0"/>
        <w:tabs>
          <w:tab w:leader="none" w:pos="404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RCP shall coordinate filing</w:t>
      </w:r>
    </w:p>
    <w:p>
      <w:pPr>
        <w:sectPr>
          <w:pgSz w:w="11900" w:h="16838" w:orient="portrait"/>
          <w:cols w:equalWidth="0" w:num="1">
            <w:col w:w="11040"/>
          </w:cols>
          <w:pgMar w:left="440" w:top="269" w:right="419" w:bottom="1440" w:gutter="0" w:footer="0" w:header="0"/>
        </w:sectPr>
      </w:pP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G2.2</w:t>
            </w:r>
          </w:p>
        </w:tc>
        <w:tc>
          <w:tcPr>
            <w:tcW w:w="2360" w:type="dxa"/>
            <w:vAlign w:val="bottom"/>
          </w:tcPr>
          <w:p>
            <w:pPr>
              <w:ind w:left="380"/>
              <w:spacing w:after="0"/>
              <w:rPr>
                <w:sz w:val="20"/>
                <w:szCs w:val="20"/>
                <w:color w:val="auto"/>
              </w:rPr>
            </w:pPr>
            <w:r>
              <w:rPr>
                <w:rFonts w:ascii="Arial" w:cs="Arial" w:eastAsia="Arial" w:hAnsi="Arial"/>
                <w:sz w:val="18"/>
                <w:szCs w:val="18"/>
                <w:color w:val="auto"/>
              </w:rPr>
              <w:t>General HR –</w:t>
            </w:r>
          </w:p>
        </w:tc>
        <w:tc>
          <w:tcPr>
            <w:tcW w:w="4740" w:type="dxa"/>
            <w:vAlign w:val="bottom"/>
          </w:tcPr>
          <w:p>
            <w:pPr>
              <w:ind w:left="240"/>
              <w:spacing w:after="0"/>
              <w:rPr>
                <w:sz w:val="20"/>
                <w:szCs w:val="20"/>
                <w:color w:val="auto"/>
              </w:rPr>
            </w:pPr>
            <w:r>
              <w:rPr>
                <w:rFonts w:ascii="Arial" w:cs="Arial" w:eastAsia="Arial" w:hAnsi="Arial"/>
                <w:sz w:val="18"/>
                <w:szCs w:val="18"/>
                <w:color w:val="auto"/>
                <w:w w:val="93"/>
              </w:rPr>
              <w:t>Administrative Assistant, HR Benefits will be available (50%)</w:t>
            </w:r>
          </w:p>
        </w:tc>
      </w:tr>
      <w:tr>
        <w:trPr>
          <w:trHeight w:val="216"/>
        </w:trPr>
        <w:tc>
          <w:tcPr>
            <w:tcW w:w="740" w:type="dxa"/>
            <w:vAlign w:val="bottom"/>
          </w:tcPr>
          <w:p>
            <w:pPr>
              <w:spacing w:after="0"/>
              <w:rPr>
                <w:sz w:val="18"/>
                <w:szCs w:val="18"/>
                <w:color w:val="auto"/>
              </w:rPr>
            </w:pPr>
          </w:p>
        </w:tc>
        <w:tc>
          <w:tcPr>
            <w:tcW w:w="2360" w:type="dxa"/>
            <w:vAlign w:val="bottom"/>
          </w:tcPr>
          <w:p>
            <w:pPr>
              <w:ind w:left="380"/>
              <w:spacing w:after="0"/>
              <w:rPr>
                <w:sz w:val="20"/>
                <w:szCs w:val="20"/>
                <w:color w:val="auto"/>
              </w:rPr>
            </w:pPr>
            <w:r>
              <w:rPr>
                <w:rFonts w:ascii="Arial" w:cs="Arial" w:eastAsia="Arial" w:hAnsi="Arial"/>
                <w:sz w:val="18"/>
                <w:szCs w:val="18"/>
                <w:color w:val="auto"/>
              </w:rPr>
              <w:t>Administrative Services</w:t>
            </w:r>
          </w:p>
        </w:tc>
        <w:tc>
          <w:tcPr>
            <w:tcW w:w="4740" w:type="dxa"/>
            <w:vAlign w:val="bottom"/>
          </w:tcPr>
          <w:p>
            <w:pPr>
              <w:ind w:left="240"/>
              <w:spacing w:after="0"/>
              <w:rPr>
                <w:sz w:val="20"/>
                <w:szCs w:val="20"/>
                <w:color w:val="auto"/>
              </w:rPr>
            </w:pPr>
            <w:r>
              <w:rPr>
                <w:rFonts w:ascii="Arial" w:cs="Arial" w:eastAsia="Arial" w:hAnsi="Arial"/>
                <w:sz w:val="18"/>
                <w:szCs w:val="18"/>
                <w:color w:val="auto"/>
                <w:w w:val="92"/>
              </w:rPr>
              <w:t>to provide services to RCP under a Secondment Agreement.</w:t>
            </w:r>
          </w:p>
        </w:tc>
      </w:tr>
      <w:tr>
        <w:trPr>
          <w:trHeight w:val="216"/>
        </w:trPr>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w w:val="99"/>
              </w:rPr>
              <w:t>Services will includes all as currently provided, including:</w:t>
            </w:r>
          </w:p>
        </w:tc>
      </w:tr>
      <w:tr>
        <w:trPr>
          <w:trHeight w:val="216"/>
        </w:trPr>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preparation of informational bulletins related to benefits,</w:t>
            </w:r>
          </w:p>
        </w:tc>
      </w:tr>
      <w:tr>
        <w:trPr>
          <w:trHeight w:val="216"/>
        </w:trPr>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w w:val="96"/>
              </w:rPr>
              <w:t>vendor billing administration, tracking vendor performance</w:t>
            </w:r>
          </w:p>
        </w:tc>
      </w:tr>
      <w:tr>
        <w:trPr>
          <w:trHeight w:val="230"/>
        </w:trPr>
        <w:tc>
          <w:tcPr>
            <w:tcW w:w="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guarantees, and general administrative duties.</w:t>
            </w: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earlier of</w:t>
      </w:r>
    </w:p>
    <w:p>
      <w:pPr>
        <w:spacing w:after="0" w:line="23" w:lineRule="exact"/>
        <w:rPr>
          <w:sz w:val="20"/>
          <w:szCs w:val="20"/>
          <w:color w:val="auto"/>
        </w:rPr>
      </w:pPr>
    </w:p>
    <w:p>
      <w:pPr>
        <w:ind w:left="2" w:hanging="2"/>
        <w:spacing w:after="0" w:line="295" w:lineRule="auto"/>
        <w:tabs>
          <w:tab w:leader="none" w:pos="217" w:val="left"/>
        </w:tabs>
        <w:numPr>
          <w:ilvl w:val="0"/>
          <w:numId w:val="465"/>
        </w:numPr>
        <w:rPr>
          <w:rFonts w:ascii="Arial" w:cs="Arial" w:eastAsia="Arial" w:hAnsi="Arial"/>
          <w:sz w:val="16"/>
          <w:szCs w:val="16"/>
          <w:color w:val="auto"/>
        </w:rPr>
      </w:pPr>
      <w:r>
        <w:rPr>
          <w:rFonts w:ascii="Arial" w:cs="Arial" w:eastAsia="Arial" w:hAnsi="Arial"/>
          <w:sz w:val="16"/>
          <w:szCs w:val="16"/>
          <w:color w:val="auto"/>
        </w:rPr>
        <w:t>December 31, 2020 or (ii) the cessation of current Administrative Assistant’s employment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$3,300 per month</w:t>
      </w:r>
    </w:p>
    <w:p>
      <w:pPr>
        <w:spacing w:after="0" w:line="5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Plus pass-through of actual third-party costs incurred in providing the service</w:t>
      </w:r>
    </w:p>
    <w:p>
      <w:pPr>
        <w:sectPr>
          <w:pgSz w:w="11900" w:h="16838" w:orient="portrait"/>
          <w:cols w:equalWidth="0" w:num="3">
            <w:col w:w="7840" w:space="118"/>
            <w:col w:w="1722" w:space="140"/>
            <w:col w:w="1220"/>
          </w:cols>
          <w:pgMar w:left="440" w:top="269" w:right="419" w:bottom="1440" w:gutter="0" w:footer="0" w:header="0"/>
          <w:type w:val="continuous"/>
        </w:sectPr>
      </w:pPr>
    </w:p>
    <w:bookmarkStart w:id="535" w:name="page536"/>
    <w:bookmarkEnd w:id="535"/>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G2.3</w:t>
            </w:r>
          </w:p>
        </w:tc>
        <w:tc>
          <w:tcPr>
            <w:tcW w:w="400" w:type="dxa"/>
            <w:vAlign w:val="bottom"/>
          </w:tcPr>
          <w:p>
            <w:pPr>
              <w:spacing w:after="0"/>
              <w:rPr>
                <w:sz w:val="16"/>
                <w:szCs w:val="16"/>
                <w:color w:val="auto"/>
              </w:rPr>
            </w:pP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Service Name</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spacing w:after="0" w:line="195" w:lineRule="exact"/>
              <w:rPr>
                <w:sz w:val="20"/>
                <w:szCs w:val="20"/>
                <w:color w:val="auto"/>
              </w:rPr>
            </w:pPr>
            <w:r>
              <w:rPr>
                <w:rFonts w:ascii="Arial" w:cs="Arial" w:eastAsia="Arial" w:hAnsi="Arial"/>
                <w:sz w:val="18"/>
                <w:szCs w:val="18"/>
                <w:color w:val="auto"/>
                <w:w w:val="95"/>
              </w:rPr>
              <w:t>Payroll Services – Systems</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500" w:type="dxa"/>
            <w:vAlign w:val="bottom"/>
            <w:gridSpan w:val="2"/>
          </w:tcPr>
          <w:p>
            <w:pPr>
              <w:ind w:left="380"/>
              <w:spacing w:after="0"/>
              <w:rPr>
                <w:sz w:val="20"/>
                <w:szCs w:val="20"/>
                <w:color w:val="auto"/>
              </w:rPr>
            </w:pPr>
            <w:r>
              <w:rPr>
                <w:rFonts w:ascii="Arial" w:cs="Arial" w:eastAsia="Arial" w:hAnsi="Arial"/>
                <w:sz w:val="18"/>
                <w:szCs w:val="18"/>
                <w:color w:val="auto"/>
              </w:rPr>
              <w:t>and Support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Description of Service</w:t>
            </w:r>
          </w:p>
        </w:tc>
        <w:tc>
          <w:tcPr>
            <w:tcW w:w="100" w:type="dxa"/>
            <w:vAlign w:val="bottom"/>
          </w:tcPr>
          <w:p>
            <w:pPr>
              <w:spacing w:after="0"/>
              <w:rPr>
                <w:sz w:val="16"/>
                <w:szCs w:val="16"/>
                <w:color w:val="auto"/>
              </w:rPr>
            </w:pPr>
          </w:p>
        </w:tc>
        <w:tc>
          <w:tcPr>
            <w:tcW w:w="17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gridSpan w:val="3"/>
          </w:tcPr>
          <w:p>
            <w:pPr>
              <w:spacing w:after="0" w:line="195" w:lineRule="exact"/>
              <w:rPr>
                <w:sz w:val="20"/>
                <w:szCs w:val="20"/>
                <w:color w:val="auto"/>
              </w:rPr>
            </w:pPr>
            <w:r>
              <w:rPr>
                <w:rFonts w:ascii="Arial" w:cs="Arial" w:eastAsia="Arial" w:hAnsi="Arial"/>
                <w:sz w:val="18"/>
                <w:szCs w:val="18"/>
                <w:color w:val="auto"/>
              </w:rPr>
              <w:t>Provision of payroll services comprising:</w:t>
            </w:r>
          </w:p>
        </w:tc>
        <w:tc>
          <w:tcPr>
            <w:tcW w:w="1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$11,000 per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960" w:type="dxa"/>
            <w:vAlign w:val="bottom"/>
            <w:gridSpan w:val="2"/>
            <w:vMerge w:val="restart"/>
          </w:tcPr>
          <w:p>
            <w:pPr>
              <w:ind w:left="140"/>
              <w:spacing w:after="0"/>
              <w:rPr>
                <w:sz w:val="20"/>
                <w:szCs w:val="20"/>
                <w:color w:val="auto"/>
              </w:rPr>
            </w:pPr>
            <w:r>
              <w:rPr>
                <w:rFonts w:ascii="Arial" w:cs="Arial" w:eastAsia="Arial" w:hAnsi="Arial"/>
                <w:sz w:val="18"/>
                <w:szCs w:val="18"/>
                <w:color w:val="auto"/>
                <w:w w:val="96"/>
              </w:rPr>
              <w:t>Management of the relationship and contract with</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month</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ADP and Kronos</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$29,150 per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960" w:type="dxa"/>
            <w:vAlign w:val="bottom"/>
            <w:gridSpan w:val="2"/>
            <w:vMerge w:val="restart"/>
          </w:tcPr>
          <w:p>
            <w:pPr>
              <w:ind w:left="140"/>
              <w:spacing w:after="0"/>
              <w:rPr>
                <w:sz w:val="20"/>
                <w:szCs w:val="20"/>
                <w:color w:val="auto"/>
              </w:rPr>
            </w:pPr>
            <w:r>
              <w:rPr>
                <w:rFonts w:ascii="Arial" w:cs="Arial" w:eastAsia="Arial" w:hAnsi="Arial"/>
                <w:sz w:val="18"/>
                <w:szCs w:val="18"/>
                <w:color w:val="auto"/>
              </w:rPr>
              <w:t>Software and hosting access to Kronos</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month for ADP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rPr>
              <w:t>$3,700 per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960" w:type="dxa"/>
            <w:vAlign w:val="bottom"/>
            <w:gridSpan w:val="2"/>
            <w:vMerge w:val="restart"/>
          </w:tcPr>
          <w:p>
            <w:pPr>
              <w:ind w:left="140"/>
              <w:spacing w:after="0"/>
              <w:rPr>
                <w:sz w:val="20"/>
                <w:szCs w:val="20"/>
                <w:color w:val="auto"/>
              </w:rPr>
            </w:pPr>
            <w:r>
              <w:rPr>
                <w:rFonts w:ascii="Arial" w:cs="Arial" w:eastAsia="Arial" w:hAnsi="Arial"/>
                <w:sz w:val="18"/>
                <w:szCs w:val="18"/>
                <w:color w:val="auto"/>
              </w:rPr>
              <w:t>Ongoing support of interface files with ADP and</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rPr>
              <w:t>month for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960" w:type="dxa"/>
            <w:vAlign w:val="bottom"/>
            <w:gridSpan w:val="2"/>
            <w:vMerge w:val="restart"/>
          </w:tcPr>
          <w:p>
            <w:pPr>
              <w:ind w:left="160"/>
              <w:spacing w:after="0"/>
              <w:rPr>
                <w:sz w:val="20"/>
                <w:szCs w:val="20"/>
                <w:color w:val="auto"/>
              </w:rPr>
            </w:pPr>
            <w:r>
              <w:rPr>
                <w:rFonts w:ascii="Arial" w:cs="Arial" w:eastAsia="Arial" w:hAnsi="Arial"/>
                <w:sz w:val="18"/>
                <w:szCs w:val="18"/>
                <w:color w:val="auto"/>
              </w:rPr>
              <w:t>third-party vendors consistent with current</w:t>
            </w: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Kronos software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960" w:type="dxa"/>
            <w:vAlign w:val="bottom"/>
            <w:gridSpan w:val="2"/>
            <w:vMerge w:val="restart"/>
          </w:tcPr>
          <w:p>
            <w:pPr>
              <w:ind w:left="160"/>
              <w:spacing w:after="0"/>
              <w:rPr>
                <w:sz w:val="20"/>
                <w:szCs w:val="20"/>
                <w:color w:val="auto"/>
              </w:rPr>
            </w:pPr>
            <w:r>
              <w:rPr>
                <w:rFonts w:ascii="Arial" w:cs="Arial" w:eastAsia="Arial" w:hAnsi="Arial"/>
                <w:sz w:val="18"/>
                <w:szCs w:val="18"/>
                <w:color w:val="auto"/>
                <w:w w:val="95"/>
              </w:rPr>
              <w:t>practices, including management and oversight of</w:t>
            </w: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rPr>
              <w:t>(hosting fees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960" w:type="dxa"/>
            <w:vAlign w:val="bottom"/>
            <w:gridSpan w:val="2"/>
            <w:vMerge w:val="restart"/>
          </w:tcPr>
          <w:p>
            <w:pPr>
              <w:ind w:left="160"/>
              <w:spacing w:after="0"/>
              <w:rPr>
                <w:sz w:val="20"/>
                <w:szCs w:val="20"/>
                <w:color w:val="auto"/>
              </w:rPr>
            </w:pPr>
            <w:r>
              <w:rPr>
                <w:rFonts w:ascii="Arial" w:cs="Arial" w:eastAsia="Arial" w:hAnsi="Arial"/>
                <w:sz w:val="18"/>
                <w:szCs w:val="18"/>
                <w:color w:val="auto"/>
              </w:rPr>
              <w:t>existing vendor feeds</w:t>
            </w: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rPr>
              <w:t>included in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gridSpan w:val="3"/>
          </w:tcPr>
          <w:p>
            <w:pPr>
              <w:ind w:left="340"/>
              <w:spacing w:after="0"/>
              <w:rPr>
                <w:sz w:val="20"/>
                <w:szCs w:val="20"/>
                <w:color w:val="auto"/>
              </w:rPr>
            </w:pPr>
            <w:r>
              <w:rPr>
                <w:rFonts w:ascii="Arial" w:cs="Arial" w:eastAsia="Arial" w:hAnsi="Arial"/>
                <w:sz w:val="18"/>
                <w:szCs w:val="18"/>
                <w:color w:val="auto"/>
              </w:rPr>
              <w:t>•   Access to ADP and Kronos so that RCP may</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Section G1)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undertake:</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rPr>
              <w:t>Plus pass-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3600" w:type="dxa"/>
            <w:vAlign w:val="bottom"/>
          </w:tcPr>
          <w:p>
            <w:pPr>
              <w:ind w:left="140"/>
              <w:spacing w:after="0"/>
              <w:rPr>
                <w:sz w:val="20"/>
                <w:szCs w:val="20"/>
                <w:color w:val="auto"/>
              </w:rPr>
            </w:pPr>
            <w:r>
              <w:rPr>
                <w:rFonts w:ascii="Arial" w:cs="Arial" w:eastAsia="Arial" w:hAnsi="Arial"/>
                <w:sz w:val="18"/>
                <w:szCs w:val="18"/>
                <w:color w:val="auto"/>
              </w:rPr>
              <w:t>Processing salaried and hourly payrolls</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through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3600" w:type="dxa"/>
            <w:vAlign w:val="bottom"/>
            <w:vMerge w:val="restart"/>
          </w:tcPr>
          <w:p>
            <w:pPr>
              <w:ind w:left="140"/>
              <w:spacing w:after="0"/>
              <w:rPr>
                <w:sz w:val="20"/>
                <w:szCs w:val="20"/>
                <w:color w:val="auto"/>
              </w:rPr>
            </w:pPr>
            <w:r>
              <w:rPr>
                <w:rFonts w:ascii="Arial" w:cs="Arial" w:eastAsia="Arial" w:hAnsi="Arial"/>
                <w:sz w:val="18"/>
                <w:szCs w:val="18"/>
                <w:color w:val="auto"/>
              </w:rPr>
              <w:t>New hire reporting</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actual third-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color w:val="auto"/>
              </w:rPr>
              <w:t>party costs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   Year-end tax reporting and preparation for</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incurred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employees (if applicable)</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providing the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gridSpan w:val="2"/>
          </w:tcPr>
          <w:p>
            <w:pPr>
              <w:ind w:left="100"/>
              <w:spacing w:after="0" w:line="177" w:lineRule="exact"/>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-2744470</wp:posOffset>
            </wp:positionV>
            <wp:extent cx="72891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60" w:hanging="340"/>
        <w:spacing w:after="0"/>
        <w:tabs>
          <w:tab w:leader="none" w:pos="10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Payroll tax return preparation</w:t>
      </w:r>
    </w:p>
    <w:p>
      <w:pPr>
        <w:spacing w:after="0" w:line="114" w:lineRule="exact"/>
        <w:rPr>
          <w:rFonts w:ascii="Arial" w:cs="Arial" w:eastAsia="Arial" w:hAnsi="Arial"/>
          <w:sz w:val="18"/>
          <w:szCs w:val="18"/>
          <w:color w:val="auto"/>
        </w:rPr>
      </w:pPr>
    </w:p>
    <w:p>
      <w:pPr>
        <w:ind w:left="1080" w:right="3380" w:hanging="360"/>
        <w:spacing w:after="0" w:line="342" w:lineRule="auto"/>
        <w:tabs>
          <w:tab w:leader="none" w:pos="1054"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Access to HRIS reporting capabilities (where applicable and with existing vendors/feeds)</w:t>
      </w:r>
    </w:p>
    <w:p>
      <w:pPr>
        <w:spacing w:after="0" w:line="29" w:lineRule="exact"/>
        <w:rPr>
          <w:sz w:val="20"/>
          <w:szCs w:val="20"/>
          <w:color w:val="auto"/>
        </w:rPr>
      </w:pPr>
    </w:p>
    <w:p>
      <w:pPr>
        <w:sectPr>
          <w:pgSz w:w="11900" w:h="16838" w:orient="portrait"/>
          <w:cols w:equalWidth="0" w:num="2">
            <w:col w:w="3240" w:space="100"/>
            <w:col w:w="7700"/>
          </w:cols>
          <w:pgMar w:left="440" w:top="265" w:right="419" w:bottom="1440" w:gutter="0" w:footer="0" w:header="0"/>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w w:val="91"/>
              </w:rPr>
              <w:t>RCP will be responsible for generating their own reports from</w:t>
            </w:r>
          </w:p>
        </w:tc>
      </w:tr>
      <w:tr>
        <w:trPr>
          <w:trHeight w:val="216"/>
        </w:trPr>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w w:val="97"/>
              </w:rPr>
              <w:t>the payroll systems. RGHI and its Affiliates will not permit</w:t>
            </w:r>
          </w:p>
        </w:tc>
      </w:tr>
      <w:tr>
        <w:trPr>
          <w:trHeight w:val="216"/>
        </w:trPr>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w w:val="98"/>
              </w:rPr>
              <w:t>the payroll provider to create any additional programmed</w:t>
            </w:r>
          </w:p>
        </w:tc>
      </w:tr>
      <w:tr>
        <w:trPr>
          <w:trHeight w:val="216"/>
        </w:trPr>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reports that are not part of the menu of standard reports</w:t>
            </w:r>
          </w:p>
        </w:tc>
      </w:tr>
      <w:tr>
        <w:trPr>
          <w:trHeight w:val="230"/>
        </w:trPr>
        <w:tc>
          <w:tcPr>
            <w:tcW w:w="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available to RGHI.</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G2.4</w:t>
            </w:r>
          </w:p>
        </w:tc>
        <w:tc>
          <w:tcPr>
            <w:tcW w:w="2280" w:type="dxa"/>
            <w:vAlign w:val="bottom"/>
          </w:tcPr>
          <w:p>
            <w:pPr>
              <w:ind w:left="380"/>
              <w:spacing w:after="0"/>
              <w:rPr>
                <w:sz w:val="20"/>
                <w:szCs w:val="20"/>
                <w:color w:val="auto"/>
              </w:rPr>
            </w:pPr>
            <w:r>
              <w:rPr>
                <w:rFonts w:ascii="Arial" w:cs="Arial" w:eastAsia="Arial" w:hAnsi="Arial"/>
                <w:sz w:val="18"/>
                <w:szCs w:val="18"/>
                <w:color w:val="auto"/>
              </w:rPr>
              <w:t>Payroll Services –</w:t>
            </w:r>
          </w:p>
        </w:tc>
        <w:tc>
          <w:tcPr>
            <w:tcW w:w="4800" w:type="dxa"/>
            <w:vAlign w:val="bottom"/>
          </w:tcPr>
          <w:p>
            <w:pPr>
              <w:ind w:left="320"/>
              <w:spacing w:after="0"/>
              <w:rPr>
                <w:sz w:val="20"/>
                <w:szCs w:val="20"/>
                <w:color w:val="auto"/>
              </w:rPr>
            </w:pPr>
            <w:r>
              <w:rPr>
                <w:rFonts w:ascii="Arial" w:cs="Arial" w:eastAsia="Arial" w:hAnsi="Arial"/>
                <w:sz w:val="18"/>
                <w:szCs w:val="18"/>
                <w:color w:val="auto"/>
                <w:w w:val="94"/>
              </w:rPr>
              <w:t>Provision of access to RGHI Director of Payroll &amp; HRIS and</w:t>
            </w:r>
          </w:p>
        </w:tc>
      </w:tr>
      <w:tr>
        <w:trPr>
          <w:trHeight w:val="216"/>
        </w:trPr>
        <w:tc>
          <w:tcPr>
            <w:tcW w:w="740" w:type="dxa"/>
            <w:vAlign w:val="bottom"/>
          </w:tcPr>
          <w:p>
            <w:pPr>
              <w:spacing w:after="0"/>
              <w:rPr>
                <w:sz w:val="18"/>
                <w:szCs w:val="18"/>
                <w:color w:val="auto"/>
              </w:rPr>
            </w:pPr>
          </w:p>
        </w:tc>
        <w:tc>
          <w:tcPr>
            <w:tcW w:w="2280" w:type="dxa"/>
            <w:vAlign w:val="bottom"/>
          </w:tcPr>
          <w:p>
            <w:pPr>
              <w:ind w:left="380"/>
              <w:spacing w:after="0"/>
              <w:rPr>
                <w:sz w:val="20"/>
                <w:szCs w:val="20"/>
                <w:color w:val="auto"/>
              </w:rPr>
            </w:pPr>
            <w:r>
              <w:rPr>
                <w:rFonts w:ascii="Arial" w:cs="Arial" w:eastAsia="Arial" w:hAnsi="Arial"/>
                <w:sz w:val="18"/>
                <w:szCs w:val="18"/>
                <w:color w:val="auto"/>
              </w:rPr>
              <w:t>Consulting/Project</w:t>
            </w:r>
          </w:p>
        </w:tc>
        <w:tc>
          <w:tcPr>
            <w:tcW w:w="4800" w:type="dxa"/>
            <w:vAlign w:val="bottom"/>
          </w:tcPr>
          <w:p>
            <w:pPr>
              <w:ind w:left="320"/>
              <w:spacing w:after="0"/>
              <w:rPr>
                <w:sz w:val="20"/>
                <w:szCs w:val="20"/>
                <w:color w:val="auto"/>
              </w:rPr>
            </w:pPr>
            <w:r>
              <w:rPr>
                <w:rFonts w:ascii="Arial" w:cs="Arial" w:eastAsia="Arial" w:hAnsi="Arial"/>
                <w:sz w:val="18"/>
                <w:szCs w:val="18"/>
                <w:color w:val="auto"/>
                <w:w w:val="92"/>
              </w:rPr>
              <w:t>Senior HRIS Payroll Analyst in relation to carve-out efforts to</w:t>
            </w:r>
          </w:p>
        </w:tc>
      </w:tr>
      <w:tr>
        <w:trPr>
          <w:trHeight w:val="230"/>
        </w:trPr>
        <w:tc>
          <w:tcPr>
            <w:tcW w:w="74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color w:val="auto"/>
              </w:rPr>
              <w:t>Management Services</w:t>
            </w:r>
          </w:p>
        </w:tc>
        <w:tc>
          <w:tcPr>
            <w:tcW w:w="4800" w:type="dxa"/>
            <w:vAlign w:val="bottom"/>
          </w:tcPr>
          <w:p>
            <w:pPr>
              <w:ind w:left="320"/>
              <w:spacing w:after="0"/>
              <w:rPr>
                <w:sz w:val="20"/>
                <w:szCs w:val="20"/>
                <w:color w:val="auto"/>
              </w:rPr>
            </w:pPr>
            <w:r>
              <w:rPr>
                <w:rFonts w:ascii="Arial" w:cs="Arial" w:eastAsia="Arial" w:hAnsi="Arial"/>
                <w:sz w:val="18"/>
                <w:szCs w:val="18"/>
                <w:color w:val="auto"/>
              </w:rPr>
              <w:t>establish RCP instance of ADP.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G2.5</w:t>
            </w:r>
          </w:p>
        </w:tc>
        <w:tc>
          <w:tcPr>
            <w:tcW w:w="2460" w:type="dxa"/>
            <w:vAlign w:val="bottom"/>
          </w:tcPr>
          <w:p>
            <w:pPr>
              <w:ind w:left="380"/>
              <w:spacing w:after="0"/>
              <w:rPr>
                <w:sz w:val="20"/>
                <w:szCs w:val="20"/>
                <w:color w:val="auto"/>
              </w:rPr>
            </w:pPr>
            <w:r>
              <w:rPr>
                <w:rFonts w:ascii="Arial" w:cs="Arial" w:eastAsia="Arial" w:hAnsi="Arial"/>
                <w:sz w:val="18"/>
                <w:szCs w:val="18"/>
                <w:color w:val="auto"/>
                <w:w w:val="98"/>
              </w:rPr>
              <w:t>General HR –Employment</w:t>
            </w:r>
          </w:p>
        </w:tc>
        <w:tc>
          <w:tcPr>
            <w:tcW w:w="4240" w:type="dxa"/>
            <w:vAlign w:val="bottom"/>
          </w:tcPr>
          <w:p>
            <w:pPr>
              <w:ind w:left="140"/>
              <w:spacing w:after="0"/>
              <w:rPr>
                <w:sz w:val="20"/>
                <w:szCs w:val="20"/>
                <w:color w:val="auto"/>
              </w:rPr>
            </w:pPr>
            <w:r>
              <w:rPr>
                <w:rFonts w:ascii="Arial" w:cs="Arial" w:eastAsia="Arial" w:hAnsi="Arial"/>
                <w:sz w:val="18"/>
                <w:szCs w:val="18"/>
                <w:color w:val="auto"/>
                <w:w w:val="95"/>
              </w:rPr>
              <w:t>Employment of current Director, Supplier Product and</w:t>
            </w:r>
          </w:p>
        </w:tc>
      </w:tr>
      <w:tr>
        <w:trPr>
          <w:trHeight w:val="216"/>
        </w:trPr>
        <w:tc>
          <w:tcPr>
            <w:tcW w:w="740" w:type="dxa"/>
            <w:vAlign w:val="bottom"/>
          </w:tcPr>
          <w:p>
            <w:pPr>
              <w:spacing w:after="0"/>
              <w:rPr>
                <w:sz w:val="18"/>
                <w:szCs w:val="18"/>
                <w:color w:val="auto"/>
              </w:rPr>
            </w:pPr>
          </w:p>
        </w:tc>
        <w:tc>
          <w:tcPr>
            <w:tcW w:w="2460" w:type="dxa"/>
            <w:vAlign w:val="bottom"/>
          </w:tcPr>
          <w:p>
            <w:pPr>
              <w:ind w:left="380"/>
              <w:spacing w:after="0"/>
              <w:rPr>
                <w:sz w:val="20"/>
                <w:szCs w:val="20"/>
                <w:color w:val="auto"/>
              </w:rPr>
            </w:pPr>
            <w:r>
              <w:rPr>
                <w:rFonts w:ascii="Arial" w:cs="Arial" w:eastAsia="Arial" w:hAnsi="Arial"/>
                <w:sz w:val="18"/>
                <w:szCs w:val="18"/>
                <w:color w:val="auto"/>
              </w:rPr>
              <w:t>Services</w:t>
            </w:r>
          </w:p>
        </w:tc>
        <w:tc>
          <w:tcPr>
            <w:tcW w:w="4240" w:type="dxa"/>
            <w:vAlign w:val="bottom"/>
          </w:tcPr>
          <w:p>
            <w:pPr>
              <w:ind w:left="140"/>
              <w:spacing w:after="0"/>
              <w:rPr>
                <w:sz w:val="20"/>
                <w:szCs w:val="20"/>
                <w:color w:val="auto"/>
              </w:rPr>
            </w:pPr>
            <w:r>
              <w:rPr>
                <w:rFonts w:ascii="Arial" w:cs="Arial" w:eastAsia="Arial" w:hAnsi="Arial"/>
                <w:sz w:val="18"/>
                <w:szCs w:val="18"/>
                <w:color w:val="auto"/>
                <w:w w:val="99"/>
              </w:rPr>
              <w:t>Process Quality – Europe &amp; Asia, including, without</w:t>
            </w:r>
          </w:p>
        </w:tc>
      </w:tr>
      <w:tr>
        <w:trPr>
          <w:trHeight w:val="216"/>
        </w:trPr>
        <w:tc>
          <w:tcPr>
            <w:tcW w:w="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w w:val="91"/>
              </w:rPr>
              <w:t>limitation, provision of human resources support, payroll</w:t>
            </w:r>
          </w:p>
        </w:tc>
      </w:tr>
      <w:tr>
        <w:trPr>
          <w:trHeight w:val="230"/>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processing, and benefits coverage.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December 31, 2020</w:t>
      </w:r>
      <w:r>
        <w:rPr>
          <w:sz w:val="20"/>
          <w:szCs w:val="20"/>
          <w:color w:val="auto"/>
        </w:rPr>
        <w:tab/>
      </w:r>
      <w:r>
        <w:rPr>
          <w:rFonts w:ascii="Arial" w:cs="Arial" w:eastAsia="Arial" w:hAnsi="Arial"/>
          <w:sz w:val="15"/>
          <w:szCs w:val="15"/>
          <w:color w:val="auto"/>
        </w:rPr>
        <w:t>$100 per person</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per hour</w:t>
      </w:r>
    </w:p>
    <w:p>
      <w:pPr>
        <w:spacing w:after="0" w:line="11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Plus pass-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through of</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actual third-</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party costs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incurred in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providing the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service</w:t>
      </w:r>
    </w:p>
    <w:p>
      <w:pPr>
        <w:spacing w:after="0" w:line="116"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The earlier of (i) the</w:t>
      </w:r>
      <w:r>
        <w:rPr>
          <w:sz w:val="20"/>
          <w:szCs w:val="20"/>
          <w:color w:val="auto"/>
        </w:rPr>
        <w:tab/>
      </w:r>
      <w:r>
        <w:rPr>
          <w:rFonts w:ascii="Arial" w:cs="Arial" w:eastAsia="Arial" w:hAnsi="Arial"/>
          <w:sz w:val="16"/>
          <w:szCs w:val="16"/>
          <w:color w:val="auto"/>
        </w:rPr>
        <w:t>Pass-through of</w:t>
      </w:r>
    </w:p>
    <w:p>
      <w:pPr>
        <w:spacing w:after="0" w:line="23"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transfer of Director,</w:t>
      </w:r>
      <w:r>
        <w:rPr>
          <w:sz w:val="20"/>
          <w:szCs w:val="20"/>
          <w:color w:val="auto"/>
        </w:rPr>
        <w:tab/>
      </w:r>
      <w:r>
        <w:rPr>
          <w:rFonts w:ascii="Arial" w:cs="Arial" w:eastAsia="Arial" w:hAnsi="Arial"/>
          <w:sz w:val="15"/>
          <w:szCs w:val="15"/>
          <w:color w:val="auto"/>
        </w:rPr>
        <w:t>actual costs and</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Supplier Product and</w:t>
      </w:r>
      <w:r>
        <w:rPr>
          <w:sz w:val="20"/>
          <w:szCs w:val="20"/>
          <w:color w:val="auto"/>
        </w:rPr>
        <w:tab/>
      </w:r>
      <w:r>
        <w:rPr>
          <w:rFonts w:ascii="Arial" w:cs="Arial" w:eastAsia="Arial" w:hAnsi="Arial"/>
          <w:sz w:val="16"/>
          <w:szCs w:val="16"/>
          <w:color w:val="auto"/>
        </w:rPr>
        <w:t>third-party costs</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Process Quality –</w:t>
      </w:r>
      <w:r>
        <w:rPr>
          <w:sz w:val="20"/>
          <w:szCs w:val="20"/>
          <w:color w:val="auto"/>
        </w:rPr>
        <w:tab/>
      </w:r>
      <w:r>
        <w:rPr>
          <w:rFonts w:ascii="Arial" w:cs="Arial" w:eastAsia="Arial" w:hAnsi="Arial"/>
          <w:sz w:val="16"/>
          <w:szCs w:val="16"/>
          <w:color w:val="auto"/>
        </w:rPr>
        <w:t>incurred in</w:t>
      </w:r>
    </w:p>
    <w:p>
      <w:pPr>
        <w:spacing w:after="0" w:line="9"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Europe &amp; Asia to RCP providing the or (ii) January 31, 2020 services</w:t>
      </w:r>
    </w:p>
    <w:p>
      <w:pPr>
        <w:sectPr>
          <w:pgSz w:w="11900" w:h="16838" w:orient="portrait"/>
          <w:cols w:equalWidth="0" w:num="2">
            <w:col w:w="7820" w:space="140"/>
            <w:col w:w="3080"/>
          </w:cols>
          <w:pgMar w:left="440" w:top="265" w:right="419" w:bottom="1440" w:gutter="0" w:footer="0" w:header="0"/>
          <w:type w:val="continuous"/>
        </w:sectPr>
      </w:pPr>
    </w:p>
    <w:bookmarkStart w:id="536" w:name="page537"/>
    <w:bookmarkEnd w:id="536"/>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G3: Financial Services</w:t>
      </w:r>
    </w:p>
    <w:p>
      <w:pPr>
        <w:sectPr>
          <w:pgSz w:w="11900" w:h="16838" w:orient="portrait"/>
          <w:cols w:equalWidth="0" w:num="1">
            <w:col w:w="11040"/>
          </w:cols>
          <w:pgMar w:left="440" w:top="270" w:right="419" w:bottom="1440" w:gutter="0" w:footer="0" w:header="0"/>
        </w:sect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G3.1</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Financial Services –</w:t>
            </w:r>
          </w:p>
        </w:tc>
        <w:tc>
          <w:tcPr>
            <w:tcW w:w="10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Provision of support and handover services for technical</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Technical Accounting</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accounting including: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rPr>
              <w:t>$125 per person /</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Commencement Date</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per hour</w:t>
            </w:r>
          </w:p>
        </w:tc>
      </w:tr>
    </w:tbl>
    <w:p>
      <w:pPr>
        <w:spacing w:after="0" w:line="107" w:lineRule="exact"/>
        <w:rPr>
          <w:sz w:val="20"/>
          <w:szCs w:val="20"/>
          <w:color w:val="auto"/>
        </w:rPr>
      </w:pPr>
    </w:p>
    <w:p>
      <w:pPr>
        <w:sectPr>
          <w:pgSz w:w="11900" w:h="16838" w:orient="portrait"/>
          <w:cols w:equalWidth="0" w:num="2">
            <w:col w:w="7620" w:space="100"/>
            <w:col w:w="3320"/>
          </w:cols>
          <w:pgMar w:left="440" w:top="270"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w w:val="97"/>
              </w:rPr>
              <w:t>Assistance with accounting guidance in relation to</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w w:val="91"/>
              </w:rPr>
              <w:t>specific transactions (i.e. lease review, casualty loss,</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customer contract review, restructures, etc.),</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w w:val="90"/>
              </w:rPr>
              <w:t>including research (consistent with past practices) for</w:t>
            </w:r>
          </w:p>
        </w:tc>
      </w:tr>
      <w:tr>
        <w:trPr>
          <w:trHeight w:val="230"/>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review by RCP management and auditors</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G3.2</w:t>
            </w:r>
          </w:p>
        </w:tc>
        <w:tc>
          <w:tcPr>
            <w:tcW w:w="2100" w:type="dxa"/>
            <w:vAlign w:val="bottom"/>
          </w:tcPr>
          <w:p>
            <w:pPr>
              <w:ind w:left="380"/>
              <w:spacing w:after="0"/>
              <w:rPr>
                <w:sz w:val="20"/>
                <w:szCs w:val="20"/>
                <w:color w:val="auto"/>
              </w:rPr>
            </w:pPr>
            <w:r>
              <w:rPr>
                <w:rFonts w:ascii="Arial" w:cs="Arial" w:eastAsia="Arial" w:hAnsi="Arial"/>
                <w:sz w:val="18"/>
                <w:szCs w:val="18"/>
                <w:color w:val="auto"/>
              </w:rPr>
              <w:t>Financial Services –</w:t>
            </w: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Provision of support and handover services for lease</w:t>
            </w:r>
          </w:p>
        </w:tc>
      </w:tr>
      <w:tr>
        <w:trPr>
          <w:trHeight w:val="230"/>
        </w:trPr>
        <w:tc>
          <w:tcPr>
            <w:tcW w:w="740" w:type="dxa"/>
            <w:vAlign w:val="bottom"/>
          </w:tcPr>
          <w:p>
            <w:pPr>
              <w:spacing w:after="0"/>
              <w:rPr>
                <w:sz w:val="20"/>
                <w:szCs w:val="20"/>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Lease Administration</w:t>
            </w: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administration including:</w:t>
            </w:r>
          </w:p>
        </w:tc>
      </w:tr>
      <w:tr>
        <w:trPr>
          <w:trHeight w:val="323"/>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w w:val="93"/>
              </w:rPr>
              <w:t>Lease accounting and lease administration services</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w w:val="98"/>
              </w:rPr>
              <w:t>consistent with current practices and procedures,</w:t>
            </w:r>
          </w:p>
        </w:tc>
      </w:tr>
      <w:tr>
        <w:trPr>
          <w:trHeight w:val="230"/>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including but not limited to:</w:t>
            </w:r>
          </w:p>
        </w:tc>
      </w:tr>
      <w:tr>
        <w:trPr>
          <w:trHeight w:val="323"/>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Mass data uploads leveraging ETL</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w w:val="96"/>
              </w:rPr>
              <w:t>templates into Costar system (10+ lease</w:t>
            </w:r>
          </w:p>
        </w:tc>
      </w:tr>
      <w:tr>
        <w:trPr>
          <w:trHeight w:val="230"/>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records)</w:t>
            </w:r>
          </w:p>
        </w:tc>
      </w:tr>
      <w:tr>
        <w:trPr>
          <w:trHeight w:val="323"/>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w w:val="96"/>
              </w:rPr>
              <w:t>Upload of discount rates (as prepared by</w:t>
            </w:r>
          </w:p>
        </w:tc>
      </w:tr>
      <w:tr>
        <w:trPr>
          <w:trHeight w:val="230"/>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RCP)</w:t>
            </w:r>
          </w:p>
        </w:tc>
      </w:tr>
      <w:tr>
        <w:trPr>
          <w:trHeight w:val="323"/>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Preparation of monthly and quarterly</w:t>
            </w:r>
          </w:p>
        </w:tc>
      </w:tr>
      <w:tr>
        <w:trPr>
          <w:trHeight w:val="230"/>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reports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earlier of (i) 12 months from the Commencement Date or (ii) the date RCP obtains its own instance of Costar</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6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$125 per person / per hour</w:t>
      </w:r>
    </w:p>
    <w:p>
      <w:pPr>
        <w:spacing w:after="0" w:line="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$1,235 per month for Costar</w:t>
      </w:r>
    </w:p>
    <w:p>
      <w:pPr>
        <w:spacing w:after="0" w:line="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954" w:lineRule="exact"/>
        <w:rPr>
          <w:sz w:val="20"/>
          <w:szCs w:val="20"/>
          <w:color w:val="auto"/>
        </w:rPr>
      </w:pPr>
    </w:p>
    <w:p>
      <w:pPr>
        <w:sectPr>
          <w:pgSz w:w="11900" w:h="16838" w:orient="portrait"/>
          <w:cols w:equalWidth="0" w:num="3">
            <w:col w:w="7580" w:space="140"/>
            <w:col w:w="1740" w:space="140"/>
            <w:col w:w="1440"/>
          </w:cols>
          <w:pgMar w:left="440" w:top="270"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3380" w:type="dxa"/>
            <w:vAlign w:val="bottom"/>
          </w:tcPr>
          <w:p>
            <w:pPr>
              <w:ind w:left="140"/>
              <w:spacing w:after="0"/>
              <w:rPr>
                <w:sz w:val="20"/>
                <w:szCs w:val="20"/>
                <w:color w:val="auto"/>
              </w:rPr>
            </w:pPr>
            <w:r>
              <w:rPr>
                <w:rFonts w:ascii="Arial" w:cs="Arial" w:eastAsia="Arial" w:hAnsi="Arial"/>
                <w:sz w:val="18"/>
                <w:szCs w:val="18"/>
                <w:color w:val="auto"/>
              </w:rPr>
              <w:t>System controls in relation to RGHI</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w w:val="92"/>
              </w:rPr>
              <w:t>instance of Costar, backup, exchange rates</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w w:val="96"/>
              </w:rPr>
              <w:t>review, facilitation of user security review,</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cost center/hierarchy maintenance, etc.</w:t>
            </w: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8"/>
        </w:trPr>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3380" w:type="dxa"/>
            <w:vAlign w:val="bottom"/>
          </w:tcPr>
          <w:p>
            <w:pPr>
              <w:ind w:left="140"/>
              <w:spacing w:after="0"/>
              <w:rPr>
                <w:sz w:val="20"/>
                <w:szCs w:val="20"/>
                <w:color w:val="auto"/>
              </w:rPr>
            </w:pPr>
            <w:r>
              <w:rPr>
                <w:rFonts w:ascii="Arial" w:cs="Arial" w:eastAsia="Arial" w:hAnsi="Arial"/>
                <w:sz w:val="18"/>
                <w:szCs w:val="18"/>
                <w:color w:val="auto"/>
              </w:rPr>
              <w:t>Assistance with system issue resolution</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3"/>
        </w:trPr>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w w:val="90"/>
              </w:rPr>
              <w:t>Copies of all records, standard reports, and schedules,</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w w:val="93"/>
              </w:rPr>
              <w:t>etc. from the Costar system for purposes of adoption</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of the lease accounting standard</w:t>
            </w: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G3.3</w:t>
            </w:r>
          </w:p>
        </w:tc>
        <w:tc>
          <w:tcPr>
            <w:tcW w:w="2060" w:type="dxa"/>
            <w:vAlign w:val="bottom"/>
          </w:tcPr>
          <w:p>
            <w:pPr>
              <w:ind w:left="380"/>
              <w:spacing w:after="0"/>
              <w:rPr>
                <w:sz w:val="20"/>
                <w:szCs w:val="20"/>
                <w:color w:val="auto"/>
              </w:rPr>
            </w:pPr>
            <w:r>
              <w:rPr>
                <w:rFonts w:ascii="Arial" w:cs="Arial" w:eastAsia="Arial" w:hAnsi="Arial"/>
                <w:sz w:val="18"/>
                <w:szCs w:val="18"/>
                <w:color w:val="auto"/>
              </w:rPr>
              <w:t>Financial Services –</w:t>
            </w: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w w:val="95"/>
              </w:rPr>
              <w:t>Administration, execution, and handover of financial reporting</w:t>
            </w:r>
          </w:p>
        </w:tc>
        <w:tc>
          <w:tcPr>
            <w:tcW w:w="1780" w:type="dxa"/>
            <w:vAlign w:val="bottom"/>
          </w:tcPr>
          <w:p>
            <w:pPr>
              <w:ind w:left="60"/>
              <w:spacing w:after="0"/>
              <w:rPr>
                <w:sz w:val="20"/>
                <w:szCs w:val="20"/>
                <w:color w:val="auto"/>
              </w:rPr>
            </w:pPr>
            <w:r>
              <w:rPr>
                <w:rFonts w:ascii="Arial" w:cs="Arial" w:eastAsia="Arial" w:hAnsi="Arial"/>
                <w:sz w:val="18"/>
                <w:szCs w:val="18"/>
                <w:color w:val="auto"/>
              </w:rPr>
              <w:t>18 months from the</w:t>
            </w:r>
          </w:p>
        </w:tc>
        <w:tc>
          <w:tcPr>
            <w:tcW w:w="1580" w:type="dxa"/>
            <w:vAlign w:val="bottom"/>
          </w:tcPr>
          <w:p>
            <w:pPr>
              <w:ind w:left="160"/>
              <w:spacing w:after="0"/>
              <w:rPr>
                <w:sz w:val="20"/>
                <w:szCs w:val="20"/>
                <w:color w:val="auto"/>
              </w:rPr>
            </w:pPr>
            <w:r>
              <w:rPr>
                <w:rFonts w:ascii="Arial" w:cs="Arial" w:eastAsia="Arial" w:hAnsi="Arial"/>
                <w:sz w:val="18"/>
                <w:szCs w:val="18"/>
                <w:color w:val="auto"/>
                <w:w w:val="99"/>
              </w:rPr>
              <w:t>$3,365 per month</w:t>
            </w:r>
          </w:p>
        </w:tc>
      </w:tr>
      <w:tr>
        <w:trPr>
          <w:trHeight w:val="216"/>
        </w:trPr>
        <w:tc>
          <w:tcPr>
            <w:tcW w:w="740" w:type="dxa"/>
            <w:vAlign w:val="bottom"/>
          </w:tcPr>
          <w:p>
            <w:pPr>
              <w:spacing w:after="0"/>
              <w:rPr>
                <w:sz w:val="18"/>
                <w:szCs w:val="18"/>
                <w:color w:val="auto"/>
              </w:rPr>
            </w:pPr>
          </w:p>
        </w:tc>
        <w:tc>
          <w:tcPr>
            <w:tcW w:w="2060" w:type="dxa"/>
            <w:vAlign w:val="bottom"/>
          </w:tcPr>
          <w:p>
            <w:pPr>
              <w:ind w:left="380"/>
              <w:spacing w:after="0"/>
              <w:rPr>
                <w:sz w:val="20"/>
                <w:szCs w:val="20"/>
                <w:color w:val="auto"/>
              </w:rPr>
            </w:pPr>
            <w:r>
              <w:rPr>
                <w:rFonts w:ascii="Arial" w:cs="Arial" w:eastAsia="Arial" w:hAnsi="Arial"/>
                <w:sz w:val="18"/>
                <w:szCs w:val="18"/>
                <w:color w:val="auto"/>
              </w:rPr>
              <w:t>Benefits Reporting</w:t>
            </w: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rPr>
              <w:t>and accounting services for reports required for financial</w:t>
            </w:r>
          </w:p>
        </w:tc>
        <w:tc>
          <w:tcPr>
            <w:tcW w:w="1780" w:type="dxa"/>
            <w:vAlign w:val="bottom"/>
          </w:tcPr>
          <w:p>
            <w:pPr>
              <w:ind w:left="60"/>
              <w:spacing w:after="0"/>
              <w:rPr>
                <w:sz w:val="20"/>
                <w:szCs w:val="20"/>
                <w:color w:val="auto"/>
              </w:rPr>
            </w:pPr>
            <w:r>
              <w:rPr>
                <w:rFonts w:ascii="Arial" w:cs="Arial" w:eastAsia="Arial" w:hAnsi="Arial"/>
                <w:sz w:val="18"/>
                <w:szCs w:val="18"/>
                <w:color w:val="auto"/>
                <w:w w:val="97"/>
              </w:rPr>
              <w:t>Commencement Date</w:t>
            </w:r>
          </w:p>
        </w:tc>
        <w:tc>
          <w:tcPr>
            <w:tcW w:w="1580" w:type="dxa"/>
            <w:vAlign w:val="bottom"/>
          </w:tcPr>
          <w:p>
            <w:pPr>
              <w:ind w:left="160"/>
              <w:spacing w:after="0"/>
              <w:rPr>
                <w:sz w:val="20"/>
                <w:szCs w:val="20"/>
                <w:color w:val="auto"/>
              </w:rPr>
            </w:pPr>
            <w:r>
              <w:rPr>
                <w:rFonts w:ascii="Arial" w:cs="Arial" w:eastAsia="Arial" w:hAnsi="Arial"/>
                <w:sz w:val="18"/>
                <w:szCs w:val="18"/>
                <w:color w:val="auto"/>
                <w:w w:val="96"/>
              </w:rPr>
              <w:t>Plus pass-through</w:t>
            </w:r>
          </w:p>
        </w:tc>
      </w:tr>
      <w:tr>
        <w:trPr>
          <w:trHeight w:val="216"/>
        </w:trPr>
        <w:tc>
          <w:tcPr>
            <w:tcW w:w="740" w:type="dxa"/>
            <w:vAlign w:val="bottom"/>
          </w:tcPr>
          <w:p>
            <w:pPr>
              <w:spacing w:after="0"/>
              <w:rPr>
                <w:sz w:val="18"/>
                <w:szCs w:val="18"/>
                <w:color w:val="auto"/>
              </w:rPr>
            </w:pPr>
          </w:p>
        </w:tc>
        <w:tc>
          <w:tcPr>
            <w:tcW w:w="2060" w:type="dxa"/>
            <w:vAlign w:val="bottom"/>
          </w:tcPr>
          <w:p>
            <w:pPr>
              <w:ind w:left="380"/>
              <w:spacing w:after="0"/>
              <w:rPr>
                <w:sz w:val="20"/>
                <w:szCs w:val="20"/>
                <w:color w:val="auto"/>
              </w:rPr>
            </w:pPr>
            <w:r>
              <w:rPr>
                <w:rFonts w:ascii="Arial" w:cs="Arial" w:eastAsia="Arial" w:hAnsi="Arial"/>
                <w:sz w:val="18"/>
                <w:szCs w:val="18"/>
                <w:color w:val="auto"/>
              </w:rPr>
              <w:t>Support</w:t>
            </w:r>
            <w:r>
              <w:rPr>
                <w:rFonts w:ascii="Arial" w:cs="Arial" w:eastAsia="Arial" w:hAnsi="Arial"/>
                <w:sz w:val="15"/>
                <w:szCs w:val="15"/>
                <w:color w:val="auto"/>
              </w:rPr>
              <w:t>4</w:t>
            </w: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w w:val="92"/>
              </w:rPr>
              <w:t>reporting related to medical and benefits costs including vendor</w:t>
            </w:r>
          </w:p>
        </w:tc>
        <w:tc>
          <w:tcPr>
            <w:tcW w:w="178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of actual third-</w:t>
            </w:r>
          </w:p>
        </w:tc>
      </w:t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w w:val="92"/>
              </w:rPr>
              <w:t>cost tracking, and other HR/benefits related accounting matters</w:t>
            </w:r>
          </w:p>
        </w:tc>
        <w:tc>
          <w:tcPr>
            <w:tcW w:w="178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w w:val="89"/>
              </w:rPr>
              <w:t>party costs incurred</w:t>
            </w:r>
          </w:p>
        </w:tc>
      </w:t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rPr>
              <w:t>consistent with past practices.</w:t>
            </w:r>
          </w:p>
        </w:tc>
        <w:tc>
          <w:tcPr>
            <w:tcW w:w="178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in providing the</w:t>
            </w:r>
          </w:p>
        </w:tc>
      </w:tr>
      <w:tr>
        <w:trPr>
          <w:trHeight w:val="230"/>
        </w:trPr>
        <w:tc>
          <w:tcPr>
            <w:tcW w:w="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6327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440" w:right="120" w:hanging="436"/>
        <w:spacing w:after="0" w:line="277" w:lineRule="auto"/>
        <w:tabs>
          <w:tab w:leader="none" w:pos="440" w:val="left"/>
        </w:tabs>
        <w:numPr>
          <w:ilvl w:val="0"/>
          <w:numId w:val="467"/>
        </w:numPr>
        <w:rPr>
          <w:rFonts w:ascii="Arial" w:cs="Arial" w:eastAsia="Arial" w:hAnsi="Arial"/>
          <w:sz w:val="15"/>
          <w:szCs w:val="15"/>
          <w:color w:val="auto"/>
        </w:rPr>
      </w:pPr>
      <w:r>
        <w:rPr>
          <w:rFonts w:ascii="Arial" w:cs="Arial" w:eastAsia="Arial" w:hAnsi="Arial"/>
          <w:sz w:val="18"/>
          <w:szCs w:val="18"/>
          <w:color w:val="auto"/>
        </w:rPr>
        <w:t>Process RE quarterly true-ups will change during the Term from reconciling claims by headcount to where incurred and will reconcile back to the Commencement Date.</w:t>
      </w:r>
    </w:p>
    <w:p>
      <w:pPr>
        <w:sectPr>
          <w:pgSz w:w="11900" w:h="16838" w:orient="portrait"/>
          <w:cols w:equalWidth="0" w:num="1">
            <w:col w:w="11040"/>
          </w:cols>
          <w:pgMar w:left="440" w:top="270" w:right="419" w:bottom="1440" w:gutter="0" w:footer="0" w:header="0"/>
          <w:type w:val="continuous"/>
        </w:sectPr>
      </w:pPr>
    </w:p>
    <w:bookmarkStart w:id="537" w:name="page538"/>
    <w:bookmarkEnd w:id="537"/>
    <w:p>
      <w:pPr>
        <w:ind w:left="1580"/>
        <w:spacing w:after="0"/>
        <w:tabs>
          <w:tab w:leader="none" w:pos="46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Name</w:t>
      </w:r>
      <w:r>
        <w:rPr>
          <w:sz w:val="20"/>
          <w:szCs w:val="20"/>
          <w:color w:val="auto"/>
        </w:rPr>
        <w:tab/>
      </w:r>
      <w:r>
        <w:rPr>
          <w:rFonts w:ascii="Arial" w:cs="Arial" w:eastAsia="Arial" w:hAnsi="Arial"/>
          <w:sz w:val="12"/>
          <w:szCs w:val="12"/>
          <w:b w:val="1"/>
          <w:bCs w:val="1"/>
          <w:color w:val="auto"/>
        </w:rPr>
        <w:t>Description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15240</wp:posOffset>
            </wp:positionV>
            <wp:extent cx="293306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22225</wp:posOffset>
            </wp:positionV>
            <wp:extent cx="111506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29845</wp:posOffset>
            </wp:positionV>
            <wp:extent cx="9093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3">
            <w:col w:w="7720" w:space="720"/>
            <w:col w:w="840" w:space="720"/>
            <w:col w:w="1020"/>
          </w:cols>
          <w:pgMar w:left="440" w:top="265"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1120" w:type="dxa"/>
            <w:vAlign w:val="bottom"/>
          </w:tcPr>
          <w:p>
            <w:pPr>
              <w:spacing w:after="0" w:line="195" w:lineRule="exact"/>
              <w:rPr>
                <w:sz w:val="20"/>
                <w:szCs w:val="20"/>
                <w:color w:val="auto"/>
              </w:rPr>
            </w:pPr>
            <w:r>
              <w:rPr>
                <w:rFonts w:ascii="Arial" w:cs="Arial" w:eastAsia="Arial" w:hAnsi="Arial"/>
                <w:sz w:val="18"/>
                <w:szCs w:val="18"/>
                <w:color w:val="auto"/>
              </w:rPr>
              <w:t>G3.4</w:t>
            </w: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Financial Services –</w:t>
            </w:r>
          </w:p>
        </w:tc>
      </w:tr>
      <w:tr>
        <w:trPr>
          <w:trHeight w:val="216"/>
        </w:trPr>
        <w:tc>
          <w:tcPr>
            <w:tcW w:w="11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92"/>
              </w:rPr>
              <w:t>Treasury Administration</w:t>
            </w:r>
          </w:p>
        </w:tc>
      </w:tr>
      <w:tr>
        <w:trPr>
          <w:trHeight w:val="230"/>
        </w:trPr>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Handover Services</w:t>
            </w:r>
          </w:p>
        </w:tc>
      </w:tr>
    </w:tbl>
    <w:p>
      <w:pPr>
        <w:spacing w:after="0" w:line="20" w:lineRule="exact"/>
        <w:rPr>
          <w:sz w:val="20"/>
          <w:szCs w:val="20"/>
          <w:color w:val="auto"/>
        </w:rPr>
      </w:pPr>
      <w:r>
        <w:rPr>
          <w:sz w:val="20"/>
          <w:szCs w:val="20"/>
          <w:color w:val="auto"/>
        </w:rPr>
        <w:br w:type="column"/>
      </w:r>
    </w:p>
    <w:p>
      <w:pPr>
        <w:ind w:right="340"/>
        <w:spacing w:after="0" w:line="276" w:lineRule="auto"/>
        <w:rPr>
          <w:sz w:val="20"/>
          <w:szCs w:val="20"/>
          <w:color w:val="auto"/>
        </w:rPr>
      </w:pPr>
      <w:r>
        <w:rPr>
          <w:rFonts w:ascii="Arial" w:cs="Arial" w:eastAsia="Arial" w:hAnsi="Arial"/>
          <w:sz w:val="18"/>
          <w:szCs w:val="18"/>
          <w:color w:val="auto"/>
        </w:rPr>
        <w:t>Reasonable provision of treasury administration handover services, including:</w:t>
      </w:r>
    </w:p>
    <w:p>
      <w:pPr>
        <w:spacing w:after="0" w:line="77" w:lineRule="exact"/>
        <w:rPr>
          <w:sz w:val="20"/>
          <w:szCs w:val="20"/>
          <w:color w:val="auto"/>
        </w:rPr>
      </w:pPr>
    </w:p>
    <w:p>
      <w:pPr>
        <w:ind w:left="720" w:right="60" w:hanging="358"/>
        <w:spacing w:after="0" w:line="302" w:lineRule="auto"/>
        <w:tabs>
          <w:tab w:leader="none" w:pos="694"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Assistance with transitioning signatories, online access and other bank account transition considerations if required (including but not limited to establishment of new banking platforms)*</w:t>
      </w:r>
    </w:p>
    <w:p>
      <w:pPr>
        <w:spacing w:after="0" w:line="59" w:lineRule="exact"/>
        <w:rPr>
          <w:rFonts w:ascii="Arial" w:cs="Arial" w:eastAsia="Arial" w:hAnsi="Arial"/>
          <w:sz w:val="16"/>
          <w:szCs w:val="16"/>
          <w:color w:val="auto"/>
        </w:rPr>
      </w:pPr>
    </w:p>
    <w:p>
      <w:pPr>
        <w:ind w:left="720" w:hanging="358"/>
        <w:spacing w:after="0" w:line="342" w:lineRule="auto"/>
        <w:tabs>
          <w:tab w:leader="none" w:pos="694"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Assistance with transition of administration of letters of credit and any other assumed indebtedness*</w:t>
      </w:r>
    </w:p>
    <w:p>
      <w:pPr>
        <w:spacing w:after="0" w:line="20" w:lineRule="exact"/>
        <w:rPr>
          <w:sz w:val="20"/>
          <w:szCs w:val="20"/>
          <w:color w:val="auto"/>
        </w:rPr>
      </w:pPr>
      <w:r>
        <w:rPr>
          <w:sz w:val="20"/>
          <w:szCs w:val="20"/>
          <w:color w:val="auto"/>
        </w:rPr>
        <w:br w:type="column"/>
      </w:r>
    </w:p>
    <w:p>
      <w:pPr>
        <w:spacing w:after="0" w:line="341" w:lineRule="auto"/>
        <w:rPr>
          <w:sz w:val="20"/>
          <w:szCs w:val="20"/>
          <w:color w:val="auto"/>
        </w:rPr>
      </w:pPr>
      <w:r>
        <w:rPr>
          <w:rFonts w:ascii="Arial" w:cs="Arial" w:eastAsia="Arial" w:hAnsi="Arial"/>
          <w:sz w:val="16"/>
          <w:szCs w:val="16"/>
          <w:color w:val="auto"/>
        </w:rPr>
        <w:t>12 months from the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$95</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 person / per hour</w:t>
      </w:r>
    </w:p>
    <w:p>
      <w:pPr>
        <w:spacing w:after="0" w:line="7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63" w:lineRule="exact"/>
        <w:rPr>
          <w:sz w:val="20"/>
          <w:szCs w:val="20"/>
          <w:color w:val="auto"/>
        </w:rPr>
      </w:pPr>
    </w:p>
    <w:p>
      <w:pPr>
        <w:sectPr>
          <w:pgSz w:w="11900" w:h="16838" w:orient="portrait"/>
          <w:cols w:equalWidth="0" w:num="4">
            <w:col w:w="2900" w:space="100"/>
            <w:col w:w="4520" w:space="200"/>
            <w:col w:w="1580" w:space="300"/>
            <w:col w:w="1420"/>
          </w:cols>
          <w:pgMar w:left="440" w:top="265" w:right="439" w:bottom="1440" w:gutter="0" w:footer="0" w:header="0"/>
          <w:type w:val="continuous"/>
        </w:sectPr>
      </w:pPr>
    </w:p>
    <w:p>
      <w:pPr>
        <w:ind w:left="3720" w:right="3740" w:hanging="358"/>
        <w:spacing w:after="0" w:line="277" w:lineRule="auto"/>
        <w:tabs>
          <w:tab w:leader="none" w:pos="369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Assistance with transition of corporate credit card programs administration</w:t>
      </w:r>
    </w:p>
    <w:p>
      <w:pPr>
        <w:spacing w:after="0" w:line="75" w:lineRule="exact"/>
        <w:rPr>
          <w:rFonts w:ascii="Arial" w:cs="Arial" w:eastAsia="Arial" w:hAnsi="Arial"/>
          <w:sz w:val="18"/>
          <w:szCs w:val="18"/>
          <w:color w:val="auto"/>
        </w:rPr>
      </w:pPr>
    </w:p>
    <w:p>
      <w:pPr>
        <w:ind w:left="3720" w:right="3660" w:hanging="358"/>
        <w:spacing w:after="0" w:line="279" w:lineRule="auto"/>
        <w:tabs>
          <w:tab w:leader="none" w:pos="3694"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Assistance with completion of development of the structure and documentation of intercompany loan agreements that are in process at the time of the Commencement Date</w:t>
      </w:r>
    </w:p>
    <w:p>
      <w:pPr>
        <w:spacing w:after="0" w:line="76" w:lineRule="exact"/>
        <w:rPr>
          <w:rFonts w:ascii="Arial" w:cs="Arial" w:eastAsia="Arial" w:hAnsi="Arial"/>
          <w:sz w:val="17"/>
          <w:szCs w:val="17"/>
          <w:color w:val="auto"/>
        </w:rPr>
      </w:pPr>
    </w:p>
    <w:p>
      <w:pPr>
        <w:ind w:left="3720" w:right="4420" w:hanging="358"/>
        <w:spacing w:after="0" w:line="277" w:lineRule="auto"/>
        <w:tabs>
          <w:tab w:leader="none" w:pos="370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Models and historical cash management reports/materials</w:t>
      </w:r>
    </w:p>
    <w:p>
      <w:pPr>
        <w:spacing w:after="0" w:line="75" w:lineRule="exact"/>
        <w:rPr>
          <w:rFonts w:ascii="Arial" w:cs="Arial" w:eastAsia="Arial" w:hAnsi="Arial"/>
          <w:sz w:val="18"/>
          <w:szCs w:val="18"/>
          <w:color w:val="auto"/>
        </w:rPr>
      </w:pPr>
    </w:p>
    <w:p>
      <w:pPr>
        <w:ind w:left="3720" w:right="3520" w:hanging="358"/>
        <w:spacing w:after="0" w:line="312" w:lineRule="auto"/>
        <w:tabs>
          <w:tab w:leader="none" w:pos="3694" w:val="left"/>
        </w:tabs>
        <w:numPr>
          <w:ilvl w:val="0"/>
          <w:numId w:val="469"/>
        </w:numPr>
        <w:rPr>
          <w:rFonts w:ascii="Arial" w:cs="Arial" w:eastAsia="Arial" w:hAnsi="Arial"/>
          <w:sz w:val="16"/>
          <w:szCs w:val="16"/>
          <w:color w:val="auto"/>
        </w:rPr>
      </w:pPr>
      <w:r>
        <w:rPr>
          <w:rFonts w:ascii="Arial" w:cs="Arial" w:eastAsia="Arial" w:hAnsi="Arial"/>
          <w:sz w:val="16"/>
          <w:szCs w:val="16"/>
          <w:color w:val="auto"/>
        </w:rPr>
        <w:t>Assistance with cash settlements, movements related to trade balances, intercompany loans, dividends, cash forecasting, and banking platforms</w:t>
      </w:r>
    </w:p>
    <w:p>
      <w:pPr>
        <w:spacing w:after="0" w:line="52" w:lineRule="exact"/>
        <w:rPr>
          <w:rFonts w:ascii="Arial" w:cs="Arial" w:eastAsia="Arial" w:hAnsi="Arial"/>
          <w:sz w:val="16"/>
          <w:szCs w:val="16"/>
          <w:color w:val="auto"/>
        </w:rPr>
      </w:pPr>
    </w:p>
    <w:p>
      <w:pPr>
        <w:ind w:left="3720" w:right="3780" w:hanging="358"/>
        <w:spacing w:after="0" w:line="277" w:lineRule="auto"/>
        <w:tabs>
          <w:tab w:leader="none" w:pos="369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Assistance with development of daily cash report preparation processes</w:t>
      </w:r>
    </w:p>
    <w:p>
      <w:pPr>
        <w:spacing w:after="0" w:line="75" w:lineRule="exact"/>
        <w:rPr>
          <w:rFonts w:ascii="Arial" w:cs="Arial" w:eastAsia="Arial" w:hAnsi="Arial"/>
          <w:sz w:val="18"/>
          <w:szCs w:val="18"/>
          <w:color w:val="auto"/>
        </w:rPr>
      </w:pPr>
    </w:p>
    <w:p>
      <w:pPr>
        <w:ind w:left="3720" w:right="4080" w:hanging="358"/>
        <w:spacing w:after="0" w:line="342" w:lineRule="auto"/>
        <w:tabs>
          <w:tab w:leader="none" w:pos="3694" w:val="left"/>
        </w:tabs>
        <w:numPr>
          <w:ilvl w:val="0"/>
          <w:numId w:val="469"/>
        </w:numPr>
        <w:rPr>
          <w:rFonts w:ascii="Arial" w:cs="Arial" w:eastAsia="Arial" w:hAnsi="Arial"/>
          <w:sz w:val="16"/>
          <w:szCs w:val="16"/>
          <w:color w:val="auto"/>
        </w:rPr>
      </w:pPr>
      <w:r>
        <w:rPr>
          <w:rFonts w:ascii="Arial" w:cs="Arial" w:eastAsia="Arial" w:hAnsi="Arial"/>
          <w:sz w:val="16"/>
          <w:szCs w:val="16"/>
          <w:color w:val="auto"/>
        </w:rPr>
        <w:t>Assistance with development of escheatment reporting and filing processes</w:t>
      </w:r>
    </w:p>
    <w:p>
      <w:pPr>
        <w:spacing w:after="0" w:line="29" w:lineRule="exact"/>
        <w:rPr>
          <w:rFonts w:ascii="Arial" w:cs="Arial" w:eastAsia="Arial" w:hAnsi="Arial"/>
          <w:sz w:val="16"/>
          <w:szCs w:val="16"/>
          <w:color w:val="auto"/>
        </w:rPr>
      </w:pPr>
    </w:p>
    <w:p>
      <w:pPr>
        <w:ind w:left="3700" w:hanging="338"/>
        <w:spacing w:after="0"/>
        <w:tabs>
          <w:tab w:leader="none" w:pos="37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Training on review of bank-generated reports</w:t>
      </w:r>
    </w:p>
    <w:p>
      <w:pPr>
        <w:spacing w:after="0" w:line="130" w:lineRule="exact"/>
        <w:rPr>
          <w:rFonts w:ascii="Arial" w:cs="Arial" w:eastAsia="Arial" w:hAnsi="Arial"/>
          <w:sz w:val="18"/>
          <w:szCs w:val="18"/>
          <w:color w:val="auto"/>
        </w:rPr>
      </w:pPr>
    </w:p>
    <w:p>
      <w:pPr>
        <w:ind w:left="3720" w:right="4100" w:hanging="358"/>
        <w:spacing w:after="0" w:line="342" w:lineRule="auto"/>
        <w:tabs>
          <w:tab w:leader="none" w:pos="3694" w:val="left"/>
        </w:tabs>
        <w:numPr>
          <w:ilvl w:val="0"/>
          <w:numId w:val="469"/>
        </w:numPr>
        <w:rPr>
          <w:rFonts w:ascii="Arial" w:cs="Arial" w:eastAsia="Arial" w:hAnsi="Arial"/>
          <w:sz w:val="16"/>
          <w:szCs w:val="16"/>
          <w:color w:val="auto"/>
        </w:rPr>
      </w:pPr>
      <w:r>
        <w:rPr>
          <w:rFonts w:ascii="Arial" w:cs="Arial" w:eastAsia="Arial" w:hAnsi="Arial"/>
          <w:sz w:val="16"/>
          <w:szCs w:val="16"/>
          <w:color w:val="auto"/>
        </w:rPr>
        <w:t>Assistance with transition of wire transfer administration (i.e. authorization for tokens)</w:t>
      </w:r>
    </w:p>
    <w:p>
      <w:pPr>
        <w:spacing w:after="0" w:line="29" w:lineRule="exact"/>
        <w:rPr>
          <w:rFonts w:ascii="Arial" w:cs="Arial" w:eastAsia="Arial" w:hAnsi="Arial"/>
          <w:sz w:val="16"/>
          <w:szCs w:val="16"/>
          <w:color w:val="auto"/>
        </w:rPr>
      </w:pPr>
    </w:p>
    <w:p>
      <w:pPr>
        <w:ind w:left="3720" w:right="3580" w:hanging="358"/>
        <w:spacing w:after="0" w:line="277" w:lineRule="auto"/>
        <w:tabs>
          <w:tab w:leader="none" w:pos="370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Backup assistance with wire transfer administration and approvals</w:t>
      </w:r>
    </w:p>
    <w:p>
      <w:pPr>
        <w:spacing w:after="0" w:line="75" w:lineRule="exact"/>
        <w:rPr>
          <w:rFonts w:ascii="Arial" w:cs="Arial" w:eastAsia="Arial" w:hAnsi="Arial"/>
          <w:sz w:val="18"/>
          <w:szCs w:val="18"/>
          <w:color w:val="auto"/>
        </w:rPr>
      </w:pPr>
    </w:p>
    <w:p>
      <w:pPr>
        <w:ind w:left="3720" w:right="3660" w:hanging="358"/>
        <w:spacing w:after="0" w:line="277" w:lineRule="auto"/>
        <w:tabs>
          <w:tab w:leader="none" w:pos="370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Support for day to day cash management activities consistent with past practices</w:t>
      </w:r>
    </w:p>
    <w:p>
      <w:pPr>
        <w:spacing w:after="0" w:line="7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RGHI and RCP shall work together in good faith to finalize</w:t>
      </w:r>
    </w:p>
    <w:p>
      <w:pPr>
        <w:spacing w:after="0" w:line="3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transition of the services denoted with an asterisk (*) above</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within 3 months from the Commencement Date.</w:t>
      </w:r>
    </w:p>
    <w:p>
      <w:pPr>
        <w:sectPr>
          <w:pgSz w:w="11900" w:h="16838" w:orient="portrait"/>
          <w:cols w:equalWidth="0" w:num="1">
            <w:col w:w="11020"/>
          </w:cols>
          <w:pgMar w:left="440" w:top="265" w:right="439" w:bottom="1440" w:gutter="0" w:footer="0" w:header="0"/>
          <w:type w:val="continuous"/>
        </w:sectPr>
      </w:pPr>
    </w:p>
    <w:bookmarkStart w:id="538" w:name="page539"/>
    <w:bookmarkEnd w:id="538"/>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G3.5</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Financial Services –</w:t>
            </w:r>
          </w:p>
        </w:tc>
        <w:tc>
          <w:tcPr>
            <w:tcW w:w="10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w w:val="94"/>
              </w:rPr>
              <w:t>Provision of access to and/or application support services for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w w:val="97"/>
              </w:rPr>
              <w:t>Reporting Applications</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6"/>
              </w:rPr>
              <w:t>FIS Integrity. Service is subject to ability to apply security so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Support Services</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RCP cannot view or access RGHI data in those systems.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br w:type="column"/>
      </w:r>
    </w:p>
    <w:p>
      <w:pPr>
        <w:jc w:val="center"/>
        <w:ind w:left="-199"/>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11150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12 months from the Commencement Date</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9093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$10,100 per month</w:t>
      </w:r>
    </w:p>
    <w:p>
      <w:pPr>
        <w:spacing w:after="0" w:line="15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64" w:lineRule="exact"/>
        <w:rPr>
          <w:sz w:val="20"/>
          <w:szCs w:val="20"/>
          <w:color w:val="auto"/>
        </w:rPr>
      </w:pPr>
    </w:p>
    <w:p>
      <w:pPr>
        <w:sectPr>
          <w:pgSz w:w="11900" w:h="16838" w:orient="portrait"/>
          <w:cols w:equalWidth="0" w:num="3">
            <w:col w:w="7620" w:space="100"/>
            <w:col w:w="1580" w:space="300"/>
            <w:col w:w="1420"/>
          </w:cols>
          <w:pgMar w:left="440" w:top="265" w:right="439" w:bottom="1440" w:gutter="0" w:footer="0" w:header="0"/>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G3.6</w:t>
            </w:r>
          </w:p>
        </w:tc>
        <w:tc>
          <w:tcPr>
            <w:tcW w:w="2060" w:type="dxa"/>
            <w:vAlign w:val="bottom"/>
          </w:tcPr>
          <w:p>
            <w:pPr>
              <w:ind w:left="380"/>
              <w:spacing w:after="0"/>
              <w:rPr>
                <w:sz w:val="20"/>
                <w:szCs w:val="20"/>
                <w:color w:val="auto"/>
              </w:rPr>
            </w:pPr>
            <w:r>
              <w:rPr>
                <w:rFonts w:ascii="Arial" w:cs="Arial" w:eastAsia="Arial" w:hAnsi="Arial"/>
                <w:sz w:val="18"/>
                <w:szCs w:val="18"/>
                <w:color w:val="auto"/>
              </w:rPr>
              <w:t>Financial Services –</w:t>
            </w:r>
          </w:p>
        </w:tc>
        <w:tc>
          <w:tcPr>
            <w:tcW w:w="4580" w:type="dxa"/>
            <w:vAlign w:val="bottom"/>
          </w:tcPr>
          <w:p>
            <w:pPr>
              <w:ind w:left="200"/>
              <w:spacing w:after="0"/>
              <w:rPr>
                <w:sz w:val="20"/>
                <w:szCs w:val="20"/>
                <w:color w:val="auto"/>
              </w:rPr>
            </w:pPr>
            <w:r>
              <w:rPr>
                <w:rFonts w:ascii="Arial" w:cs="Arial" w:eastAsia="Arial" w:hAnsi="Arial"/>
                <w:sz w:val="18"/>
                <w:szCs w:val="18"/>
                <w:color w:val="auto"/>
                <w:w w:val="94"/>
              </w:rPr>
              <w:t>RGHI External Reporting team will be available to provide</w:t>
            </w:r>
          </w:p>
        </w:tc>
      </w:tr>
      <w:tr>
        <w:trPr>
          <w:trHeight w:val="216"/>
        </w:trPr>
        <w:tc>
          <w:tcPr>
            <w:tcW w:w="740" w:type="dxa"/>
            <w:vAlign w:val="bottom"/>
          </w:tcPr>
          <w:p>
            <w:pPr>
              <w:spacing w:after="0"/>
              <w:rPr>
                <w:sz w:val="18"/>
                <w:szCs w:val="18"/>
                <w:color w:val="auto"/>
              </w:rPr>
            </w:pPr>
          </w:p>
        </w:tc>
        <w:tc>
          <w:tcPr>
            <w:tcW w:w="2060" w:type="dxa"/>
            <w:vAlign w:val="bottom"/>
          </w:tcPr>
          <w:p>
            <w:pPr>
              <w:ind w:left="380"/>
              <w:spacing w:after="0"/>
              <w:rPr>
                <w:sz w:val="20"/>
                <w:szCs w:val="20"/>
                <w:color w:val="auto"/>
              </w:rPr>
            </w:pPr>
            <w:r>
              <w:rPr>
                <w:rFonts w:ascii="Arial" w:cs="Arial" w:eastAsia="Arial" w:hAnsi="Arial"/>
                <w:sz w:val="18"/>
                <w:szCs w:val="18"/>
                <w:color w:val="auto"/>
              </w:rPr>
              <w:t>External Reporting</w:t>
            </w:r>
            <w:r>
              <w:rPr>
                <w:rFonts w:ascii="Arial" w:cs="Arial" w:eastAsia="Arial" w:hAnsi="Arial"/>
                <w:sz w:val="15"/>
                <w:szCs w:val="15"/>
                <w:color w:val="auto"/>
              </w:rPr>
              <w:t>5</w:t>
            </w:r>
          </w:p>
        </w:tc>
        <w:tc>
          <w:tcPr>
            <w:tcW w:w="4580" w:type="dxa"/>
            <w:vAlign w:val="bottom"/>
          </w:tcPr>
          <w:p>
            <w:pPr>
              <w:ind w:left="200"/>
              <w:spacing w:after="0"/>
              <w:rPr>
                <w:sz w:val="20"/>
                <w:szCs w:val="20"/>
                <w:color w:val="auto"/>
              </w:rPr>
            </w:pPr>
            <w:r>
              <w:rPr>
                <w:rFonts w:ascii="Arial" w:cs="Arial" w:eastAsia="Arial" w:hAnsi="Arial"/>
                <w:sz w:val="18"/>
                <w:szCs w:val="18"/>
                <w:color w:val="auto"/>
                <w:w w:val="89"/>
              </w:rPr>
              <w:t>background support and consulting services related to RCP’s</w:t>
            </w:r>
          </w:p>
        </w:tc>
      </w:tr>
      <w:tr>
        <w:trPr>
          <w:trHeight w:val="138"/>
        </w:trPr>
        <w:tc>
          <w:tcPr>
            <w:tcW w:w="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580" w:type="dxa"/>
            <w:vAlign w:val="bottom"/>
          </w:tcPr>
          <w:p>
            <w:pPr>
              <w:ind w:left="200"/>
              <w:spacing w:after="0" w:line="138" w:lineRule="exact"/>
              <w:rPr>
                <w:sz w:val="20"/>
                <w:szCs w:val="20"/>
                <w:color w:val="auto"/>
              </w:rPr>
            </w:pPr>
            <w:r>
              <w:rPr>
                <w:rFonts w:ascii="Arial" w:cs="Arial" w:eastAsia="Arial" w:hAnsi="Arial"/>
                <w:sz w:val="15"/>
                <w:szCs w:val="15"/>
                <w:color w:val="auto"/>
              </w:rPr>
              <w:t>external reporting requirements.</w:t>
            </w:r>
          </w:p>
        </w:tc>
      </w:tr>
    </w:tbl>
    <w:p>
      <w:pPr>
        <w:spacing w:after="0" w:line="20" w:lineRule="exact"/>
        <w:rPr>
          <w:sz w:val="20"/>
          <w:szCs w:val="20"/>
          <w:color w:val="auto"/>
        </w:rPr>
      </w:pPr>
      <w:r>
        <w:rPr>
          <w:sz w:val="20"/>
          <w:szCs w:val="20"/>
          <w:color w:val="auto"/>
        </w:rPr>
        <w:br w:type="column"/>
      </w:r>
    </w:p>
    <w:p>
      <w:pPr>
        <w:spacing w:after="0"/>
        <w:tabs>
          <w:tab w:leader="none" w:pos="1860" w:val="left"/>
        </w:tabs>
        <w:rPr>
          <w:sz w:val="20"/>
          <w:szCs w:val="20"/>
          <w:color w:val="auto"/>
        </w:rPr>
      </w:pPr>
      <w:r>
        <w:rPr>
          <w:rFonts w:ascii="Arial" w:cs="Arial" w:eastAsia="Arial" w:hAnsi="Arial"/>
          <w:sz w:val="18"/>
          <w:szCs w:val="18"/>
          <w:color w:val="auto"/>
        </w:rPr>
        <w:t>18 months from the</w:t>
      </w:r>
      <w:r>
        <w:rPr>
          <w:sz w:val="20"/>
          <w:szCs w:val="20"/>
          <w:color w:val="auto"/>
        </w:rPr>
        <w:tab/>
      </w:r>
      <w:r>
        <w:rPr>
          <w:rFonts w:ascii="Arial" w:cs="Arial" w:eastAsia="Arial" w:hAnsi="Arial"/>
          <w:sz w:val="15"/>
          <w:szCs w:val="15"/>
          <w:color w:val="auto"/>
        </w:rPr>
        <w:t>$$22,500 per</w:t>
      </w:r>
    </w:p>
    <w:p>
      <w:pPr>
        <w:spacing w:after="0" w:line="23"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Commencement Date</w:t>
      </w:r>
      <w:r>
        <w:rPr>
          <w:sz w:val="20"/>
          <w:szCs w:val="20"/>
          <w:color w:val="auto"/>
        </w:rPr>
        <w:tab/>
      </w:r>
      <w:r>
        <w:rPr>
          <w:rFonts w:ascii="Arial" w:cs="Arial" w:eastAsia="Arial" w:hAnsi="Arial"/>
          <w:sz w:val="16"/>
          <w:szCs w:val="16"/>
          <w:color w:val="auto"/>
        </w:rPr>
        <w:t>month</w:t>
      </w:r>
    </w:p>
    <w:p>
      <w:pPr>
        <w:spacing w:after="0" w:line="133" w:lineRule="exact"/>
        <w:rPr>
          <w:sz w:val="20"/>
          <w:szCs w:val="20"/>
          <w:color w:val="auto"/>
        </w:rPr>
      </w:pPr>
    </w:p>
    <w:p>
      <w:pPr>
        <w:sectPr>
          <w:pgSz w:w="11900" w:h="16838" w:orient="portrait"/>
          <w:cols w:equalWidth="0" w:num="2">
            <w:col w:w="7380" w:space="340"/>
            <w:col w:w="330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G3.7</w:t>
            </w:r>
          </w:p>
        </w:tc>
        <w:tc>
          <w:tcPr>
            <w:tcW w:w="2120" w:type="dxa"/>
            <w:vAlign w:val="bottom"/>
          </w:tcPr>
          <w:p>
            <w:pPr>
              <w:ind w:left="380"/>
              <w:spacing w:after="0"/>
              <w:rPr>
                <w:sz w:val="20"/>
                <w:szCs w:val="20"/>
                <w:color w:val="auto"/>
              </w:rPr>
            </w:pPr>
            <w:r>
              <w:rPr>
                <w:rFonts w:ascii="Arial" w:cs="Arial" w:eastAsia="Arial" w:hAnsi="Arial"/>
                <w:sz w:val="18"/>
                <w:szCs w:val="18"/>
                <w:color w:val="auto"/>
              </w:rPr>
              <w:t>Financial Services –</w:t>
            </w:r>
          </w:p>
        </w:tc>
        <w:tc>
          <w:tcPr>
            <w:tcW w:w="4580" w:type="dxa"/>
            <w:vAlign w:val="bottom"/>
          </w:tcPr>
          <w:p>
            <w:pPr>
              <w:ind w:left="140"/>
              <w:spacing w:after="0"/>
              <w:rPr>
                <w:sz w:val="20"/>
                <w:szCs w:val="20"/>
                <w:color w:val="auto"/>
              </w:rPr>
            </w:pPr>
            <w:r>
              <w:rPr>
                <w:rFonts w:ascii="Arial" w:cs="Arial" w:eastAsia="Arial" w:hAnsi="Arial"/>
                <w:sz w:val="18"/>
                <w:szCs w:val="18"/>
                <w:color w:val="auto"/>
                <w:w w:val="96"/>
              </w:rPr>
              <w:t>Provision of support services of RGHI Senior Compliance</w:t>
            </w:r>
          </w:p>
        </w:tc>
      </w:tr>
      <w:tr>
        <w:trPr>
          <w:trHeight w:val="216"/>
        </w:trPr>
        <w:tc>
          <w:tcPr>
            <w:tcW w:w="740" w:type="dxa"/>
            <w:vAlign w:val="bottom"/>
          </w:tcPr>
          <w:p>
            <w:pPr>
              <w:spacing w:after="0"/>
              <w:rPr>
                <w:sz w:val="18"/>
                <w:szCs w:val="18"/>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Compliance Advisory</w:t>
            </w:r>
          </w:p>
        </w:tc>
        <w:tc>
          <w:tcPr>
            <w:tcW w:w="4580" w:type="dxa"/>
            <w:vAlign w:val="bottom"/>
          </w:tcPr>
          <w:p>
            <w:pPr>
              <w:ind w:left="140"/>
              <w:spacing w:after="0"/>
              <w:rPr>
                <w:sz w:val="20"/>
                <w:szCs w:val="20"/>
                <w:color w:val="auto"/>
              </w:rPr>
            </w:pPr>
            <w:r>
              <w:rPr>
                <w:rFonts w:ascii="Arial" w:cs="Arial" w:eastAsia="Arial" w:hAnsi="Arial"/>
                <w:sz w:val="18"/>
                <w:szCs w:val="18"/>
                <w:color w:val="auto"/>
                <w:w w:val="89"/>
              </w:rPr>
              <w:t>Manager related to SAP access and security risks (SOX 404).</w:t>
            </w:r>
          </w:p>
        </w:tc>
      </w:tr>
      <w:tr>
        <w:trPr>
          <w:trHeight w:val="230"/>
        </w:trPr>
        <w:tc>
          <w:tcPr>
            <w:tcW w:w="740" w:type="dxa"/>
            <w:vAlign w:val="bottom"/>
          </w:tcPr>
          <w:p>
            <w:pPr>
              <w:spacing w:after="0"/>
              <w:rPr>
                <w:sz w:val="20"/>
                <w:szCs w:val="20"/>
                <w:color w:val="auto"/>
              </w:rPr>
            </w:pPr>
          </w:p>
        </w:tc>
        <w:tc>
          <w:tcPr>
            <w:tcW w:w="2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4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G3.8</w:t>
            </w:r>
          </w:p>
        </w:tc>
        <w:tc>
          <w:tcPr>
            <w:tcW w:w="2060" w:type="dxa"/>
            <w:vAlign w:val="bottom"/>
          </w:tcPr>
          <w:p>
            <w:pPr>
              <w:ind w:left="380"/>
              <w:spacing w:after="0"/>
              <w:rPr>
                <w:sz w:val="20"/>
                <w:szCs w:val="20"/>
                <w:color w:val="auto"/>
              </w:rPr>
            </w:pPr>
            <w:r>
              <w:rPr>
                <w:rFonts w:ascii="Arial" w:cs="Arial" w:eastAsia="Arial" w:hAnsi="Arial"/>
                <w:sz w:val="18"/>
                <w:szCs w:val="18"/>
                <w:color w:val="auto"/>
              </w:rPr>
              <w:t>Financial Services –</w:t>
            </w:r>
          </w:p>
        </w:tc>
        <w:tc>
          <w:tcPr>
            <w:tcW w:w="4640" w:type="dxa"/>
            <w:vAlign w:val="bottom"/>
          </w:tcPr>
          <w:p>
            <w:pPr>
              <w:ind w:left="200"/>
              <w:spacing w:after="0"/>
              <w:rPr>
                <w:sz w:val="20"/>
                <w:szCs w:val="20"/>
                <w:color w:val="auto"/>
              </w:rPr>
            </w:pPr>
            <w:r>
              <w:rPr>
                <w:rFonts w:ascii="Arial" w:cs="Arial" w:eastAsia="Arial" w:hAnsi="Arial"/>
                <w:sz w:val="18"/>
                <w:szCs w:val="18"/>
                <w:color w:val="auto"/>
              </w:rPr>
              <w:t>In connection with RCP’s obligation to comply with the</w:t>
            </w:r>
          </w:p>
        </w:tc>
      </w:tr>
      <w:tr>
        <w:trPr>
          <w:trHeight w:val="216"/>
        </w:trPr>
        <w:tc>
          <w:tcPr>
            <w:tcW w:w="740" w:type="dxa"/>
            <w:vAlign w:val="bottom"/>
          </w:tcPr>
          <w:p>
            <w:pPr>
              <w:spacing w:after="0"/>
              <w:rPr>
                <w:sz w:val="18"/>
                <w:szCs w:val="18"/>
                <w:color w:val="auto"/>
              </w:rPr>
            </w:pPr>
          </w:p>
        </w:tc>
        <w:tc>
          <w:tcPr>
            <w:tcW w:w="2060" w:type="dxa"/>
            <w:vAlign w:val="bottom"/>
          </w:tcPr>
          <w:p>
            <w:pPr>
              <w:ind w:left="380"/>
              <w:spacing w:after="0"/>
              <w:rPr>
                <w:sz w:val="20"/>
                <w:szCs w:val="20"/>
                <w:color w:val="auto"/>
              </w:rPr>
            </w:pPr>
            <w:r>
              <w:rPr>
                <w:rFonts w:ascii="Arial" w:cs="Arial" w:eastAsia="Arial" w:hAnsi="Arial"/>
                <w:sz w:val="18"/>
                <w:szCs w:val="18"/>
                <w:color w:val="auto"/>
              </w:rPr>
              <w:t>SOX Compliance</w:t>
            </w:r>
          </w:p>
        </w:tc>
        <w:tc>
          <w:tcPr>
            <w:tcW w:w="4640" w:type="dxa"/>
            <w:vAlign w:val="bottom"/>
          </w:tcPr>
          <w:p>
            <w:pPr>
              <w:ind w:left="200"/>
              <w:spacing w:after="0"/>
              <w:rPr>
                <w:sz w:val="20"/>
                <w:szCs w:val="20"/>
                <w:color w:val="auto"/>
              </w:rPr>
            </w:pPr>
            <w:r>
              <w:rPr>
                <w:rFonts w:ascii="Arial" w:cs="Arial" w:eastAsia="Arial" w:hAnsi="Arial"/>
                <w:sz w:val="18"/>
                <w:szCs w:val="18"/>
                <w:color w:val="auto"/>
                <w:w w:val="90"/>
              </w:rPr>
              <w:t>Sarbanes-Oxley Act of 2002, provision of reasonable support</w:t>
            </w:r>
          </w:p>
        </w:tc>
      </w:tr>
      <w:tr>
        <w:trPr>
          <w:trHeight w:val="216"/>
        </w:trPr>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w w:val="91"/>
              </w:rPr>
              <w:t>and performance of key controls related to financial reporting</w:t>
            </w:r>
          </w:p>
        </w:tc>
      </w:tr>
      <w:tr>
        <w:trPr>
          <w:trHeight w:val="230"/>
        </w:trPr>
        <w:tc>
          <w:tcPr>
            <w:tcW w:w="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as agreed between the Parties.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6327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earlier of (i) 12 months from the Commencement Date or (ii) the cessation of current Senior Compliance Manager’s employment</w:t>
      </w:r>
    </w:p>
    <w:p>
      <w:pPr>
        <w:spacing w:after="0" w:line="5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24 months from the Commencement Date</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$8,000 per month</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14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$200 per person / per hour</w:t>
      </w:r>
    </w:p>
    <w:p>
      <w:pPr>
        <w:spacing w:after="0" w:line="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145" w:lineRule="exact"/>
        <w:rPr>
          <w:sz w:val="20"/>
          <w:szCs w:val="20"/>
          <w:color w:val="auto"/>
        </w:rPr>
      </w:pPr>
    </w:p>
    <w:p>
      <w:pPr>
        <w:sectPr>
          <w:pgSz w:w="11900" w:h="16838" w:orient="portrait"/>
          <w:cols w:equalWidth="0" w:num="3">
            <w:col w:w="7440" w:space="280"/>
            <w:col w:w="1700" w:space="180"/>
            <w:col w:w="1420"/>
          </w:cols>
          <w:pgMar w:left="440" w:top="265" w:right="439" w:bottom="1440" w:gutter="0" w:footer="0" w:header="0"/>
          <w:type w:val="continuous"/>
        </w:sectPr>
      </w:pPr>
    </w:p>
    <w:p>
      <w:pPr>
        <w:ind w:left="440" w:hanging="436"/>
        <w:spacing w:after="0"/>
        <w:tabs>
          <w:tab w:leader="none" w:pos="440" w:val="left"/>
        </w:tabs>
        <w:numPr>
          <w:ilvl w:val="0"/>
          <w:numId w:val="470"/>
        </w:numPr>
        <w:rPr>
          <w:rFonts w:ascii="Arial" w:cs="Arial" w:eastAsia="Arial" w:hAnsi="Arial"/>
          <w:sz w:val="14"/>
          <w:szCs w:val="14"/>
          <w:color w:val="auto"/>
        </w:rPr>
      </w:pPr>
      <w:r>
        <w:rPr>
          <w:rFonts w:ascii="Arial" w:cs="Arial" w:eastAsia="Arial" w:hAnsi="Arial"/>
          <w:sz w:val="16"/>
          <w:szCs w:val="16"/>
          <w:color w:val="auto"/>
        </w:rPr>
        <w:t>RCP needs to obtain its own instance of Wdesk (or similar system) to prepare and file annual and quarterly filings as of the Commencement Date.</w:t>
      </w:r>
    </w:p>
    <w:p>
      <w:pPr>
        <w:sectPr>
          <w:pgSz w:w="11900" w:h="16838" w:orient="portrait"/>
          <w:cols w:equalWidth="0" w:num="1">
            <w:col w:w="11020"/>
          </w:cols>
          <w:pgMar w:left="440" w:top="265" w:right="439" w:bottom="1440" w:gutter="0" w:footer="0" w:header="0"/>
          <w:type w:val="continuous"/>
        </w:sectPr>
      </w:pPr>
    </w:p>
    <w:bookmarkStart w:id="539" w:name="page540"/>
    <w:bookmarkEnd w:id="539"/>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G3.9</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Treasury Services –</w:t>
            </w:r>
          </w:p>
        </w:tc>
        <w:tc>
          <w:tcPr>
            <w:tcW w:w="10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w w:val="97"/>
              </w:rPr>
              <w:t>Provision of Foreign Bank and Financial Accounts (“FBAR”)</w:t>
            </w:r>
          </w:p>
        </w:tc>
        <w:tc>
          <w:tcPr>
            <w:tcW w:w="1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FBAR Reporting</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reporting services.</w:t>
            </w: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Commencement Date</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G3.10</w:t>
            </w:r>
          </w:p>
        </w:tc>
        <w:tc>
          <w:tcPr>
            <w:tcW w:w="2000" w:type="dxa"/>
            <w:vAlign w:val="bottom"/>
          </w:tcPr>
          <w:p>
            <w:pPr>
              <w:ind w:left="340"/>
              <w:spacing w:after="0"/>
              <w:rPr>
                <w:sz w:val="20"/>
                <w:szCs w:val="20"/>
                <w:color w:val="auto"/>
              </w:rPr>
            </w:pPr>
            <w:r>
              <w:rPr>
                <w:rFonts w:ascii="Arial" w:cs="Arial" w:eastAsia="Arial" w:hAnsi="Arial"/>
                <w:sz w:val="18"/>
                <w:szCs w:val="18"/>
                <w:color w:val="auto"/>
              </w:rPr>
              <w:t>Treasury Services –</w:t>
            </w: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Provision of support and handover services related to</w:t>
            </w:r>
          </w:p>
        </w:tc>
        <w:tc>
          <w:tcPr>
            <w:tcW w:w="1840" w:type="dxa"/>
            <w:vAlign w:val="bottom"/>
          </w:tcPr>
          <w:p>
            <w:pPr>
              <w:ind w:left="260"/>
              <w:spacing w:after="0"/>
              <w:rPr>
                <w:sz w:val="20"/>
                <w:szCs w:val="20"/>
                <w:color w:val="auto"/>
              </w:rPr>
            </w:pPr>
            <w:r>
              <w:rPr>
                <w:rFonts w:ascii="Arial" w:cs="Arial" w:eastAsia="Arial" w:hAnsi="Arial"/>
                <w:sz w:val="18"/>
                <w:szCs w:val="18"/>
                <w:color w:val="auto"/>
              </w:rPr>
              <w:t>12 months from the</w:t>
            </w:r>
          </w:p>
        </w:tc>
      </w:tr>
      <w:tr>
        <w:trPr>
          <w:trHeight w:val="230"/>
        </w:trPr>
        <w:tc>
          <w:tcPr>
            <w:tcW w:w="780" w:type="dxa"/>
            <w:vAlign w:val="bottom"/>
          </w:tcPr>
          <w:p>
            <w:pPr>
              <w:spacing w:after="0"/>
              <w:rPr>
                <w:sz w:val="20"/>
                <w:szCs w:val="20"/>
                <w:color w:val="auto"/>
              </w:rPr>
            </w:pPr>
          </w:p>
        </w:tc>
        <w:tc>
          <w:tcPr>
            <w:tcW w:w="2000" w:type="dxa"/>
            <w:vAlign w:val="bottom"/>
          </w:tcPr>
          <w:p>
            <w:pPr>
              <w:ind w:left="340"/>
              <w:spacing w:after="0"/>
              <w:rPr>
                <w:sz w:val="20"/>
                <w:szCs w:val="20"/>
                <w:color w:val="auto"/>
              </w:rPr>
            </w:pPr>
            <w:r>
              <w:rPr>
                <w:rFonts w:ascii="Arial" w:cs="Arial" w:eastAsia="Arial" w:hAnsi="Arial"/>
                <w:sz w:val="18"/>
                <w:szCs w:val="18"/>
                <w:color w:val="auto"/>
              </w:rPr>
              <w:t>Hedging</w:t>
            </w: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commodity hedging activities, including:</w:t>
            </w:r>
          </w:p>
        </w:tc>
        <w:tc>
          <w:tcPr>
            <w:tcW w:w="1840" w:type="dxa"/>
            <w:vAlign w:val="bottom"/>
          </w:tcPr>
          <w:p>
            <w:pPr>
              <w:ind w:left="260"/>
              <w:spacing w:after="0"/>
              <w:rPr>
                <w:sz w:val="20"/>
                <w:szCs w:val="20"/>
                <w:color w:val="auto"/>
              </w:rPr>
            </w:pPr>
            <w:r>
              <w:rPr>
                <w:rFonts w:ascii="Arial" w:cs="Arial" w:eastAsia="Arial" w:hAnsi="Arial"/>
                <w:sz w:val="18"/>
                <w:szCs w:val="18"/>
                <w:color w:val="auto"/>
                <w:w w:val="89"/>
              </w:rPr>
              <w:t>Commencement Date</w:t>
            </w:r>
          </w:p>
        </w:tc>
      </w:tr>
      <w:tr>
        <w:trPr>
          <w:trHeight w:val="338"/>
        </w:trPr>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3900" w:type="dxa"/>
            <w:vAlign w:val="bottom"/>
          </w:tcPr>
          <w:p>
            <w:pPr>
              <w:ind w:left="140"/>
              <w:spacing w:after="0"/>
              <w:rPr>
                <w:sz w:val="20"/>
                <w:szCs w:val="20"/>
                <w:color w:val="auto"/>
              </w:rPr>
            </w:pPr>
            <w:r>
              <w:rPr>
                <w:rFonts w:ascii="Arial" w:cs="Arial" w:eastAsia="Arial" w:hAnsi="Arial"/>
                <w:sz w:val="18"/>
                <w:szCs w:val="18"/>
                <w:color w:val="auto"/>
              </w:rPr>
              <w:t>Determining hedge quantities and timing</w:t>
            </w:r>
          </w:p>
        </w:tc>
        <w:tc>
          <w:tcPr>
            <w:tcW w:w="1840" w:type="dxa"/>
            <w:vAlign w:val="bottom"/>
          </w:tcPr>
          <w:p>
            <w:pPr>
              <w:spacing w:after="0"/>
              <w:rPr>
                <w:sz w:val="24"/>
                <w:szCs w:val="24"/>
                <w:color w:val="auto"/>
              </w:rPr>
            </w:pPr>
          </w:p>
        </w:tc>
      </w:tr>
      <w:tr>
        <w:trPr>
          <w:trHeight w:val="338"/>
        </w:trPr>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3900" w:type="dxa"/>
            <w:vAlign w:val="bottom"/>
          </w:tcPr>
          <w:p>
            <w:pPr>
              <w:ind w:left="140"/>
              <w:spacing w:after="0"/>
              <w:rPr>
                <w:sz w:val="20"/>
                <w:szCs w:val="20"/>
                <w:color w:val="auto"/>
              </w:rPr>
            </w:pPr>
            <w:r>
              <w:rPr>
                <w:rFonts w:ascii="Arial" w:cs="Arial" w:eastAsia="Arial" w:hAnsi="Arial"/>
                <w:sz w:val="18"/>
                <w:szCs w:val="18"/>
                <w:color w:val="auto"/>
              </w:rPr>
              <w:t>Execution of hedging trades in Kiodex</w:t>
            </w:r>
          </w:p>
        </w:tc>
        <w:tc>
          <w:tcPr>
            <w:tcW w:w="1840" w:type="dxa"/>
            <w:vAlign w:val="bottom"/>
          </w:tcPr>
          <w:p>
            <w:pPr>
              <w:spacing w:after="0"/>
              <w:rPr>
                <w:sz w:val="24"/>
                <w:szCs w:val="24"/>
                <w:color w:val="auto"/>
              </w:rPr>
            </w:pPr>
          </w:p>
        </w:tc>
      </w:tr>
      <w:tr>
        <w:trPr>
          <w:trHeight w:val="338"/>
        </w:trPr>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3900" w:type="dxa"/>
            <w:vAlign w:val="bottom"/>
          </w:tcPr>
          <w:p>
            <w:pPr>
              <w:ind w:left="140"/>
              <w:spacing w:after="0"/>
              <w:rPr>
                <w:sz w:val="20"/>
                <w:szCs w:val="20"/>
                <w:color w:val="auto"/>
              </w:rPr>
            </w:pPr>
            <w:r>
              <w:rPr>
                <w:rFonts w:ascii="Arial" w:cs="Arial" w:eastAsia="Arial" w:hAnsi="Arial"/>
                <w:sz w:val="18"/>
                <w:szCs w:val="18"/>
                <w:color w:val="auto"/>
              </w:rPr>
              <w:t>Tracking open hedge positions</w:t>
            </w:r>
          </w:p>
        </w:tc>
        <w:tc>
          <w:tcPr>
            <w:tcW w:w="1840" w:type="dxa"/>
            <w:vAlign w:val="bottom"/>
          </w:tcPr>
          <w:p>
            <w:pPr>
              <w:spacing w:after="0"/>
              <w:rPr>
                <w:sz w:val="24"/>
                <w:szCs w:val="24"/>
                <w:color w:val="auto"/>
              </w:rPr>
            </w:pPr>
          </w:p>
        </w:tc>
      </w:tr>
      <w:tr>
        <w:trPr>
          <w:trHeight w:val="338"/>
        </w:trPr>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3900" w:type="dxa"/>
            <w:vAlign w:val="bottom"/>
          </w:tcPr>
          <w:p>
            <w:pPr>
              <w:ind w:left="140"/>
              <w:spacing w:after="0"/>
              <w:rPr>
                <w:sz w:val="20"/>
                <w:szCs w:val="20"/>
                <w:color w:val="auto"/>
              </w:rPr>
            </w:pPr>
            <w:r>
              <w:rPr>
                <w:rFonts w:ascii="Arial" w:cs="Arial" w:eastAsia="Arial" w:hAnsi="Arial"/>
                <w:sz w:val="18"/>
                <w:szCs w:val="18"/>
                <w:color w:val="auto"/>
                <w:w w:val="98"/>
              </w:rPr>
              <w:t>Facilitate provision of month-end journal entries</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9093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1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 person / per hour</w:t>
      </w:r>
    </w:p>
    <w:p>
      <w:pPr>
        <w:spacing w:after="0" w:line="7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 person / per hour</w:t>
      </w:r>
    </w:p>
    <w:p>
      <w:pPr>
        <w:spacing w:after="0" w:line="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$8,500 per month for Kiodex</w:t>
      </w:r>
    </w:p>
    <w:p>
      <w:pPr>
        <w:spacing w:after="0" w:line="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ectPr>
          <w:pgSz w:w="11900" w:h="16838" w:orient="portrait"/>
          <w:cols w:equalWidth="0" w:num="2">
            <w:col w:w="9500" w:space="100"/>
            <w:col w:w="1420"/>
          </w:cols>
          <w:pgMar w:left="440" w:top="265" w:right="43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G4: Internal Audit and Tax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G4.1</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Audit and IT Audit</w:t>
            </w:r>
          </w:p>
        </w:tc>
        <w:tc>
          <w:tcPr>
            <w:tcW w:w="120" w:type="dxa"/>
            <w:vAlign w:val="bottom"/>
          </w:tcPr>
          <w:p>
            <w:pPr>
              <w:spacing w:after="0"/>
              <w:rPr>
                <w:sz w:val="16"/>
                <w:szCs w:val="16"/>
                <w:color w:val="auto"/>
              </w:rPr>
            </w:pPr>
          </w:p>
        </w:tc>
        <w:tc>
          <w:tcPr>
            <w:tcW w:w="4720" w:type="dxa"/>
            <w:vAlign w:val="bottom"/>
            <w:gridSpan w:val="2"/>
          </w:tcPr>
          <w:p>
            <w:pPr>
              <w:spacing w:after="0" w:line="195" w:lineRule="exact"/>
              <w:rPr>
                <w:sz w:val="20"/>
                <w:szCs w:val="20"/>
                <w:color w:val="auto"/>
              </w:rPr>
            </w:pPr>
            <w:r>
              <w:rPr>
                <w:rFonts w:ascii="Arial" w:cs="Arial" w:eastAsia="Arial" w:hAnsi="Arial"/>
                <w:sz w:val="18"/>
                <w:szCs w:val="18"/>
                <w:color w:val="auto"/>
              </w:rPr>
              <w:t>Provision of audit handover services, including information</w:t>
            </w:r>
          </w:p>
        </w:tc>
        <w:tc>
          <w:tcPr>
            <w:tcW w:w="1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320" w:type="dxa"/>
            <w:vAlign w:val="bottom"/>
          </w:tcPr>
          <w:p>
            <w:pPr>
              <w:spacing w:after="0" w:line="195" w:lineRule="exact"/>
              <w:rPr>
                <w:sz w:val="20"/>
                <w:szCs w:val="20"/>
                <w:color w:val="auto"/>
              </w:rPr>
            </w:pPr>
            <w:r>
              <w:rPr>
                <w:rFonts w:ascii="Arial" w:cs="Arial" w:eastAsia="Arial" w:hAnsi="Arial"/>
                <w:sz w:val="18"/>
                <w:szCs w:val="18"/>
                <w:color w:val="auto"/>
                <w:w w:val="92"/>
              </w:rPr>
              <w:t>$175 per person /</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Handover Services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5"/>
              </w:rPr>
              <w:t>relating to IT internal audit processes and procedures of RCP.</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per hour</w:t>
            </w: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Reasonable provision of:</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89"/>
              </w:rPr>
              <w:t>Plus pass-through</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4160" w:type="dxa"/>
            <w:vAlign w:val="bottom"/>
            <w:vMerge w:val="restart"/>
          </w:tcPr>
          <w:p>
            <w:pPr>
              <w:ind w:left="140"/>
              <w:spacing w:after="0"/>
              <w:rPr>
                <w:sz w:val="20"/>
                <w:szCs w:val="20"/>
                <w:color w:val="auto"/>
              </w:rPr>
            </w:pPr>
            <w:r>
              <w:rPr>
                <w:rFonts w:ascii="Arial" w:cs="Arial" w:eastAsia="Arial" w:hAnsi="Arial"/>
                <w:sz w:val="18"/>
                <w:szCs w:val="18"/>
                <w:color w:val="auto"/>
                <w:w w:val="93"/>
              </w:rPr>
              <w:t>Training of new RCP staff and existing documentation</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of actual third-</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party costs</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60" w:type="dxa"/>
            <w:vAlign w:val="bottom"/>
            <w:vMerge w:val="restart"/>
          </w:tcPr>
          <w:p>
            <w:pPr>
              <w:ind w:left="160"/>
              <w:spacing w:after="0"/>
              <w:rPr>
                <w:sz w:val="20"/>
                <w:szCs w:val="20"/>
                <w:color w:val="auto"/>
              </w:rPr>
            </w:pPr>
            <w:r>
              <w:rPr>
                <w:rFonts w:ascii="Arial" w:cs="Arial" w:eastAsia="Arial" w:hAnsi="Arial"/>
                <w:sz w:val="18"/>
                <w:szCs w:val="18"/>
                <w:color w:val="auto"/>
              </w:rPr>
              <w:t>for all relevant processes</w:t>
            </w:r>
          </w:p>
        </w:tc>
        <w:tc>
          <w:tcPr>
            <w:tcW w:w="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incurred in</w:t>
            </w:r>
          </w:p>
        </w:tc>
        <w:tc>
          <w:tcPr>
            <w:tcW w:w="0" w:type="dxa"/>
            <w:vAlign w:val="bottom"/>
          </w:tcPr>
          <w:p>
            <w:pPr>
              <w:spacing w:after="0"/>
              <w:rPr>
                <w:sz w:val="1"/>
                <w:szCs w:val="1"/>
                <w:color w:val="auto"/>
              </w:rPr>
            </w:pPr>
          </w:p>
        </w:tc>
      </w:tr>
      <w:tr>
        <w:trPr>
          <w:trHeight w:val="80"/>
        </w:trPr>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Assistance, related to the services included in this</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providing the</w:t>
            </w:r>
          </w:p>
        </w:tc>
        <w:tc>
          <w:tcPr>
            <w:tcW w:w="0" w:type="dxa"/>
            <w:vAlign w:val="bottom"/>
          </w:tcPr>
          <w:p>
            <w:pPr>
              <w:spacing w:after="0"/>
              <w:rPr>
                <w:sz w:val="1"/>
                <w:szCs w:val="1"/>
                <w:color w:val="auto"/>
              </w:rPr>
            </w:pPr>
          </w:p>
        </w:tc>
      </w:tr>
      <w:tr>
        <w:trPr>
          <w:trHeight w:val="257"/>
        </w:trPr>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section</w:t>
            </w: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Transition handover support as required</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G4.2</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Tax Services – Direct</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5"/>
              </w:rPr>
              <w:t>Provision of support services for tax accounting and direct tax</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24 months from the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$100,275 per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(US and Canada)</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6"/>
              </w:rPr>
              <w:t>filings, including preparation and filing of federal and state tax</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month</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8"/>
              </w:rPr>
              <w:t>returns. For the avoidance of doubt, preparation and filing of</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Pass-through of</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returns may be completed by a third-party service provider</w:t>
            </w: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w w:val="96"/>
              </w:rPr>
              <w:t>actual third-party</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consistent with current practice.</w:t>
            </w: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costs incurred in</w:t>
            </w: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Reasonable handover tax services, including:</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providing the</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4160" w:type="dxa"/>
            <w:vAlign w:val="bottom"/>
            <w:vMerge w:val="restart"/>
          </w:tcPr>
          <w:p>
            <w:pPr>
              <w:ind w:left="140"/>
              <w:spacing w:after="0"/>
              <w:rPr>
                <w:sz w:val="20"/>
                <w:szCs w:val="20"/>
                <w:color w:val="auto"/>
              </w:rPr>
            </w:pPr>
            <w:r>
              <w:rPr>
                <w:rFonts w:ascii="Arial" w:cs="Arial" w:eastAsia="Arial" w:hAnsi="Arial"/>
                <w:sz w:val="18"/>
                <w:szCs w:val="18"/>
                <w:color w:val="auto"/>
              </w:rPr>
              <w:t>The transfer by Sellers of any and all historical</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information and explanations necessary for Transferred</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4"/>
              </w:rPr>
              <w:t>Entities to completely and accurately prepare and file</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the tax returns related to post-Closing period.</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Identification of all information sources, including</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information gathering formats, for the collection of</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1"/>
              </w:rPr>
              <w:t>information required for Transferred Entities to prepare</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2"/>
              </w:rPr>
              <w:t>and file the tax returns related to post-Closing periods.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Providing continued support in providing historical</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documentation and explanations in relation to tax</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audits currently in process.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Providing working papers and support related to</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accounting for income taxes.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Providing historical transfer pricing studies and</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working papers.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w w:val="91"/>
              </w:rPr>
              <w:t>Assistance with registrations and/or electronic payment</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registrations as needed.</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541" w:name="page542"/>
    <w:bookmarkEnd w:id="5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G4.3</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w w:val="95"/>
              </w:rPr>
              <w:t>Tax Services – Indirect</w:t>
            </w:r>
          </w:p>
        </w:tc>
        <w:tc>
          <w:tcPr>
            <w:tcW w:w="120" w:type="dxa"/>
            <w:vAlign w:val="bottom"/>
          </w:tcPr>
          <w:p>
            <w:pPr>
              <w:spacing w:after="0"/>
              <w:rPr>
                <w:sz w:val="16"/>
                <w:szCs w:val="16"/>
                <w:color w:val="auto"/>
              </w:rPr>
            </w:pPr>
          </w:p>
        </w:tc>
        <w:tc>
          <w:tcPr>
            <w:tcW w:w="4720" w:type="dxa"/>
            <w:vAlign w:val="bottom"/>
            <w:gridSpan w:val="2"/>
          </w:tcPr>
          <w:p>
            <w:pPr>
              <w:spacing w:after="0" w:line="195" w:lineRule="exact"/>
              <w:rPr>
                <w:sz w:val="20"/>
                <w:szCs w:val="20"/>
                <w:color w:val="auto"/>
              </w:rPr>
            </w:pPr>
            <w:r>
              <w:rPr>
                <w:rFonts w:ascii="Arial" w:cs="Arial" w:eastAsia="Arial" w:hAnsi="Arial"/>
                <w:sz w:val="18"/>
                <w:szCs w:val="18"/>
                <w:color w:val="auto"/>
                <w:w w:val="97"/>
              </w:rPr>
              <w:t>Provision of support services for indirect tax filings, including</w:t>
            </w:r>
          </w:p>
        </w:tc>
        <w:tc>
          <w:tcPr>
            <w:tcW w:w="1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24 months from the</w:t>
            </w:r>
          </w:p>
        </w:tc>
        <w:tc>
          <w:tcPr>
            <w:tcW w:w="100" w:type="dxa"/>
            <w:vAlign w:val="bottom"/>
          </w:tcPr>
          <w:p>
            <w:pPr>
              <w:spacing w:after="0"/>
              <w:rPr>
                <w:sz w:val="16"/>
                <w:szCs w:val="16"/>
                <w:color w:val="auto"/>
              </w:rPr>
            </w:pPr>
          </w:p>
        </w:tc>
        <w:tc>
          <w:tcPr>
            <w:tcW w:w="1320" w:type="dxa"/>
            <w:vAlign w:val="bottom"/>
          </w:tcPr>
          <w:p>
            <w:pPr>
              <w:spacing w:after="0" w:line="195" w:lineRule="exact"/>
              <w:rPr>
                <w:sz w:val="20"/>
                <w:szCs w:val="20"/>
                <w:color w:val="auto"/>
              </w:rPr>
            </w:pPr>
            <w:r>
              <w:rPr>
                <w:rFonts w:ascii="Arial" w:cs="Arial" w:eastAsia="Arial" w:hAnsi="Arial"/>
                <w:sz w:val="18"/>
                <w:szCs w:val="18"/>
                <w:color w:val="auto"/>
              </w:rPr>
              <w:t>$13,285 per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(US and Canada)</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8"/>
              </w:rPr>
              <w:t>preparation and filing of Sales and Use, VAT, Personal, and</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month</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0"/>
              </w:rPr>
              <w:t>Property tax returns. For the avoidance of doubt, preparation and</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w w:val="89"/>
              </w:rPr>
              <w:t>Plus pass-through</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filing of returns may be completed by a third-party service</w:t>
            </w: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of actual third-</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provider consistent with current practice.</w:t>
            </w: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party costs</w:t>
            </w: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Reasonable handover services, including:</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incurred in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4160" w:type="dxa"/>
            <w:vAlign w:val="bottom"/>
            <w:vMerge w:val="restart"/>
          </w:tcPr>
          <w:p>
            <w:pPr>
              <w:ind w:left="140"/>
              <w:spacing w:after="0"/>
              <w:rPr>
                <w:sz w:val="20"/>
                <w:szCs w:val="20"/>
                <w:color w:val="auto"/>
              </w:rPr>
            </w:pPr>
            <w:r>
              <w:rPr>
                <w:rFonts w:ascii="Arial" w:cs="Arial" w:eastAsia="Arial" w:hAnsi="Arial"/>
                <w:sz w:val="18"/>
                <w:szCs w:val="18"/>
                <w:color w:val="auto"/>
                <w:w w:val="91"/>
              </w:rPr>
              <w:t>Providing copies of all existing documentation required</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providing the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r>
        <w:trPr>
          <w:trHeight w:val="109"/>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60" w:type="dxa"/>
            <w:vAlign w:val="bottom"/>
            <w:vMerge w:val="restart"/>
          </w:tcPr>
          <w:p>
            <w:pPr>
              <w:ind w:left="160"/>
              <w:spacing w:after="0"/>
              <w:rPr>
                <w:sz w:val="20"/>
                <w:szCs w:val="20"/>
                <w:color w:val="auto"/>
              </w:rPr>
            </w:pPr>
            <w:r>
              <w:rPr>
                <w:rFonts w:ascii="Arial" w:cs="Arial" w:eastAsia="Arial" w:hAnsi="Arial"/>
                <w:sz w:val="18"/>
                <w:szCs w:val="18"/>
                <w:color w:val="auto"/>
                <w:w w:val="97"/>
              </w:rPr>
              <w:t>for Property tax and Sales and Use tax compliance,</w:t>
            </w: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including resale and manufacturer’s exemption</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2"/>
              </w:rPr>
              <w:t>certificates as well as continued services in support of</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5"/>
              </w:rPr>
              <w:t>processes to obtain, review, and maintain necessary</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documentation.</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Facilitating and assisting in the creating of</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documentation required for tax compliance.</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The transfer by Sellers of any and all historical</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0"/>
              </w:rPr>
              <w:t>information and explanations necessary for Transferred</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4"/>
              </w:rPr>
              <w:t>Entities to completely and accurately prepare and file</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the tax returns related to post-Closing period.</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Identification of all information sources, including</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information gathering formats, for the collection of</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1"/>
              </w:rPr>
              <w:t>information required for Transferred Entities to prepare</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w w:val="92"/>
              </w:rPr>
              <w:t>and file the tax returns related to post-Closing periods.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Providing continued support in providing historical</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documentation and explanations in relation to tax</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audits currently in process.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w w:val="91"/>
              </w:rPr>
              <w:t>Assistance with registrations and/or electronic payment</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registrations as needed.</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4"/>
              </w:rPr>
              <w:t>Providing working papers to support calculations related to the</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accounting for income taxes.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G4.4</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Tax Services – China</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2"/>
              </w:rPr>
              <w:t>Provision of handover services related to returns and filings with</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12 months from the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2"/>
              </w:rPr>
              <w:t>$140 per person /</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retained third-party service provider.</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per hour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Plus pass-through</w:t>
      </w:r>
    </w:p>
    <w:p>
      <w:pPr>
        <w:spacing w:after="0" w:line="4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of actual third-</w:t>
      </w:r>
    </w:p>
    <w:p>
      <w:pPr>
        <w:spacing w:after="0" w:line="9"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party costs</w:t>
      </w:r>
    </w:p>
    <w:p>
      <w:pPr>
        <w:spacing w:after="0" w:line="9"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incurred in</w:t>
      </w:r>
    </w:p>
    <w:p>
      <w:pPr>
        <w:spacing w:after="0" w:line="9"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providing the</w:t>
      </w:r>
    </w:p>
    <w:p>
      <w:pPr>
        <w:spacing w:after="0" w:line="9"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service</w:t>
      </w:r>
    </w:p>
    <w:p>
      <w:pPr>
        <w:sectPr>
          <w:pgSz w:w="11900" w:h="16838" w:orient="portrait"/>
          <w:cols w:equalWidth="0" w:num="1">
            <w:col w:w="11040"/>
          </w:cols>
          <w:pgMar w:left="440" w:top="266" w:right="419" w:bottom="1440" w:gutter="0" w:footer="0" w:header="0"/>
        </w:sectPr>
      </w:pPr>
    </w:p>
    <w:bookmarkStart w:id="542" w:name="page543"/>
    <w:bookmarkEnd w:id="542"/>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G4.5</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20" w:type="dxa"/>
            <w:vAlign w:val="bottom"/>
          </w:tcPr>
          <w:p>
            <w:pPr>
              <w:spacing w:after="0"/>
              <w:rPr>
                <w:sz w:val="16"/>
                <w:szCs w:val="16"/>
                <w:color w:val="auto"/>
              </w:rPr>
            </w:pPr>
          </w:p>
        </w:tc>
        <w:tc>
          <w:tcPr>
            <w:tcW w:w="472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Tax Services – Audit</w:t>
            </w:r>
          </w:p>
        </w:tc>
        <w:tc>
          <w:tcPr>
            <w:tcW w:w="1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w w:val="99"/>
              </w:rPr>
              <w:t>Provision of support for state and federal income tax audits,</w:t>
            </w:r>
          </w:p>
        </w:tc>
        <w:tc>
          <w:tcPr>
            <w:tcW w:w="1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24 months from the</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Support</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including:</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740" w:right="2360" w:hanging="364"/>
        <w:spacing w:after="0" w:line="277" w:lineRule="auto"/>
        <w:tabs>
          <w:tab w:leader="none" w:pos="37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Providing documentation and explanations to the examiners</w:t>
      </w:r>
    </w:p>
    <w:p>
      <w:pPr>
        <w:spacing w:after="0" w:line="75" w:lineRule="exact"/>
        <w:rPr>
          <w:rFonts w:ascii="Arial" w:cs="Arial" w:eastAsia="Arial" w:hAnsi="Arial"/>
          <w:sz w:val="18"/>
          <w:szCs w:val="18"/>
          <w:color w:val="auto"/>
        </w:rPr>
      </w:pPr>
    </w:p>
    <w:p>
      <w:pPr>
        <w:ind w:left="3740" w:right="1920" w:hanging="364"/>
        <w:spacing w:after="0" w:line="277" w:lineRule="auto"/>
        <w:tabs>
          <w:tab w:leader="none" w:pos="37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Preparing necessary paperwork related to any filings or settlements</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83185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 w:lineRule="exact"/>
        <w:rPr>
          <w:sz w:val="20"/>
          <w:szCs w:val="20"/>
          <w:color w:val="auto"/>
        </w:rPr>
      </w:pPr>
    </w:p>
    <w:p>
      <w:pPr>
        <w:ind w:right="40"/>
        <w:spacing w:after="0" w:line="305" w:lineRule="auto"/>
        <w:rPr>
          <w:sz w:val="20"/>
          <w:szCs w:val="20"/>
          <w:color w:val="auto"/>
        </w:rPr>
      </w:pPr>
      <w:r>
        <w:rPr>
          <w:rFonts w:ascii="Arial" w:cs="Arial" w:eastAsia="Arial" w:hAnsi="Arial"/>
          <w:sz w:val="17"/>
          <w:szCs w:val="17"/>
          <w:color w:val="auto"/>
        </w:rPr>
        <w:t>$175 per person / per hour</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Plus pass-through of actual third-party costs incurred in providing the service</w:t>
      </w:r>
    </w:p>
    <w:p>
      <w:pPr>
        <w:spacing w:after="0" w:line="84" w:lineRule="exact"/>
        <w:rPr>
          <w:sz w:val="20"/>
          <w:szCs w:val="20"/>
          <w:color w:val="auto"/>
        </w:rPr>
      </w:pPr>
    </w:p>
    <w:p>
      <w:pPr>
        <w:sectPr>
          <w:pgSz w:w="11900" w:h="16838" w:orient="portrait"/>
          <w:cols w:equalWidth="0" w:num="2">
            <w:col w:w="9620" w:space="100"/>
            <w:col w:w="1280"/>
          </w:cols>
          <w:pgMar w:left="440" w:top="265" w:right="459" w:bottom="1440" w:gutter="0" w:footer="0" w:header="0"/>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G4.6</w:t>
            </w:r>
          </w:p>
        </w:tc>
        <w:tc>
          <w:tcPr>
            <w:tcW w:w="2180" w:type="dxa"/>
            <w:vAlign w:val="bottom"/>
          </w:tcPr>
          <w:p>
            <w:pPr>
              <w:ind w:left="380"/>
              <w:spacing w:after="0"/>
              <w:rPr>
                <w:sz w:val="20"/>
                <w:szCs w:val="20"/>
                <w:color w:val="auto"/>
              </w:rPr>
            </w:pPr>
            <w:r>
              <w:rPr>
                <w:rFonts w:ascii="Arial" w:cs="Arial" w:eastAsia="Arial" w:hAnsi="Arial"/>
                <w:sz w:val="18"/>
                <w:szCs w:val="18"/>
                <w:color w:val="auto"/>
                <w:w w:val="93"/>
              </w:rPr>
              <w:t>Tax Services – Transfer</w:t>
            </w:r>
          </w:p>
        </w:tc>
        <w:tc>
          <w:tcPr>
            <w:tcW w:w="4540" w:type="dxa"/>
            <w:vAlign w:val="bottom"/>
          </w:tcPr>
          <w:p>
            <w:pPr>
              <w:ind w:left="100"/>
              <w:spacing w:after="0"/>
              <w:rPr>
                <w:sz w:val="20"/>
                <w:szCs w:val="20"/>
                <w:color w:val="auto"/>
              </w:rPr>
            </w:pPr>
            <w:r>
              <w:rPr>
                <w:rFonts w:ascii="Arial" w:cs="Arial" w:eastAsia="Arial" w:hAnsi="Arial"/>
                <w:sz w:val="18"/>
                <w:szCs w:val="18"/>
                <w:color w:val="auto"/>
                <w:w w:val="96"/>
              </w:rPr>
              <w:t>RGHI Director of Transfer Pricing will provide support and</w:t>
            </w:r>
          </w:p>
        </w:tc>
      </w:tr>
      <w:tr>
        <w:trPr>
          <w:trHeight w:val="216"/>
        </w:trPr>
        <w:tc>
          <w:tcPr>
            <w:tcW w:w="740" w:type="dxa"/>
            <w:vAlign w:val="bottom"/>
          </w:tcPr>
          <w:p>
            <w:pPr>
              <w:spacing w:after="0"/>
              <w:rPr>
                <w:sz w:val="18"/>
                <w:szCs w:val="18"/>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auto"/>
              </w:rPr>
              <w:t>Pricing Consulting</w:t>
            </w:r>
          </w:p>
        </w:tc>
        <w:tc>
          <w:tcPr>
            <w:tcW w:w="4540" w:type="dxa"/>
            <w:vAlign w:val="bottom"/>
          </w:tcPr>
          <w:p>
            <w:pPr>
              <w:ind w:left="100"/>
              <w:spacing w:after="0"/>
              <w:rPr>
                <w:sz w:val="20"/>
                <w:szCs w:val="20"/>
                <w:color w:val="auto"/>
              </w:rPr>
            </w:pPr>
            <w:r>
              <w:rPr>
                <w:rFonts w:ascii="Arial" w:cs="Arial" w:eastAsia="Arial" w:hAnsi="Arial"/>
                <w:sz w:val="18"/>
                <w:szCs w:val="18"/>
                <w:color w:val="auto"/>
                <w:w w:val="89"/>
              </w:rPr>
              <w:t>handover services for transfer pricing compliance and matters</w:t>
            </w:r>
          </w:p>
        </w:tc>
      </w:tr>
      <w:tr>
        <w:trPr>
          <w:trHeight w:val="230"/>
        </w:trPr>
        <w:tc>
          <w:tcPr>
            <w:tcW w:w="740" w:type="dxa"/>
            <w:vAlign w:val="bottom"/>
          </w:tcPr>
          <w:p>
            <w:pPr>
              <w:spacing w:after="0"/>
              <w:rPr>
                <w:sz w:val="20"/>
                <w:szCs w:val="20"/>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auto"/>
              </w:rPr>
              <w:t>Services</w:t>
            </w:r>
          </w:p>
        </w:tc>
        <w:tc>
          <w:tcPr>
            <w:tcW w:w="4540" w:type="dxa"/>
            <w:vAlign w:val="bottom"/>
          </w:tcPr>
          <w:p>
            <w:pPr>
              <w:ind w:left="100"/>
              <w:spacing w:after="0"/>
              <w:rPr>
                <w:sz w:val="20"/>
                <w:szCs w:val="20"/>
                <w:color w:val="auto"/>
              </w:rPr>
            </w:pPr>
            <w:r>
              <w:rPr>
                <w:rFonts w:ascii="Arial" w:cs="Arial" w:eastAsia="Arial" w:hAnsi="Arial"/>
                <w:sz w:val="18"/>
                <w:szCs w:val="18"/>
                <w:color w:val="auto"/>
                <w:w w:val="92"/>
              </w:rPr>
              <w:t>related to RCP Canada/US transactions and sales services.</w:t>
            </w:r>
          </w:p>
        </w:tc>
      </w:tr>
    </w:tbl>
    <w:p>
      <w:pPr>
        <w:spacing w:after="0" w:line="107" w:lineRule="exact"/>
        <w:rPr>
          <w:sz w:val="20"/>
          <w:szCs w:val="20"/>
          <w:color w:val="auto"/>
        </w:rPr>
      </w:pPr>
    </w:p>
    <w:p>
      <w:pPr>
        <w:jc w:val="both"/>
        <w:ind w:left="3020"/>
        <w:spacing w:after="0" w:line="264" w:lineRule="auto"/>
        <w:rPr>
          <w:sz w:val="20"/>
          <w:szCs w:val="20"/>
          <w:color w:val="auto"/>
        </w:rPr>
      </w:pPr>
      <w:r>
        <w:rPr>
          <w:rFonts w:ascii="Arial" w:cs="Arial" w:eastAsia="Arial" w:hAnsi="Arial"/>
          <w:sz w:val="18"/>
          <w:szCs w:val="18"/>
          <w:color w:val="auto"/>
        </w:rPr>
        <w:t>Transfer Pricing support in connection with audits and Country by Country (CbC) reporting will be available on an ad hoc basis and charged at an hourly rate.</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earlier of (i) 24 months from the Commencement Date or (ii) the cessation of current Director of Transfer Pricing’s employment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$1,500 per month</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$140 per person / per hour for ad hoc support</w:t>
      </w:r>
    </w:p>
    <w:p>
      <w:pPr>
        <w:spacing w:after="0" w:line="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Plus pass-through of actual third-party costs incurred in providing the service</w:t>
      </w:r>
    </w:p>
    <w:p>
      <w:pPr>
        <w:sectPr>
          <w:pgSz w:w="11900" w:h="16838" w:orient="portrait"/>
          <w:cols w:equalWidth="0" w:num="3">
            <w:col w:w="7620" w:space="240"/>
            <w:col w:w="1560" w:space="300"/>
            <w:col w:w="1280"/>
          </w:cols>
          <w:pgMar w:left="440" w:top="265" w:right="459" w:bottom="1440" w:gutter="0" w:footer="0" w:header="0"/>
          <w:type w:val="continuous"/>
        </w:sectPr>
      </w:pPr>
    </w:p>
    <w:bookmarkStart w:id="543" w:name="page544"/>
    <w:bookmarkEnd w:id="54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G5: Procurement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vMerge w:val="restart"/>
          </w:tcPr>
          <w:p>
            <w:pPr>
              <w:spacing w:after="0"/>
              <w:rPr>
                <w:sz w:val="20"/>
                <w:szCs w:val="20"/>
                <w:color w:val="auto"/>
              </w:rPr>
            </w:pPr>
            <w:r>
              <w:rPr>
                <w:rFonts w:ascii="Arial" w:cs="Arial" w:eastAsia="Arial" w:hAnsi="Arial"/>
                <w:sz w:val="18"/>
                <w:szCs w:val="18"/>
                <w:color w:val="auto"/>
              </w:rPr>
              <w:t>G5.1</w:t>
            </w:r>
          </w:p>
        </w:tc>
        <w:tc>
          <w:tcPr>
            <w:tcW w:w="400" w:type="dxa"/>
            <w:vAlign w:val="bottom"/>
          </w:tcPr>
          <w:p>
            <w:pPr>
              <w:spacing w:after="0"/>
              <w:rPr>
                <w:sz w:val="16"/>
                <w:szCs w:val="16"/>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Service Name</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w w:val="93"/>
              </w:rPr>
              <w:t>Procurement – Support</w:t>
            </w:r>
          </w:p>
        </w:tc>
        <w:tc>
          <w:tcPr>
            <w:tcW w:w="120" w:type="dxa"/>
            <w:vAlign w:val="bottom"/>
          </w:tcPr>
          <w:p>
            <w:pPr>
              <w:spacing w:after="0"/>
              <w:rPr>
                <w:sz w:val="16"/>
                <w:szCs w:val="16"/>
                <w:color w:val="auto"/>
              </w:rPr>
            </w:pPr>
          </w:p>
        </w:tc>
        <w:tc>
          <w:tcPr>
            <w:tcW w:w="4720" w:type="dxa"/>
            <w:vAlign w:val="bottom"/>
            <w:gridSpan w:val="2"/>
          </w:tcPr>
          <w:p>
            <w:pPr>
              <w:spacing w:after="0" w:line="195" w:lineRule="exact"/>
              <w:rPr>
                <w:sz w:val="20"/>
                <w:szCs w:val="20"/>
                <w:color w:val="auto"/>
              </w:rPr>
            </w:pPr>
            <w:r>
              <w:rPr>
                <w:rFonts w:ascii="Arial" w:cs="Arial" w:eastAsia="Arial" w:hAnsi="Arial"/>
                <w:sz w:val="18"/>
                <w:szCs w:val="18"/>
                <w:color w:val="auto"/>
              </w:rPr>
              <w:t>Provision of support and handover services to assist RCP</w:t>
            </w:r>
          </w:p>
        </w:tc>
        <w:tc>
          <w:tcPr>
            <w:tcW w:w="1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320" w:type="dxa"/>
            <w:vAlign w:val="bottom"/>
          </w:tcPr>
          <w:p>
            <w:pPr>
              <w:spacing w:after="0" w:line="195" w:lineRule="exact"/>
              <w:rPr>
                <w:sz w:val="20"/>
                <w:szCs w:val="20"/>
                <w:color w:val="auto"/>
              </w:rPr>
            </w:pPr>
            <w:r>
              <w:rPr>
                <w:rFonts w:ascii="Arial" w:cs="Arial" w:eastAsia="Arial" w:hAnsi="Arial"/>
                <w:sz w:val="18"/>
                <w:szCs w:val="18"/>
                <w:color w:val="auto"/>
                <w:w w:val="92"/>
              </w:rPr>
              <w:t>$100 per person /</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w w:val="94"/>
              </w:rPr>
              <w:t>and Handover Services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0"/>
              </w:rPr>
              <w:t>(consistent with past practices) in obtaining supply and or service</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per hour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6"/>
              </w:rPr>
              <w:t>agreements, including assisting with negotiations (which shall</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Plus the pass-</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w w:val="90"/>
              </w:rPr>
              <w:t>not include legal advice, except to the extent included pursuant to</w:t>
            </w: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w w:val="96"/>
              </w:rPr>
              <w:t>through of actual</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the legal transition services schedule) in relation to:</w:t>
            </w: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third-party costs</w:t>
            </w: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Small parcel freight (UPS, FedEx)</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incurred in</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4160" w:type="dxa"/>
            <w:vAlign w:val="bottom"/>
            <w:vMerge w:val="restart"/>
          </w:tcPr>
          <w:p>
            <w:pPr>
              <w:ind w:left="140"/>
              <w:spacing w:after="0"/>
              <w:rPr>
                <w:sz w:val="20"/>
                <w:szCs w:val="20"/>
                <w:color w:val="auto"/>
              </w:rPr>
            </w:pPr>
            <w:r>
              <w:rPr>
                <w:rFonts w:ascii="Arial" w:cs="Arial" w:eastAsia="Arial" w:hAnsi="Arial"/>
                <w:sz w:val="18"/>
                <w:szCs w:val="18"/>
                <w:color w:val="auto"/>
              </w:rPr>
              <w:t>Energy (i.e. natural gas, electricity, etc.)</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providing the</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ISN</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IT multifunction devices (printers, etc.)</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w w:val="99"/>
              </w:rPr>
              <w:t>Raw materials – Poly (i.e. $110M+ PS, $50M+ PP,</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$40M+ PET, $20M Master Batch and Fillers)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w w:val="97"/>
              </w:rPr>
              <w:t>Raw materials – Packaging (corrugate, pallets, poly</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bags, molded fiber and related chemicals)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MRO</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IT procurement</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Vendor mall administration (i.e. support of Ariba</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Catalogues)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160" w:type="dxa"/>
            <w:vAlign w:val="bottom"/>
          </w:tcPr>
          <w:p>
            <w:pPr>
              <w:ind w:left="140"/>
              <w:spacing w:after="0"/>
              <w:rPr>
                <w:sz w:val="20"/>
                <w:szCs w:val="20"/>
                <w:color w:val="auto"/>
              </w:rPr>
            </w:pPr>
            <w:r>
              <w:rPr>
                <w:rFonts w:ascii="Arial" w:cs="Arial" w:eastAsia="Arial" w:hAnsi="Arial"/>
                <w:sz w:val="18"/>
                <w:szCs w:val="18"/>
                <w:color w:val="auto"/>
              </w:rPr>
              <w:t>GEP IT extract</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G5.2</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w w:val="98"/>
              </w:rPr>
              <w:t>Procurement – Freight</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3"/>
              </w:rPr>
              <w:t>Provision of freight procurement services to arrange shipments</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12 months form the</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$25 per load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w w:val="99"/>
              </w:rPr>
              <w:t>Procurement Services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9"/>
              </w:rPr>
              <w:t>from RCP vendors to RCP facilities (consistent with current</w:t>
            </w: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w w:val="99"/>
              </w:rPr>
              <w:t>Commencement Date</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w w:val="92"/>
              </w:rPr>
              <w:t>practices) in accordance with the processes and procedures set</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020"/>
        <w:spacing w:after="0"/>
        <w:rPr>
          <w:sz w:val="20"/>
          <w:szCs w:val="20"/>
          <w:color w:val="auto"/>
        </w:rPr>
      </w:pPr>
      <w:r>
        <w:rPr>
          <w:rFonts w:ascii="Arial" w:cs="Arial" w:eastAsia="Arial" w:hAnsi="Arial"/>
          <w:sz w:val="18"/>
          <w:szCs w:val="18"/>
          <w:color w:val="auto"/>
        </w:rPr>
        <w:t>forth in the Warehousing and Freight Services Agreement</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between Pactiv LLC and Reynolds Consumer Products LLC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effective November 1, 2019.</w:t>
      </w:r>
    </w:p>
    <w:p>
      <w:pPr>
        <w:sectPr>
          <w:pgSz w:w="11900" w:h="16838" w:orient="portrait"/>
          <w:cols w:equalWidth="0" w:num="1">
            <w:col w:w="11040"/>
          </w:cols>
          <w:pgMar w:left="440" w:top="269" w:right="419" w:bottom="1440" w:gutter="0" w:footer="0" w:header="0"/>
        </w:sectPr>
      </w:pPr>
    </w:p>
    <w:bookmarkStart w:id="544" w:name="page545"/>
    <w:bookmarkEnd w:id="544"/>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G6: Travel and Expense Services</w:t>
      </w:r>
    </w:p>
    <w:p>
      <w:pPr>
        <w:sectPr>
          <w:pgSz w:w="11900" w:h="16838" w:orient="portrait"/>
          <w:cols w:equalWidth="0" w:num="1">
            <w:col w:w="11020"/>
          </w:cols>
          <w:pgMar w:left="440" w:top="270" w:right="439" w:bottom="1440" w:gutter="0" w:footer="0" w:header="0"/>
        </w:sectPr>
      </w:pPr>
    </w:p>
    <w:p>
      <w:pPr>
        <w:spacing w:after="0" w:line="271"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Service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15240</wp:posOffset>
            </wp:positionV>
            <wp:extent cx="133794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G6.1</w:t>
      </w:r>
      <w:r>
        <w:rPr>
          <w:sz w:val="20"/>
          <w:szCs w:val="20"/>
          <w:color w:val="auto"/>
        </w:rPr>
        <w:tab/>
      </w:r>
      <w:r>
        <w:rPr>
          <w:rFonts w:ascii="Arial" w:cs="Arial" w:eastAsia="Arial" w:hAnsi="Arial"/>
          <w:sz w:val="15"/>
          <w:szCs w:val="15"/>
          <w:color w:val="auto"/>
        </w:rPr>
        <w:t>Travel and Expense Services</w:t>
      </w:r>
    </w:p>
    <w:p>
      <w:pPr>
        <w:spacing w:after="0" w:line="21" w:lineRule="exact"/>
        <w:rPr>
          <w:sz w:val="20"/>
          <w:szCs w:val="20"/>
          <w:color w:val="auto"/>
        </w:rPr>
      </w:pPr>
    </w:p>
    <w:p>
      <w:pPr>
        <w:ind w:left="1120" w:right="60"/>
        <w:spacing w:after="0" w:line="261" w:lineRule="auto"/>
        <w:rPr>
          <w:sz w:val="20"/>
          <w:szCs w:val="20"/>
          <w:color w:val="auto"/>
        </w:rPr>
      </w:pPr>
      <w:r>
        <w:rPr>
          <w:rFonts w:ascii="Arial" w:cs="Arial" w:eastAsia="Arial" w:hAnsi="Arial"/>
          <w:sz w:val="18"/>
          <w:szCs w:val="18"/>
          <w:color w:val="auto"/>
        </w:rPr>
        <w:t>– Concur &amp; Travel Booking Assistance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Description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00164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Provision of:</w:t>
      </w:r>
    </w:p>
    <w:p>
      <w:pPr>
        <w:spacing w:after="0" w:line="128" w:lineRule="exact"/>
        <w:rPr>
          <w:sz w:val="20"/>
          <w:szCs w:val="20"/>
          <w:color w:val="auto"/>
        </w:rPr>
      </w:pPr>
    </w:p>
    <w:p>
      <w:pPr>
        <w:ind w:left="700" w:hanging="340"/>
        <w:spacing w:after="0"/>
        <w:tabs>
          <w:tab w:leader="none" w:pos="70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Access to discounted airline, hotel, and rental car rates</w:t>
      </w:r>
    </w:p>
    <w:p>
      <w:pPr>
        <w:spacing w:after="0" w:line="153" w:lineRule="exact"/>
        <w:rPr>
          <w:rFonts w:ascii="Arial" w:cs="Arial" w:eastAsia="Arial" w:hAnsi="Arial"/>
          <w:sz w:val="16"/>
          <w:szCs w:val="16"/>
          <w:color w:val="auto"/>
        </w:rPr>
      </w:pPr>
    </w:p>
    <w:p>
      <w:pPr>
        <w:ind w:left="720" w:hanging="360"/>
        <w:spacing w:after="0" w:line="277" w:lineRule="auto"/>
        <w:tabs>
          <w:tab w:leader="none" w:pos="70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Services relating to travel booking assistance and ticket issuance by World Travel</w:t>
      </w:r>
    </w:p>
    <w:p>
      <w:pPr>
        <w:spacing w:after="0" w:line="75" w:lineRule="exact"/>
        <w:rPr>
          <w:rFonts w:ascii="Arial" w:cs="Arial" w:eastAsia="Arial" w:hAnsi="Arial"/>
          <w:sz w:val="18"/>
          <w:szCs w:val="18"/>
          <w:color w:val="auto"/>
        </w:rPr>
      </w:pPr>
    </w:p>
    <w:p>
      <w:pPr>
        <w:ind w:left="720" w:right="100" w:hanging="360"/>
        <w:spacing w:after="0" w:line="312" w:lineRule="auto"/>
        <w:tabs>
          <w:tab w:leader="none" w:pos="694"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Access to the Concur system for travel booking, filing expense reports, processing and payment of expense reports, and reimbursement for cash expenses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left="-119"/>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83185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 months from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9093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Monthly Fee</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$19,000</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Plus pass-through of actual third-party costs incurred in providing the service</w:t>
      </w:r>
    </w:p>
    <w:p>
      <w:pPr>
        <w:spacing w:after="0" w:line="180" w:lineRule="exact"/>
        <w:rPr>
          <w:sz w:val="20"/>
          <w:szCs w:val="20"/>
          <w:color w:val="auto"/>
        </w:rPr>
      </w:pPr>
    </w:p>
    <w:p>
      <w:pPr>
        <w:sectPr>
          <w:pgSz w:w="11900" w:h="16838" w:orient="portrait"/>
          <w:cols w:equalWidth="0" w:num="4">
            <w:col w:w="3200" w:space="140"/>
            <w:col w:w="4700" w:space="140"/>
            <w:col w:w="1180" w:space="240"/>
            <w:col w:w="1420"/>
          </w:cols>
          <w:pgMar w:left="440" w:top="270" w:right="4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G6.2</w:t>
            </w:r>
          </w:p>
        </w:tc>
        <w:tc>
          <w:tcPr>
            <w:tcW w:w="2460" w:type="dxa"/>
            <w:vAlign w:val="bottom"/>
          </w:tcPr>
          <w:p>
            <w:pPr>
              <w:ind w:left="380"/>
              <w:spacing w:after="0"/>
              <w:rPr>
                <w:sz w:val="20"/>
                <w:szCs w:val="20"/>
                <w:color w:val="auto"/>
              </w:rPr>
            </w:pPr>
            <w:r>
              <w:rPr>
                <w:rFonts w:ascii="Arial" w:cs="Arial" w:eastAsia="Arial" w:hAnsi="Arial"/>
                <w:sz w:val="18"/>
                <w:szCs w:val="18"/>
                <w:color w:val="auto"/>
                <w:w w:val="87"/>
              </w:rPr>
              <w:t>Travel and Expense Services</w:t>
            </w:r>
          </w:p>
        </w:tc>
      </w:tr>
      <w:tr>
        <w:trPr>
          <w:trHeight w:val="230"/>
        </w:trPr>
        <w:tc>
          <w:tcPr>
            <w:tcW w:w="740" w:type="dxa"/>
            <w:vAlign w:val="bottom"/>
          </w:tcPr>
          <w:p>
            <w:pPr>
              <w:spacing w:after="0"/>
              <w:rPr>
                <w:sz w:val="20"/>
                <w:szCs w:val="20"/>
                <w:color w:val="auto"/>
              </w:rPr>
            </w:pPr>
          </w:p>
        </w:tc>
        <w:tc>
          <w:tcPr>
            <w:tcW w:w="2460" w:type="dxa"/>
            <w:vAlign w:val="bottom"/>
          </w:tcPr>
          <w:p>
            <w:pPr>
              <w:ind w:left="380"/>
              <w:spacing w:after="0"/>
              <w:rPr>
                <w:sz w:val="20"/>
                <w:szCs w:val="20"/>
                <w:color w:val="auto"/>
              </w:rPr>
            </w:pPr>
            <w:r>
              <w:rPr>
                <w:rFonts w:ascii="Arial" w:cs="Arial" w:eastAsia="Arial" w:hAnsi="Arial"/>
                <w:sz w:val="18"/>
                <w:szCs w:val="18"/>
                <w:color w:val="auto"/>
              </w:rPr>
              <w:t>– Corporate Travel Card</w:t>
            </w:r>
          </w:p>
        </w:tc>
      </w:tr>
    </w:tbl>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Administration of corporate travel credit card program and purchasing “ProCard” credit card program for cards provided by HSBC and used by RCP employees solely for business travel and business expenses. Services include:</w:t>
      </w:r>
    </w:p>
    <w:p>
      <w:pPr>
        <w:spacing w:after="0" w:line="92" w:lineRule="exact"/>
        <w:rPr>
          <w:sz w:val="20"/>
          <w:szCs w:val="20"/>
          <w:color w:val="auto"/>
        </w:rPr>
      </w:pPr>
    </w:p>
    <w:p>
      <w:pPr>
        <w:ind w:left="720" w:right="100" w:hanging="360"/>
        <w:spacing w:after="0" w:line="277" w:lineRule="auto"/>
        <w:tabs>
          <w:tab w:leader="none" w:pos="70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Procurement of new cards and cancellation of existing cards</w:t>
      </w:r>
    </w:p>
    <w:p>
      <w:pPr>
        <w:spacing w:after="0" w:line="75" w:lineRule="exact"/>
        <w:rPr>
          <w:rFonts w:ascii="Arial" w:cs="Arial" w:eastAsia="Arial" w:hAnsi="Arial"/>
          <w:sz w:val="18"/>
          <w:szCs w:val="18"/>
          <w:color w:val="auto"/>
        </w:rPr>
      </w:pPr>
    </w:p>
    <w:p>
      <w:pPr>
        <w:ind w:left="700" w:hanging="340"/>
        <w:spacing w:after="0"/>
        <w:tabs>
          <w:tab w:leader="none" w:pos="7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Facilitating changes to credit limits</w:t>
      </w:r>
    </w:p>
    <w:p>
      <w:pPr>
        <w:spacing w:after="0" w:line="130" w:lineRule="exact"/>
        <w:rPr>
          <w:rFonts w:ascii="Arial" w:cs="Arial" w:eastAsia="Arial" w:hAnsi="Arial"/>
          <w:sz w:val="18"/>
          <w:szCs w:val="18"/>
          <w:color w:val="auto"/>
        </w:rPr>
      </w:pPr>
    </w:p>
    <w:p>
      <w:pPr>
        <w:ind w:left="720" w:right="300" w:hanging="360"/>
        <w:spacing w:after="0" w:line="264" w:lineRule="auto"/>
        <w:tabs>
          <w:tab w:leader="none" w:pos="69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Audits of employee expense reports for compliance with RCP’s policies using current audit tools and practices</w:t>
      </w:r>
    </w:p>
    <w:p>
      <w:pPr>
        <w:spacing w:after="0" w:line="86" w:lineRule="exact"/>
        <w:rPr>
          <w:rFonts w:ascii="Arial" w:cs="Arial" w:eastAsia="Arial" w:hAnsi="Arial"/>
          <w:sz w:val="18"/>
          <w:szCs w:val="18"/>
          <w:color w:val="auto"/>
        </w:rPr>
      </w:pPr>
    </w:p>
    <w:p>
      <w:pPr>
        <w:ind w:left="700" w:hanging="340"/>
        <w:spacing w:after="0"/>
        <w:tabs>
          <w:tab w:leader="none" w:pos="7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Other services consistent with current practices</w:t>
      </w:r>
    </w:p>
    <w:p>
      <w:pPr>
        <w:spacing w:after="0" w:line="1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RCP employees may continue to use their current HSBC credit cards under existing rules and limits. At or before the end of the Term, all cards must either be transferred to accounts established by RCP with HSBC or cancelled.</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8"/>
          <w:szCs w:val="18"/>
          <w:color w:val="auto"/>
        </w:rPr>
        <w:t>The earlier of</w:t>
      </w:r>
    </w:p>
    <w:p>
      <w:pPr>
        <w:spacing w:after="0" w:line="23" w:lineRule="exact"/>
        <w:rPr>
          <w:sz w:val="20"/>
          <w:szCs w:val="20"/>
          <w:color w:val="auto"/>
        </w:rPr>
      </w:pPr>
    </w:p>
    <w:p>
      <w:pPr>
        <w:ind w:left="5" w:hanging="5"/>
        <w:spacing w:after="0" w:line="310" w:lineRule="auto"/>
        <w:tabs>
          <w:tab w:leader="none" w:pos="220" w:val="left"/>
        </w:tabs>
        <w:numPr>
          <w:ilvl w:val="0"/>
          <w:numId w:val="475"/>
        </w:numPr>
        <w:rPr>
          <w:rFonts w:ascii="Arial" w:cs="Arial" w:eastAsia="Arial" w:hAnsi="Arial"/>
          <w:sz w:val="15"/>
          <w:szCs w:val="15"/>
          <w:color w:val="auto"/>
        </w:rPr>
      </w:pPr>
      <w:r>
        <w:rPr>
          <w:rFonts w:ascii="Arial" w:cs="Arial" w:eastAsia="Arial" w:hAnsi="Arial"/>
          <w:sz w:val="15"/>
          <w:szCs w:val="15"/>
          <w:color w:val="auto"/>
        </w:rPr>
        <w:t>January 20, 2021 or (ii) the date on which RCP obtains credit cards under its own platform with HSBC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Monthly Fee</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$7,000</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Plus pass-through of actual third-party costs incurred in providing the service (including, for the avoidance of doubt, all charges incurred on the credit cards)</w:t>
      </w:r>
    </w:p>
    <w:p>
      <w:pPr>
        <w:sectPr>
          <w:pgSz w:w="11900" w:h="16838" w:orient="portrait"/>
          <w:cols w:equalWidth="0" w:num="4">
            <w:col w:w="3200" w:space="140"/>
            <w:col w:w="4720" w:space="115"/>
            <w:col w:w="1285" w:space="140"/>
            <w:col w:w="1420"/>
          </w:cols>
          <w:pgMar w:left="440" w:top="270" w:right="439" w:bottom="1440" w:gutter="0" w:footer="0" w:header="0"/>
          <w:type w:val="continuous"/>
        </w:sectPr>
      </w:pPr>
    </w:p>
    <w:bookmarkStart w:id="545" w:name="page546"/>
    <w:bookmarkEnd w:id="54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G7: Trade Compliance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vMerge w:val="restart"/>
          </w:tcPr>
          <w:p>
            <w:pPr>
              <w:spacing w:after="0"/>
              <w:rPr>
                <w:sz w:val="20"/>
                <w:szCs w:val="20"/>
                <w:color w:val="auto"/>
              </w:rPr>
            </w:pPr>
            <w:r>
              <w:rPr>
                <w:rFonts w:ascii="Arial" w:cs="Arial" w:eastAsia="Arial" w:hAnsi="Arial"/>
                <w:sz w:val="18"/>
                <w:szCs w:val="18"/>
                <w:color w:val="auto"/>
              </w:rPr>
              <w:t>G7.1</w:t>
            </w:r>
          </w:p>
        </w:tc>
        <w:tc>
          <w:tcPr>
            <w:tcW w:w="38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55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Trade Compliance</w:t>
            </w:r>
          </w:p>
        </w:tc>
        <w:tc>
          <w:tcPr>
            <w:tcW w:w="100" w:type="dxa"/>
            <w:vAlign w:val="bottom"/>
          </w:tcPr>
          <w:p>
            <w:pPr>
              <w:spacing w:after="0"/>
              <w:rPr>
                <w:sz w:val="16"/>
                <w:szCs w:val="16"/>
                <w:color w:val="auto"/>
              </w:rPr>
            </w:pPr>
          </w:p>
        </w:tc>
        <w:tc>
          <w:tcPr>
            <w:tcW w:w="5520" w:type="dxa"/>
            <w:vAlign w:val="bottom"/>
          </w:tcPr>
          <w:p>
            <w:pPr>
              <w:spacing w:after="0" w:line="195" w:lineRule="exact"/>
              <w:rPr>
                <w:sz w:val="20"/>
                <w:szCs w:val="20"/>
                <w:color w:val="auto"/>
              </w:rPr>
            </w:pPr>
            <w:r>
              <w:rPr>
                <w:rFonts w:ascii="Arial" w:cs="Arial" w:eastAsia="Arial" w:hAnsi="Arial"/>
                <w:sz w:val="18"/>
                <w:szCs w:val="18"/>
                <w:color w:val="auto"/>
                <w:w w:val="91"/>
              </w:rPr>
              <w:t>Provision of access to RGHI’s and its Affiliates’ trade compliance team who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Handover Services</w:t>
            </w: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will provide ongoing support, background information and handover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support services for the current trade compliance function, including:</w:t>
            </w:r>
          </w:p>
        </w:tc>
        <w:tc>
          <w:tcPr>
            <w:tcW w:w="0" w:type="dxa"/>
            <w:vAlign w:val="bottom"/>
          </w:tcPr>
          <w:p>
            <w:pPr>
              <w:spacing w:after="0"/>
              <w:rPr>
                <w:sz w:val="1"/>
                <w:szCs w:val="1"/>
                <w:color w:val="auto"/>
              </w:rPr>
            </w:pPr>
          </w:p>
        </w:tc>
      </w:tr>
    </w:tbl>
    <w:p>
      <w:pPr>
        <w:spacing w:after="0" w:line="107"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w w:val="98"/>
              </w:rPr>
              <w:t>Assistance in data handover of historical import and export</w:t>
            </w:r>
          </w:p>
        </w:tc>
      </w:tr>
      <w:tr>
        <w:trPr>
          <w:trHeight w:val="230"/>
        </w:trPr>
        <w:tc>
          <w:tcPr>
            <w:tcW w:w="200" w:type="dxa"/>
            <w:vAlign w:val="bottom"/>
          </w:tcPr>
          <w:p>
            <w:pPr>
              <w:spacing w:after="0"/>
              <w:rPr>
                <w:sz w:val="20"/>
                <w:szCs w:val="20"/>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transactions and classification databases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w w:val="92"/>
              </w:rPr>
              <w:t>Familiarization with trade compliance procedures, in particular:</w:t>
            </w:r>
          </w:p>
        </w:tc>
      </w:tr>
      <w:tr>
        <w:trPr>
          <w:trHeight w:val="338"/>
        </w:trPr>
        <w:tc>
          <w:tcPr>
            <w:tcW w:w="20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4420" w:type="dxa"/>
            <w:vAlign w:val="bottom"/>
          </w:tcPr>
          <w:p>
            <w:pPr>
              <w:ind w:left="140"/>
              <w:spacing w:after="0"/>
              <w:rPr>
                <w:sz w:val="20"/>
                <w:szCs w:val="20"/>
                <w:color w:val="auto"/>
              </w:rPr>
            </w:pPr>
            <w:r>
              <w:rPr>
                <w:rFonts w:ascii="Arial" w:cs="Arial" w:eastAsia="Arial" w:hAnsi="Arial"/>
                <w:sz w:val="18"/>
                <w:szCs w:val="18"/>
                <w:color w:val="auto"/>
              </w:rPr>
              <w:t>Export controls</w:t>
            </w:r>
          </w:p>
        </w:tc>
      </w:tr>
      <w:tr>
        <w:trPr>
          <w:trHeight w:val="323"/>
        </w:trPr>
        <w:tc>
          <w:tcPr>
            <w:tcW w:w="20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4420" w:type="dxa"/>
            <w:vAlign w:val="bottom"/>
          </w:tcPr>
          <w:p>
            <w:pPr>
              <w:ind w:left="140"/>
              <w:spacing w:after="0"/>
              <w:rPr>
                <w:sz w:val="20"/>
                <w:szCs w:val="20"/>
                <w:color w:val="auto"/>
              </w:rPr>
            </w:pPr>
            <w:r>
              <w:rPr>
                <w:rFonts w:ascii="Arial" w:cs="Arial" w:eastAsia="Arial" w:hAnsi="Arial"/>
                <w:sz w:val="18"/>
                <w:szCs w:val="18"/>
                <w:color w:val="auto"/>
                <w:w w:val="99"/>
              </w:rPr>
              <w:t>Transition supplier communication regarding Importer</w:t>
            </w: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Security Filings</w:t>
            </w:r>
          </w:p>
        </w:tc>
      </w:tr>
      <w:tr>
        <w:trPr>
          <w:trHeight w:val="323"/>
        </w:trPr>
        <w:tc>
          <w:tcPr>
            <w:tcW w:w="20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4420" w:type="dxa"/>
            <w:vAlign w:val="bottom"/>
          </w:tcPr>
          <w:p>
            <w:pPr>
              <w:ind w:left="140"/>
              <w:spacing w:after="0"/>
              <w:rPr>
                <w:sz w:val="20"/>
                <w:szCs w:val="20"/>
                <w:color w:val="auto"/>
              </w:rPr>
            </w:pPr>
            <w:r>
              <w:rPr>
                <w:rFonts w:ascii="Arial" w:cs="Arial" w:eastAsia="Arial" w:hAnsi="Arial"/>
                <w:sz w:val="18"/>
                <w:szCs w:val="18"/>
                <w:color w:val="auto"/>
                <w:w w:val="92"/>
              </w:rPr>
              <w:t>Reporting and filing services, but will not require Sellers to</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w w:val="97"/>
              </w:rPr>
              <w:t>carry out reporting or filing on behalf of the Transferred</w:t>
            </w: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Entities</w:t>
            </w:r>
          </w:p>
        </w:tc>
      </w:tr>
      <w:tr>
        <w:trPr>
          <w:trHeight w:val="323"/>
        </w:trPr>
        <w:tc>
          <w:tcPr>
            <w:tcW w:w="20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4420" w:type="dxa"/>
            <w:vAlign w:val="bottom"/>
          </w:tcPr>
          <w:p>
            <w:pPr>
              <w:ind w:left="140"/>
              <w:spacing w:after="0"/>
              <w:rPr>
                <w:sz w:val="20"/>
                <w:szCs w:val="20"/>
                <w:color w:val="auto"/>
              </w:rPr>
            </w:pPr>
            <w:r>
              <w:rPr>
                <w:rFonts w:ascii="Arial" w:cs="Arial" w:eastAsia="Arial" w:hAnsi="Arial"/>
                <w:sz w:val="18"/>
                <w:szCs w:val="18"/>
                <w:color w:val="auto"/>
                <w:w w:val="94"/>
              </w:rPr>
              <w:t>Understanding of current issues, including routine filings,</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w w:val="95"/>
              </w:rPr>
              <w:t>prior disclosures, protests, remediations and assistance</w:t>
            </w: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declarations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w w:val="98"/>
              </w:rPr>
              <w:t>Coordination of shipments with brokers (import and export)</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Classifications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Preparation of customs documentation</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Denied party screening</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Monthly import and export reports</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FTA support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12 months from</w:t>
            </w:r>
          </w:p>
        </w:tc>
        <w:tc>
          <w:tcPr>
            <w:tcW w:w="100" w:type="dxa"/>
            <w:vAlign w:val="bottom"/>
          </w:tcPr>
          <w:p>
            <w:pPr>
              <w:spacing w:after="0"/>
              <w:rPr>
                <w:sz w:val="16"/>
                <w:szCs w:val="16"/>
                <w:color w:val="auto"/>
              </w:rPr>
            </w:pPr>
          </w:p>
        </w:tc>
        <w:tc>
          <w:tcPr>
            <w:tcW w:w="780" w:type="dxa"/>
            <w:vAlign w:val="bottom"/>
          </w:tcPr>
          <w:p>
            <w:pPr>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the</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88"/>
              </w:rPr>
              <w:t>per person</w:t>
            </w:r>
          </w:p>
        </w:tc>
        <w:tc>
          <w:tcPr>
            <w:tcW w:w="0" w:type="dxa"/>
            <w:vAlign w:val="bottom"/>
          </w:tcPr>
          <w:p>
            <w:pPr>
              <w:spacing w:after="0"/>
              <w:rPr>
                <w:sz w:val="1"/>
                <w:szCs w:val="1"/>
                <w:color w:val="auto"/>
              </w:rPr>
            </w:pPr>
          </w:p>
        </w:tc>
      </w:tr>
      <w:tr>
        <w:trPr>
          <w:trHeight w:val="122"/>
        </w:trPr>
        <w:tc>
          <w:tcPr>
            <w:tcW w:w="1320" w:type="dxa"/>
            <w:vAlign w:val="bottom"/>
            <w:gridSpan w:val="2"/>
            <w:vMerge w:val="restart"/>
          </w:tcPr>
          <w:p>
            <w:pPr>
              <w:spacing w:after="0"/>
              <w:rPr>
                <w:sz w:val="20"/>
                <w:szCs w:val="20"/>
                <w:color w:val="auto"/>
              </w:rPr>
            </w:pPr>
            <w:r>
              <w:rPr>
                <w:rFonts w:ascii="Arial" w:cs="Arial" w:eastAsia="Arial" w:hAnsi="Arial"/>
                <w:sz w:val="18"/>
                <w:szCs w:val="18"/>
                <w:color w:val="auto"/>
                <w:w w:val="98"/>
              </w:rPr>
              <w:t>Commencement</w:t>
            </w: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20" w:type="dxa"/>
            <w:vAlign w:val="bottom"/>
            <w:gridSpan w:val="2"/>
            <w:vMerge w:val="continue"/>
          </w:tcPr>
          <w:p>
            <w:pPr>
              <w:spacing w:after="0"/>
              <w:rPr>
                <w:sz w:val="8"/>
                <w:szCs w:val="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8"/>
              </w:rPr>
              <w:t>/ per hour</w:t>
            </w:r>
          </w:p>
        </w:tc>
        <w:tc>
          <w:tcPr>
            <w:tcW w:w="0" w:type="dxa"/>
            <w:vAlign w:val="bottom"/>
          </w:tcPr>
          <w:p>
            <w:pPr>
              <w:spacing w:after="0"/>
              <w:rPr>
                <w:sz w:val="1"/>
                <w:szCs w:val="1"/>
                <w:color w:val="auto"/>
              </w:rPr>
            </w:pPr>
          </w:p>
        </w:tc>
      </w:tr>
      <w:tr>
        <w:trPr>
          <w:trHeight w:val="136"/>
        </w:trPr>
        <w:tc>
          <w:tcPr>
            <w:tcW w:w="13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w w:val="90"/>
              </w:rPr>
              <w:t>Plus pass-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w w:val="93"/>
              </w:rPr>
              <w:t>through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w w:val="93"/>
              </w:rPr>
              <w:t>third-party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incurred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providing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service</w:t>
            </w:r>
          </w:p>
        </w:tc>
        <w:tc>
          <w:tcPr>
            <w:tcW w:w="0" w:type="dxa"/>
            <w:vAlign w:val="bottom"/>
          </w:tcPr>
          <w:p>
            <w:pPr>
              <w:spacing w:after="0"/>
              <w:rPr>
                <w:sz w:val="1"/>
                <w:szCs w:val="1"/>
                <w:color w:val="auto"/>
              </w:rPr>
            </w:pPr>
          </w:p>
        </w:tc>
      </w:tr>
    </w:tbl>
    <w:p>
      <w:pPr>
        <w:sectPr>
          <w:pgSz w:w="11900" w:h="16838" w:orient="portrait"/>
          <w:cols w:equalWidth="0" w:num="2">
            <w:col w:w="8480" w:space="360"/>
            <w:col w:w="2200"/>
          </w:cols>
          <w:pgMar w:left="440" w:top="269" w:right="419" w:bottom="1440" w:gutter="0" w:footer="0" w:header="0"/>
        </w:sectPr>
      </w:pPr>
    </w:p>
    <w:bookmarkStart w:id="546" w:name="page547"/>
    <w:bookmarkEnd w:id="54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G8: Legal and Other Regulatory Support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vMerge w:val="restart"/>
          </w:tcPr>
          <w:p>
            <w:pPr>
              <w:spacing w:after="0"/>
              <w:rPr>
                <w:sz w:val="20"/>
                <w:szCs w:val="20"/>
                <w:color w:val="auto"/>
              </w:rPr>
            </w:pPr>
            <w:r>
              <w:rPr>
                <w:rFonts w:ascii="Arial" w:cs="Arial" w:eastAsia="Arial" w:hAnsi="Arial"/>
                <w:sz w:val="18"/>
                <w:szCs w:val="18"/>
                <w:color w:val="auto"/>
              </w:rPr>
              <w:t>G8.1</w:t>
            </w:r>
          </w:p>
        </w:tc>
        <w:tc>
          <w:tcPr>
            <w:tcW w:w="38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3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General Services –</w:t>
            </w:r>
          </w:p>
        </w:tc>
        <w:tc>
          <w:tcPr>
            <w:tcW w:w="10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w w:val="91"/>
              </w:rPr>
              <w:t>Provision of support and handover services with respect to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Legal Support</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all legal services provided by RGHI and its Affiliates’,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323"/>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ind w:left="460"/>
              <w:spacing w:after="0"/>
              <w:rPr>
                <w:sz w:val="20"/>
                <w:szCs w:val="20"/>
                <w:color w:val="auto"/>
              </w:rPr>
            </w:pPr>
            <w:r>
              <w:rPr>
                <w:rFonts w:ascii="Arial" w:cs="Arial" w:eastAsia="Arial" w:hAnsi="Arial"/>
                <w:sz w:val="18"/>
                <w:szCs w:val="18"/>
                <w:color w:val="auto"/>
                <w:w w:val="95"/>
              </w:rPr>
              <w:t>•  Information, relevant documents and knowledge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w w:val="99"/>
              </w:rPr>
              <w:t>transfer related to the legal matters and legal</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functions, including:</w:t>
            </w:r>
          </w:p>
        </w:tc>
        <w:tc>
          <w:tcPr>
            <w:tcW w:w="0" w:type="dxa"/>
            <w:vAlign w:val="bottom"/>
          </w:tcPr>
          <w:p>
            <w:pPr>
              <w:spacing w:after="0"/>
              <w:rPr>
                <w:sz w:val="1"/>
                <w:szCs w:val="1"/>
                <w:color w:val="auto"/>
              </w:rPr>
            </w:pPr>
          </w:p>
        </w:tc>
      </w:tr>
      <w:tr>
        <w:trPr>
          <w:trHeight w:val="323"/>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ind w:left="820"/>
              <w:spacing w:after="0"/>
              <w:rPr>
                <w:sz w:val="20"/>
                <w:szCs w:val="20"/>
                <w:color w:val="auto"/>
              </w:rPr>
            </w:pPr>
            <w:r>
              <w:rPr>
                <w:rFonts w:ascii="Arial" w:cs="Arial" w:eastAsia="Arial" w:hAnsi="Arial"/>
                <w:sz w:val="18"/>
                <w:szCs w:val="18"/>
                <w:color w:val="auto"/>
                <w:w w:val="96"/>
              </w:rPr>
              <w:t>•  in-house legal services, including advisory,</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ind w:left="1080"/>
              <w:spacing w:after="0"/>
              <w:rPr>
                <w:sz w:val="20"/>
                <w:szCs w:val="20"/>
                <w:color w:val="auto"/>
              </w:rPr>
            </w:pPr>
            <w:r>
              <w:rPr>
                <w:rFonts w:ascii="Arial" w:cs="Arial" w:eastAsia="Arial" w:hAnsi="Arial"/>
                <w:sz w:val="18"/>
                <w:szCs w:val="18"/>
                <w:color w:val="auto"/>
              </w:rPr>
              <w:t>regulatory, reporting and filing services</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ind w:left="820"/>
              <w:spacing w:after="0"/>
              <w:rPr>
                <w:sz w:val="20"/>
                <w:szCs w:val="20"/>
                <w:color w:val="auto"/>
              </w:rPr>
            </w:pPr>
            <w:r>
              <w:rPr>
                <w:rFonts w:ascii="Arial" w:cs="Arial" w:eastAsia="Arial" w:hAnsi="Arial"/>
                <w:sz w:val="18"/>
                <w:szCs w:val="18"/>
                <w:color w:val="auto"/>
              </w:rPr>
              <w:t>•  employment and labor relations</w:t>
            </w:r>
          </w:p>
        </w:tc>
        <w:tc>
          <w:tcPr>
            <w:tcW w:w="0" w:type="dxa"/>
            <w:vAlign w:val="bottom"/>
          </w:tcPr>
          <w:p>
            <w:pPr>
              <w:spacing w:after="0"/>
              <w:rPr>
                <w:sz w:val="1"/>
                <w:szCs w:val="1"/>
                <w:color w:val="auto"/>
              </w:rPr>
            </w:pPr>
          </w:p>
        </w:tc>
      </w:tr>
      <w:tr>
        <w:trPr>
          <w:trHeight w:val="323"/>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ind w:left="460"/>
              <w:spacing w:after="0"/>
              <w:rPr>
                <w:sz w:val="20"/>
                <w:szCs w:val="20"/>
                <w:color w:val="auto"/>
              </w:rPr>
            </w:pPr>
            <w:r>
              <w:rPr>
                <w:rFonts w:ascii="Arial" w:cs="Arial" w:eastAsia="Arial" w:hAnsi="Arial"/>
                <w:sz w:val="18"/>
                <w:szCs w:val="18"/>
                <w:color w:val="auto"/>
              </w:rPr>
              <w:t>•  Review of contracts relating to Information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w w:val="88"/>
              </w:rPr>
              <w:t>Technology, real estate, general procurement, and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advertising and intellectual property matters</w:t>
            </w:r>
          </w:p>
        </w:tc>
        <w:tc>
          <w:tcPr>
            <w:tcW w:w="0" w:type="dxa"/>
            <w:vAlign w:val="bottom"/>
          </w:tcPr>
          <w:p>
            <w:pPr>
              <w:spacing w:after="0"/>
              <w:rPr>
                <w:sz w:val="1"/>
                <w:szCs w:val="1"/>
                <w:color w:val="auto"/>
              </w:rPr>
            </w:pPr>
          </w:p>
        </w:tc>
      </w:tr>
      <w:tr>
        <w:trPr>
          <w:trHeight w:val="323"/>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ind w:left="460"/>
              <w:spacing w:after="0"/>
              <w:rPr>
                <w:sz w:val="20"/>
                <w:szCs w:val="20"/>
                <w:color w:val="auto"/>
              </w:rPr>
            </w:pPr>
            <w:r>
              <w:rPr>
                <w:rFonts w:ascii="Arial" w:cs="Arial" w:eastAsia="Arial" w:hAnsi="Arial"/>
                <w:sz w:val="18"/>
                <w:szCs w:val="18"/>
                <w:color w:val="auto"/>
              </w:rPr>
              <w:t>•  Ongoing information and assistance in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connection with all other matters for which</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employees of RGHI or its Affiliates were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providing legal services prior to the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Commencement Date</w:t>
            </w:r>
          </w:p>
        </w:tc>
        <w:tc>
          <w:tcPr>
            <w:tcW w:w="0" w:type="dxa"/>
            <w:vAlign w:val="bottom"/>
          </w:tcPr>
          <w:p>
            <w:pPr>
              <w:spacing w:after="0"/>
              <w:rPr>
                <w:sz w:val="1"/>
                <w:szCs w:val="1"/>
                <w:color w:val="auto"/>
              </w:rPr>
            </w:pPr>
          </w:p>
        </w:tc>
      </w:tr>
      <w:tr>
        <w:trPr>
          <w:trHeight w:val="323"/>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ind w:left="460"/>
              <w:spacing w:after="0"/>
              <w:rPr>
                <w:sz w:val="20"/>
                <w:szCs w:val="20"/>
                <w:color w:val="auto"/>
              </w:rPr>
            </w:pPr>
            <w:r>
              <w:rPr>
                <w:rFonts w:ascii="Arial" w:cs="Arial" w:eastAsia="Arial" w:hAnsi="Arial"/>
                <w:sz w:val="18"/>
                <w:szCs w:val="18"/>
                <w:color w:val="auto"/>
                <w:w w:val="91"/>
              </w:rPr>
              <w:t>•  Access to contract management database (Conga</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Novatus)</w:t>
            </w:r>
          </w:p>
        </w:tc>
        <w:tc>
          <w:tcPr>
            <w:tcW w:w="0" w:type="dxa"/>
            <w:vAlign w:val="bottom"/>
          </w:tcPr>
          <w:p>
            <w:pPr>
              <w:spacing w:after="0"/>
              <w:rPr>
                <w:sz w:val="1"/>
                <w:szCs w:val="1"/>
                <w:color w:val="auto"/>
              </w:rPr>
            </w:pP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G8.2</w:t>
            </w: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General Services –</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Provision of handover and support services related to</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Intellectual Property</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RCP’s intellectual property portfolio, including:</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20"/>
        <w:spacing w:after="0"/>
        <w:tabs>
          <w:tab w:leader="none" w:pos="3640" w:val="left"/>
        </w:tabs>
        <w:rPr>
          <w:sz w:val="20"/>
          <w:szCs w:val="20"/>
          <w:color w:val="auto"/>
        </w:rPr>
      </w:pPr>
      <w:r>
        <w:rPr>
          <w:rFonts w:ascii="Arial" w:cs="Arial" w:eastAsia="Arial" w:hAnsi="Arial"/>
          <w:sz w:val="18"/>
          <w:szCs w:val="18"/>
          <w:color w:val="auto"/>
        </w:rPr>
        <w:t>•</w:t>
        <w:tab/>
        <w:t>Facilitation of ongoing portfolio maintenance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(i.e. renewal decisions and required filings)</w:t>
      </w:r>
    </w:p>
    <w:p>
      <w:pPr>
        <w:spacing w:after="0" w:line="116" w:lineRule="exact"/>
        <w:rPr>
          <w:sz w:val="20"/>
          <w:szCs w:val="20"/>
          <w:color w:val="auto"/>
        </w:rPr>
      </w:pPr>
    </w:p>
    <w:p>
      <w:pPr>
        <w:ind w:left="3420"/>
        <w:spacing w:after="0"/>
        <w:tabs>
          <w:tab w:leader="none" w:pos="3640" w:val="left"/>
        </w:tabs>
        <w:rPr>
          <w:sz w:val="20"/>
          <w:szCs w:val="20"/>
          <w:color w:val="auto"/>
        </w:rPr>
      </w:pPr>
      <w:r>
        <w:rPr>
          <w:rFonts w:ascii="Arial" w:cs="Arial" w:eastAsia="Arial" w:hAnsi="Arial"/>
          <w:sz w:val="18"/>
          <w:szCs w:val="18"/>
          <w:color w:val="auto"/>
        </w:rPr>
        <w:t>•</w:t>
        <w:tab/>
        <w:t>Management and oversight of patent and</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trademark prosecution activities (i.e. office</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action responses)</w:t>
      </w:r>
    </w:p>
    <w:p>
      <w:pPr>
        <w:spacing w:after="0" w:line="116" w:lineRule="exact"/>
        <w:rPr>
          <w:sz w:val="20"/>
          <w:szCs w:val="20"/>
          <w:color w:val="auto"/>
        </w:rPr>
      </w:pPr>
    </w:p>
    <w:p>
      <w:pPr>
        <w:ind w:left="3420"/>
        <w:spacing w:after="0"/>
        <w:tabs>
          <w:tab w:leader="none" w:pos="3640" w:val="left"/>
        </w:tabs>
        <w:rPr>
          <w:sz w:val="20"/>
          <w:szCs w:val="20"/>
          <w:color w:val="auto"/>
        </w:rPr>
      </w:pPr>
      <w:r>
        <w:rPr>
          <w:rFonts w:ascii="Arial" w:cs="Arial" w:eastAsia="Arial" w:hAnsi="Arial"/>
          <w:sz w:val="18"/>
          <w:szCs w:val="18"/>
          <w:color w:val="auto"/>
        </w:rPr>
        <w:t>•</w:t>
        <w:tab/>
        <w:t>Filing new registrations and applications</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consistent with past practices</w:t>
      </w:r>
    </w:p>
    <w:p>
      <w:pPr>
        <w:spacing w:after="0" w:line="116" w:lineRule="exact"/>
        <w:rPr>
          <w:sz w:val="20"/>
          <w:szCs w:val="20"/>
          <w:color w:val="auto"/>
        </w:rPr>
      </w:pPr>
    </w:p>
    <w:p>
      <w:pPr>
        <w:ind w:left="3420"/>
        <w:spacing w:after="0"/>
        <w:tabs>
          <w:tab w:leader="none" w:pos="3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Assistance, information and knowledge transfer</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related to the legal matters and legal functions of</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RCP, including transferring to RCP, in such</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electronic or hard copy format as reasonably</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requested by RCP, any and all documentation in</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the possession of RGHI, its Affiliates or their</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outside legal counsel, relating to the prosecution,</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enforcement, registration and application of any</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owned intellectual property, including all</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information in any intellectual property docket</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maintained by RGHI, its Affiliates or their</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outside legal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0464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24 months from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earlier of (i) 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months from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(ii) the cessation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current Administrator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IP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Operations/Paralegal’s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0464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$190</w:t>
      </w:r>
    </w:p>
    <w:p>
      <w:pPr>
        <w:spacing w:after="0" w:line="2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per person / per hour for lawyers and $70 per person / per hour for paralegals</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Plus pass-through of actual third-party costs incurred in providing the service (i.e. external legal firm fees to compile data for RCP)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$190</w:t>
      </w:r>
    </w:p>
    <w:p>
      <w:pPr>
        <w:spacing w:after="0" w:line="23"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per person / per hour for lawyers and $70 per person / per hour for paralegals</w:t>
      </w:r>
    </w:p>
    <w:p>
      <w:pPr>
        <w:spacing w:after="0" w:line="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Plus pass-through of actual third-party costs incurred in providing the service (i.e. external legal firm fees to compile data for RCP)</w:t>
      </w:r>
    </w:p>
    <w:p>
      <w:pPr>
        <w:sectPr>
          <w:pgSz w:w="11900" w:h="16838" w:orient="portrait"/>
          <w:cols w:equalWidth="0" w:num="3">
            <w:col w:w="7260" w:space="360"/>
            <w:col w:w="1640" w:space="120"/>
            <w:col w:w="1520"/>
          </w:cols>
          <w:pgMar w:left="440" w:top="270" w:right="55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185"/>
        </w:trPr>
        <w:tc>
          <w:tcPr>
            <w:tcW w:w="720" w:type="dxa"/>
            <w:vAlign w:val="bottom"/>
            <w:vMerge w:val="restart"/>
          </w:tcPr>
          <w:p>
            <w:pPr>
              <w:spacing w:after="0"/>
              <w:rPr>
                <w:sz w:val="20"/>
                <w:szCs w:val="20"/>
                <w:color w:val="auto"/>
              </w:rPr>
            </w:pPr>
            <w:r>
              <w:rPr>
                <w:rFonts w:ascii="Arial" w:cs="Arial" w:eastAsia="Arial" w:hAnsi="Arial"/>
                <w:sz w:val="18"/>
                <w:szCs w:val="18"/>
                <w:color w:val="auto"/>
              </w:rPr>
              <w:t>G8.3</w:t>
            </w:r>
          </w:p>
        </w:tc>
        <w:tc>
          <w:tcPr>
            <w:tcW w:w="38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3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General Services –</w:t>
            </w:r>
          </w:p>
        </w:tc>
        <w:tc>
          <w:tcPr>
            <w:tcW w:w="10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w w:val="94"/>
              </w:rPr>
              <w:t>Provision of corporate secretarial duties and government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Corporate Secretarial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filing assistance.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br w:type="column"/>
      </w:r>
    </w:p>
    <w:p>
      <w:pPr>
        <w:jc w:val="center"/>
        <w:ind w:left="-59"/>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04648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the earlier of (i) 24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months from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(ii) the cessation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Paralegal’s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employment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04648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$190</w:t>
      </w:r>
    </w:p>
    <w:p>
      <w:pPr>
        <w:spacing w:after="0" w:line="2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per person / per hour for lawyers, $45 per hour for Corporate Governance Paralegal</w:t>
      </w:r>
    </w:p>
    <w:p>
      <w:pPr>
        <w:spacing w:after="0" w:line="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Plus pass-through of actual third-party costs incurred in providing the service (i.e. external Co-Sec/legal firm fees)</w:t>
      </w:r>
    </w:p>
    <w:p>
      <w:pPr>
        <w:spacing w:after="0" w:line="83" w:lineRule="exact"/>
        <w:rPr>
          <w:sz w:val="20"/>
          <w:szCs w:val="20"/>
          <w:color w:val="auto"/>
        </w:rPr>
      </w:pPr>
    </w:p>
    <w:p>
      <w:pPr>
        <w:sectPr>
          <w:pgSz w:w="11900" w:h="16838" w:orient="portrait"/>
          <w:cols w:equalWidth="0" w:num="3">
            <w:col w:w="7260" w:space="360"/>
            <w:col w:w="1600" w:space="160"/>
            <w:col w:w="1580"/>
          </w:cols>
          <w:pgMar w:left="440" w:top="265" w:right="499" w:bottom="1440" w:gutter="0" w:footer="0" w:header="0"/>
        </w:sect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G8.4</w:t>
            </w:r>
          </w:p>
        </w:tc>
        <w:tc>
          <w:tcPr>
            <w:tcW w:w="2180" w:type="dxa"/>
            <w:vAlign w:val="bottom"/>
          </w:tcPr>
          <w:p>
            <w:pPr>
              <w:ind w:left="380"/>
              <w:spacing w:after="0"/>
              <w:rPr>
                <w:sz w:val="20"/>
                <w:szCs w:val="20"/>
                <w:color w:val="auto"/>
              </w:rPr>
            </w:pPr>
            <w:r>
              <w:rPr>
                <w:rFonts w:ascii="Arial" w:cs="Arial" w:eastAsia="Arial" w:hAnsi="Arial"/>
                <w:sz w:val="18"/>
                <w:szCs w:val="18"/>
                <w:color w:val="auto"/>
                <w:w w:val="91"/>
              </w:rPr>
              <w:t>General Services – SEC</w:t>
            </w:r>
          </w:p>
        </w:tc>
        <w:tc>
          <w:tcPr>
            <w:tcW w:w="4100" w:type="dxa"/>
            <w:vAlign w:val="bottom"/>
          </w:tcPr>
          <w:p>
            <w:pPr>
              <w:ind w:left="60"/>
              <w:spacing w:after="0"/>
              <w:rPr>
                <w:sz w:val="20"/>
                <w:szCs w:val="20"/>
                <w:color w:val="auto"/>
              </w:rPr>
            </w:pPr>
            <w:r>
              <w:rPr>
                <w:rFonts w:ascii="Arial" w:cs="Arial" w:eastAsia="Arial" w:hAnsi="Arial"/>
                <w:sz w:val="18"/>
                <w:szCs w:val="18"/>
                <w:color w:val="auto"/>
              </w:rPr>
              <w:t>RGHI Legal Counsel will be available to provide</w:t>
            </w:r>
          </w:p>
        </w:tc>
      </w:tr>
      <w:tr>
        <w:trPr>
          <w:trHeight w:val="216"/>
        </w:trPr>
        <w:tc>
          <w:tcPr>
            <w:tcW w:w="720" w:type="dxa"/>
            <w:vAlign w:val="bottom"/>
          </w:tcPr>
          <w:p>
            <w:pPr>
              <w:spacing w:after="0"/>
              <w:rPr>
                <w:sz w:val="18"/>
                <w:szCs w:val="18"/>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auto"/>
              </w:rPr>
              <w:t>Reporting and</w:t>
            </w:r>
          </w:p>
        </w:tc>
        <w:tc>
          <w:tcPr>
            <w:tcW w:w="4100" w:type="dxa"/>
            <w:vAlign w:val="bottom"/>
          </w:tcPr>
          <w:p>
            <w:pPr>
              <w:ind w:left="60"/>
              <w:spacing w:after="0"/>
              <w:rPr>
                <w:sz w:val="20"/>
                <w:szCs w:val="20"/>
                <w:color w:val="auto"/>
              </w:rPr>
            </w:pPr>
            <w:r>
              <w:rPr>
                <w:rFonts w:ascii="Arial" w:cs="Arial" w:eastAsia="Arial" w:hAnsi="Arial"/>
                <w:sz w:val="18"/>
                <w:szCs w:val="18"/>
                <w:color w:val="auto"/>
                <w:w w:val="96"/>
              </w:rPr>
              <w:t>assistance and support related to reporting and filing</w:t>
            </w:r>
          </w:p>
        </w:tc>
      </w:tr>
      <w:tr>
        <w:trPr>
          <w:trHeight w:val="216"/>
        </w:trPr>
        <w:tc>
          <w:tcPr>
            <w:tcW w:w="720" w:type="dxa"/>
            <w:vAlign w:val="bottom"/>
          </w:tcPr>
          <w:p>
            <w:pPr>
              <w:spacing w:after="0"/>
              <w:rPr>
                <w:sz w:val="18"/>
                <w:szCs w:val="18"/>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auto"/>
              </w:rPr>
              <w:t>Compliance</w:t>
            </w:r>
          </w:p>
        </w:tc>
        <w:tc>
          <w:tcPr>
            <w:tcW w:w="4100" w:type="dxa"/>
            <w:vAlign w:val="bottom"/>
          </w:tcPr>
          <w:p>
            <w:pPr>
              <w:ind w:left="60"/>
              <w:spacing w:after="0"/>
              <w:rPr>
                <w:sz w:val="20"/>
                <w:szCs w:val="20"/>
                <w:color w:val="auto"/>
              </w:rPr>
            </w:pPr>
            <w:r>
              <w:rPr>
                <w:rFonts w:ascii="Arial" w:cs="Arial" w:eastAsia="Arial" w:hAnsi="Arial"/>
                <w:sz w:val="18"/>
                <w:szCs w:val="18"/>
                <w:color w:val="auto"/>
                <w:w w:val="96"/>
              </w:rPr>
              <w:t>requirements with the U.S. Securities and Exchange</w:t>
            </w:r>
          </w:p>
        </w:tc>
      </w:tr>
      <w:tr>
        <w:trPr>
          <w:trHeight w:val="230"/>
        </w:trPr>
        <w:tc>
          <w:tcPr>
            <w:tcW w:w="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Commission and corporate governance matters.</w:t>
            </w:r>
          </w:p>
        </w:tc>
      </w:tr>
      <w:tr>
        <w:trPr>
          <w:trHeight w:val="539"/>
        </w:trPr>
        <w:tc>
          <w:tcPr>
            <w:tcW w:w="720" w:type="dxa"/>
            <w:vAlign w:val="bottom"/>
          </w:tcPr>
          <w:p>
            <w:pPr>
              <w:spacing w:after="0"/>
              <w:rPr>
                <w:sz w:val="20"/>
                <w:szCs w:val="20"/>
                <w:color w:val="auto"/>
              </w:rPr>
            </w:pPr>
            <w:r>
              <w:rPr>
                <w:rFonts w:ascii="Arial" w:cs="Arial" w:eastAsia="Arial" w:hAnsi="Arial"/>
                <w:sz w:val="18"/>
                <w:szCs w:val="18"/>
                <w:color w:val="auto"/>
              </w:rPr>
              <w:t>G8.5</w:t>
            </w:r>
          </w:p>
        </w:tc>
        <w:tc>
          <w:tcPr>
            <w:tcW w:w="2180" w:type="dxa"/>
            <w:vAlign w:val="bottom"/>
          </w:tcPr>
          <w:p>
            <w:pPr>
              <w:ind w:left="380"/>
              <w:spacing w:after="0"/>
              <w:rPr>
                <w:sz w:val="20"/>
                <w:szCs w:val="20"/>
                <w:color w:val="auto"/>
              </w:rPr>
            </w:pPr>
            <w:r>
              <w:rPr>
                <w:rFonts w:ascii="Arial" w:cs="Arial" w:eastAsia="Arial" w:hAnsi="Arial"/>
                <w:sz w:val="18"/>
                <w:szCs w:val="18"/>
                <w:color w:val="auto"/>
              </w:rPr>
              <w:t>General Services –</w:t>
            </w:r>
          </w:p>
        </w:tc>
        <w:tc>
          <w:tcPr>
            <w:tcW w:w="4100" w:type="dxa"/>
            <w:vAlign w:val="bottom"/>
          </w:tcPr>
          <w:p>
            <w:pPr>
              <w:ind w:left="60"/>
              <w:spacing w:after="0"/>
              <w:rPr>
                <w:sz w:val="20"/>
                <w:szCs w:val="20"/>
                <w:color w:val="auto"/>
              </w:rPr>
            </w:pPr>
            <w:r>
              <w:rPr>
                <w:rFonts w:ascii="Arial" w:cs="Arial" w:eastAsia="Arial" w:hAnsi="Arial"/>
                <w:sz w:val="18"/>
                <w:szCs w:val="18"/>
                <w:color w:val="auto"/>
                <w:w w:val="94"/>
              </w:rPr>
              <w:t>Provision of handover services and support related to</w:t>
            </w:r>
          </w:p>
        </w:tc>
      </w:tr>
      <w:tr>
        <w:trPr>
          <w:trHeight w:val="216"/>
        </w:trPr>
        <w:tc>
          <w:tcPr>
            <w:tcW w:w="720" w:type="dxa"/>
            <w:vAlign w:val="bottom"/>
          </w:tcPr>
          <w:p>
            <w:pPr>
              <w:spacing w:after="0"/>
              <w:rPr>
                <w:sz w:val="18"/>
                <w:szCs w:val="18"/>
                <w:color w:val="auto"/>
              </w:rPr>
            </w:pPr>
          </w:p>
        </w:tc>
        <w:tc>
          <w:tcPr>
            <w:tcW w:w="2180" w:type="dxa"/>
            <w:vAlign w:val="bottom"/>
          </w:tcPr>
          <w:p>
            <w:pPr>
              <w:ind w:left="380"/>
              <w:spacing w:after="0"/>
              <w:rPr>
                <w:sz w:val="20"/>
                <w:szCs w:val="20"/>
                <w:color w:val="auto"/>
              </w:rPr>
            </w:pPr>
            <w:r>
              <w:rPr>
                <w:rFonts w:ascii="Arial" w:cs="Arial" w:eastAsia="Arial" w:hAnsi="Arial"/>
                <w:sz w:val="18"/>
                <w:szCs w:val="18"/>
                <w:color w:val="auto"/>
              </w:rPr>
              <w:t>Regulatory</w:t>
            </w:r>
          </w:p>
        </w:tc>
        <w:tc>
          <w:tcPr>
            <w:tcW w:w="4100" w:type="dxa"/>
            <w:vAlign w:val="bottom"/>
          </w:tcPr>
          <w:p>
            <w:pPr>
              <w:ind w:left="60"/>
              <w:spacing w:after="0"/>
              <w:rPr>
                <w:sz w:val="20"/>
                <w:szCs w:val="20"/>
                <w:color w:val="auto"/>
              </w:rPr>
            </w:pPr>
            <w:r>
              <w:rPr>
                <w:rFonts w:ascii="Arial" w:cs="Arial" w:eastAsia="Arial" w:hAnsi="Arial"/>
                <w:sz w:val="18"/>
                <w:szCs w:val="18"/>
                <w:color w:val="auto"/>
                <w:w w:val="92"/>
              </w:rPr>
              <w:t>compliance with FDA regulations, food-contact product</w:t>
            </w:r>
          </w:p>
        </w:tc>
      </w:tr>
      <w:tr>
        <w:trPr>
          <w:trHeight w:val="216"/>
        </w:trPr>
        <w:tc>
          <w:tcPr>
            <w:tcW w:w="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w w:val="97"/>
              </w:rPr>
              <w:t>rules, product compliance, and other regulatory and</w:t>
            </w:r>
          </w:p>
        </w:tc>
      </w:tr>
      <w:tr>
        <w:trPr>
          <w:trHeight w:val="230"/>
        </w:trPr>
        <w:tc>
          <w:tcPr>
            <w:tcW w:w="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compliance schemes.</w:t>
            </w:r>
          </w:p>
        </w:tc>
      </w:tr>
    </w:tbl>
    <w:p>
      <w:pPr>
        <w:spacing w:after="0" w:line="20" w:lineRule="exact"/>
        <w:rPr>
          <w:sz w:val="20"/>
          <w:szCs w:val="20"/>
          <w:color w:val="auto"/>
        </w:rPr>
      </w:pPr>
      <w:r>
        <w:rPr>
          <w:sz w:val="20"/>
          <w:szCs w:val="20"/>
          <w:color w:val="auto"/>
        </w:rPr>
        <w:br w:type="column"/>
      </w:r>
    </w:p>
    <w:p>
      <w:pPr>
        <w:spacing w:after="0"/>
        <w:tabs>
          <w:tab w:leader="none" w:pos="1740" w:val="left"/>
        </w:tabs>
        <w:rPr>
          <w:sz w:val="20"/>
          <w:szCs w:val="20"/>
          <w:color w:val="auto"/>
        </w:rPr>
      </w:pPr>
      <w:r>
        <w:rPr>
          <w:rFonts w:ascii="Arial" w:cs="Arial" w:eastAsia="Arial" w:hAnsi="Arial"/>
          <w:sz w:val="18"/>
          <w:szCs w:val="18"/>
          <w:color w:val="auto"/>
        </w:rPr>
        <w:t>24 months from the</w:t>
      </w:r>
      <w:r>
        <w:rPr>
          <w:sz w:val="20"/>
          <w:szCs w:val="20"/>
          <w:color w:val="auto"/>
        </w:rPr>
        <w:tab/>
      </w:r>
      <w:r>
        <w:rPr>
          <w:rFonts w:ascii="Arial" w:cs="Arial" w:eastAsia="Arial" w:hAnsi="Arial"/>
          <w:sz w:val="16"/>
          <w:szCs w:val="16"/>
          <w:color w:val="auto"/>
        </w:rPr>
        <w:t>$10,000 per month</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Commencement Date</w:t>
      </w:r>
      <w:r>
        <w:rPr>
          <w:sz w:val="20"/>
          <w:szCs w:val="20"/>
          <w:color w:val="auto"/>
        </w:rPr>
        <w:tab/>
      </w:r>
      <w:r>
        <w:rPr>
          <w:rFonts w:ascii="Arial" w:cs="Arial" w:eastAsia="Arial" w:hAnsi="Arial"/>
          <w:sz w:val="16"/>
          <w:szCs w:val="16"/>
          <w:color w:val="auto"/>
        </w:rPr>
        <w:t>Plus pass-through of</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actual third-party</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costs incurred in</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providing the service</w:t>
      </w:r>
    </w:p>
    <w:p>
      <w:pPr>
        <w:spacing w:after="0" w:line="116"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12 months from the No fee Commencement Date</w:t>
      </w:r>
    </w:p>
    <w:p>
      <w:pPr>
        <w:sectPr>
          <w:pgSz w:w="11900" w:h="16838" w:orient="portrait"/>
          <w:cols w:equalWidth="0" w:num="2">
            <w:col w:w="7000" w:space="620"/>
            <w:col w:w="3340"/>
          </w:cols>
          <w:pgMar w:left="440" w:top="265" w:right="499" w:bottom="1440" w:gutter="0" w:footer="0" w:header="0"/>
          <w:type w:val="continuous"/>
        </w:sectPr>
      </w:pPr>
    </w:p>
    <w:bookmarkStart w:id="548" w:name="page549"/>
    <w:bookmarkEnd w:id="548"/>
    <w:tbl>
      <w:tblPr>
        <w:tblLayout w:type="fixed"/>
        <w:tblInd w:w="0" w:type="dxa"/>
        <w:tblCellMar>
          <w:top w:w="0" w:type="dxa"/>
          <w:left w:w="0" w:type="dxa"/>
          <w:bottom w:w="0" w:type="dxa"/>
          <w:right w:w="0" w:type="dxa"/>
        </w:tblCellMar>
      </w:tblPr>
      <w:tr>
        <w:trPr>
          <w:trHeight w:val="185"/>
        </w:trPr>
        <w:tc>
          <w:tcPr>
            <w:tcW w:w="720" w:type="dxa"/>
            <w:vAlign w:val="bottom"/>
            <w:vMerge w:val="restart"/>
          </w:tcPr>
          <w:p>
            <w:pPr>
              <w:spacing w:after="0"/>
              <w:rPr>
                <w:sz w:val="20"/>
                <w:szCs w:val="20"/>
                <w:color w:val="auto"/>
              </w:rPr>
            </w:pPr>
            <w:r>
              <w:rPr>
                <w:rFonts w:ascii="Arial" w:cs="Arial" w:eastAsia="Arial" w:hAnsi="Arial"/>
                <w:sz w:val="18"/>
                <w:szCs w:val="18"/>
                <w:color w:val="auto"/>
              </w:rPr>
              <w:t>G8.6</w:t>
            </w:r>
          </w:p>
        </w:tc>
        <w:tc>
          <w:tcPr>
            <w:tcW w:w="38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3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Description of Service</w:t>
            </w:r>
          </w:p>
        </w:tc>
        <w:tc>
          <w:tcPr>
            <w:tcW w:w="360" w:type="dxa"/>
            <w:vAlign w:val="bottom"/>
          </w:tcPr>
          <w:p>
            <w:pPr>
              <w:spacing w:after="0"/>
              <w:rPr>
                <w:sz w:val="16"/>
                <w:szCs w:val="16"/>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w w:val="89"/>
              </w:rPr>
              <w:t>General Services – Real</w:t>
            </w:r>
          </w:p>
        </w:tc>
        <w:tc>
          <w:tcPr>
            <w:tcW w:w="10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w w:val="92"/>
              </w:rPr>
              <w:t>Provision of support and handover services related to real</w:t>
            </w:r>
          </w:p>
        </w:tc>
        <w:tc>
          <w:tcPr>
            <w:tcW w:w="36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$1,630 per month</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Estate</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estate administration (consistent with past practices),</w:t>
            </w:r>
          </w:p>
        </w:tc>
        <w:tc>
          <w:tcPr>
            <w:tcW w:w="2020" w:type="dxa"/>
            <w:vAlign w:val="bottom"/>
            <w:gridSpan w:val="2"/>
          </w:tcPr>
          <w:p>
            <w:pPr>
              <w:ind w:left="360"/>
              <w:spacing w:after="0"/>
              <w:rPr>
                <w:sz w:val="20"/>
                <w:szCs w:val="20"/>
                <w:color w:val="auto"/>
              </w:rPr>
            </w:pPr>
            <w:r>
              <w:rPr>
                <w:rFonts w:ascii="Arial" w:cs="Arial" w:eastAsia="Arial" w:hAnsi="Arial"/>
                <w:sz w:val="18"/>
                <w:szCs w:val="18"/>
                <w:color w:val="auto"/>
              </w:rPr>
              <w:t>Commencement</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9"/>
              </w:rPr>
              <w:t>Plus pass-through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including but not limited to:</w:t>
            </w:r>
          </w:p>
        </w:tc>
        <w:tc>
          <w:tcPr>
            <w:tcW w:w="2020" w:type="dxa"/>
            <w:vAlign w:val="bottom"/>
            <w:gridSpan w:val="2"/>
          </w:tcPr>
          <w:p>
            <w:pPr>
              <w:ind w:left="360"/>
              <w:spacing w:after="0"/>
              <w:rPr>
                <w:sz w:val="20"/>
                <w:szCs w:val="20"/>
                <w:color w:val="auto"/>
              </w:rPr>
            </w:pPr>
            <w:r>
              <w:rPr>
                <w:rFonts w:ascii="Arial" w:cs="Arial" w:eastAsia="Arial" w:hAnsi="Arial"/>
                <w:sz w:val="18"/>
                <w:szCs w:val="18"/>
                <w:color w:val="auto"/>
              </w:rPr>
              <w:t>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actual third-party</w:t>
            </w:r>
          </w:p>
        </w:tc>
        <w:tc>
          <w:tcPr>
            <w:tcW w:w="0" w:type="dxa"/>
            <w:vAlign w:val="bottom"/>
          </w:tcPr>
          <w:p>
            <w:pPr>
              <w:spacing w:after="0"/>
              <w:rPr>
                <w:sz w:val="1"/>
                <w:szCs w:val="1"/>
                <w:color w:val="auto"/>
              </w:rPr>
            </w:pPr>
          </w:p>
        </w:tc>
      </w:tr>
      <w:tr>
        <w:trPr>
          <w:trHeight w:val="138"/>
        </w:trPr>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gridSpan w:val="2"/>
          </w:tcPr>
          <w:p>
            <w:pPr>
              <w:ind w:left="100"/>
              <w:spacing w:after="0" w:line="138" w:lineRule="exact"/>
              <w:rPr>
                <w:sz w:val="20"/>
                <w:szCs w:val="20"/>
                <w:color w:val="auto"/>
              </w:rPr>
            </w:pPr>
            <w:r>
              <w:rPr>
                <w:rFonts w:ascii="Arial" w:cs="Arial" w:eastAsia="Arial" w:hAnsi="Arial"/>
                <w:sz w:val="15"/>
                <w:szCs w:val="15"/>
                <w:color w:val="auto"/>
              </w:rPr>
              <w:t>costs incurred in</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3060" w:type="dxa"/>
        <w:tblCellMar>
          <w:top w:w="0" w:type="dxa"/>
          <w:left w:w="0" w:type="dxa"/>
          <w:bottom w:w="0" w:type="dxa"/>
          <w:right w:w="0" w:type="dxa"/>
        </w:tblCellMar>
      </w:tblPr>
      <w:tr>
        <w:trPr>
          <w:trHeight w:val="200"/>
        </w:trPr>
        <w:tc>
          <w:tcPr>
            <w:tcW w:w="5240" w:type="dxa"/>
            <w:vAlign w:val="bottom"/>
          </w:tcPr>
          <w:p>
            <w:pPr>
              <w:spacing w:after="0" w:line="200" w:lineRule="exact"/>
              <w:rPr>
                <w:sz w:val="20"/>
                <w:szCs w:val="20"/>
                <w:color w:val="auto"/>
              </w:rPr>
            </w:pPr>
            <w:r>
              <w:rPr>
                <w:rFonts w:ascii="Arial" w:cs="Arial" w:eastAsia="Arial" w:hAnsi="Arial"/>
                <w:sz w:val="18"/>
                <w:szCs w:val="18"/>
                <w:color w:val="auto"/>
              </w:rPr>
              <w:t>•  Coordination of insurance, environmental, and legal</w:t>
            </w:r>
          </w:p>
        </w:tc>
        <w:tc>
          <w:tcPr>
            <w:tcW w:w="2600" w:type="dxa"/>
            <w:vAlign w:val="bottom"/>
            <w:vMerge w:val="restart"/>
          </w:tcPr>
          <w:p>
            <w:pPr>
              <w:ind w:left="1080"/>
              <w:spacing w:after="0"/>
              <w:rPr>
                <w:sz w:val="20"/>
                <w:szCs w:val="20"/>
                <w:color w:val="auto"/>
              </w:rPr>
            </w:pPr>
            <w:r>
              <w:rPr>
                <w:rFonts w:ascii="Arial" w:cs="Arial" w:eastAsia="Arial" w:hAnsi="Arial"/>
                <w:sz w:val="18"/>
                <w:szCs w:val="18"/>
                <w:color w:val="auto"/>
                <w:w w:val="90"/>
              </w:rPr>
              <w:t>providing the service</w:t>
            </w:r>
          </w:p>
        </w:tc>
        <w:tc>
          <w:tcPr>
            <w:tcW w:w="0" w:type="dxa"/>
            <w:vAlign w:val="bottom"/>
          </w:tcPr>
          <w:p>
            <w:pPr>
              <w:spacing w:after="0"/>
              <w:rPr>
                <w:sz w:val="1"/>
                <w:szCs w:val="1"/>
                <w:color w:val="auto"/>
              </w:rPr>
            </w:pPr>
          </w:p>
        </w:tc>
      </w:tr>
      <w:tr>
        <w:trPr>
          <w:trHeight w:val="109"/>
        </w:trPr>
        <w:tc>
          <w:tcPr>
            <w:tcW w:w="5240" w:type="dxa"/>
            <w:vAlign w:val="bottom"/>
            <w:vMerge w:val="restart"/>
          </w:tcPr>
          <w:p>
            <w:pPr>
              <w:ind w:left="260"/>
              <w:spacing w:after="0"/>
              <w:rPr>
                <w:sz w:val="20"/>
                <w:szCs w:val="20"/>
                <w:color w:val="auto"/>
              </w:rPr>
            </w:pPr>
            <w:r>
              <w:rPr>
                <w:rFonts w:ascii="Arial" w:cs="Arial" w:eastAsia="Arial" w:hAnsi="Arial"/>
                <w:sz w:val="18"/>
                <w:szCs w:val="18"/>
                <w:color w:val="auto"/>
              </w:rPr>
              <w:t>functions to review leases, prepare annual reports, etc.</w:t>
            </w: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24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5240" w:type="dxa"/>
            <w:vAlign w:val="bottom"/>
          </w:tcPr>
          <w:p>
            <w:pPr>
              <w:spacing w:after="0"/>
              <w:rPr>
                <w:sz w:val="20"/>
                <w:szCs w:val="20"/>
                <w:color w:val="auto"/>
              </w:rPr>
            </w:pPr>
            <w:r>
              <w:rPr>
                <w:rFonts w:ascii="Arial" w:cs="Arial" w:eastAsia="Arial" w:hAnsi="Arial"/>
                <w:sz w:val="18"/>
                <w:szCs w:val="18"/>
                <w:color w:val="auto"/>
              </w:rPr>
              <w:t>•  Reconciliation of annual lease expenses</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240" w:type="dxa"/>
            <w:vAlign w:val="bottom"/>
          </w:tcPr>
          <w:p>
            <w:pPr>
              <w:spacing w:after="0"/>
              <w:rPr>
                <w:sz w:val="20"/>
                <w:szCs w:val="20"/>
                <w:color w:val="auto"/>
              </w:rPr>
            </w:pPr>
            <w:r>
              <w:rPr>
                <w:rFonts w:ascii="Arial" w:cs="Arial" w:eastAsia="Arial" w:hAnsi="Arial"/>
                <w:sz w:val="18"/>
                <w:szCs w:val="18"/>
                <w:color w:val="auto"/>
              </w:rPr>
              <w:t>•  Assistance with resolution of facility issues (i.e.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repairs, etc.)</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240" w:type="dxa"/>
            <w:vAlign w:val="bottom"/>
          </w:tcPr>
          <w:p>
            <w:pPr>
              <w:spacing w:after="0"/>
              <w:rPr>
                <w:sz w:val="20"/>
                <w:szCs w:val="20"/>
                <w:color w:val="auto"/>
              </w:rPr>
            </w:pPr>
            <w:r>
              <w:rPr>
                <w:rFonts w:ascii="Arial" w:cs="Arial" w:eastAsia="Arial" w:hAnsi="Arial"/>
                <w:sz w:val="18"/>
                <w:szCs w:val="18"/>
                <w:color w:val="auto"/>
              </w:rPr>
              <w:t>•  Review and monitoring of tenant improvement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allowances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240" w:type="dxa"/>
            <w:vAlign w:val="bottom"/>
          </w:tcPr>
          <w:p>
            <w:pPr>
              <w:spacing w:after="0"/>
              <w:rPr>
                <w:sz w:val="20"/>
                <w:szCs w:val="20"/>
                <w:color w:val="auto"/>
              </w:rPr>
            </w:pPr>
            <w:r>
              <w:rPr>
                <w:rFonts w:ascii="Arial" w:cs="Arial" w:eastAsia="Arial" w:hAnsi="Arial"/>
                <w:sz w:val="18"/>
                <w:szCs w:val="18"/>
                <w:color w:val="auto"/>
              </w:rPr>
              <w:t>•  Assistance with establishing new facilities or closing</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existing facilities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240" w:type="dxa"/>
            <w:vAlign w:val="bottom"/>
          </w:tcPr>
          <w:p>
            <w:pPr>
              <w:spacing w:after="0"/>
              <w:rPr>
                <w:sz w:val="20"/>
                <w:szCs w:val="20"/>
                <w:color w:val="auto"/>
              </w:rPr>
            </w:pPr>
            <w:r>
              <w:rPr>
                <w:rFonts w:ascii="Arial" w:cs="Arial" w:eastAsia="Arial" w:hAnsi="Arial"/>
                <w:sz w:val="18"/>
                <w:szCs w:val="18"/>
                <w:color w:val="auto"/>
              </w:rPr>
              <w:t>•  Support for year-end reporting</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5" w:right="419" w:bottom="1440" w:gutter="0" w:footer="0" w:header="0"/>
        </w:sectPr>
      </w:pPr>
    </w:p>
    <w:bookmarkStart w:id="549" w:name="page550"/>
    <w:bookmarkEnd w:id="5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3"/>
          </w:tcPr>
          <w:p>
            <w:pPr>
              <w:ind w:left="1500"/>
              <w:spacing w:after="0"/>
              <w:rPr>
                <w:sz w:val="20"/>
                <w:szCs w:val="20"/>
                <w:color w:val="auto"/>
              </w:rPr>
            </w:pPr>
            <w:r>
              <w:rPr>
                <w:rFonts w:ascii="Arial" w:cs="Arial" w:eastAsia="Arial" w:hAnsi="Arial"/>
                <w:sz w:val="18"/>
                <w:szCs w:val="18"/>
                <w:b w:val="1"/>
                <w:bCs w:val="1"/>
                <w:color w:val="auto"/>
              </w:rPr>
              <w:t>Reverse Transition Services</w:t>
            </w:r>
          </w:p>
        </w:tc>
        <w:tc>
          <w:tcPr>
            <w:tcW w:w="0" w:type="dxa"/>
            <w:vAlign w:val="bottom"/>
          </w:tcPr>
          <w:p>
            <w:pPr>
              <w:spacing w:after="0"/>
              <w:rPr>
                <w:sz w:val="1"/>
                <w:szCs w:val="1"/>
                <w:color w:val="auto"/>
              </w:rPr>
            </w:pPr>
          </w:p>
        </w:tc>
      </w:tr>
      <w:tr>
        <w:trPr>
          <w:trHeight w:val="412"/>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Section GR1: IT</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GR1.1</w:t>
            </w: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Service Name</w:t>
            </w:r>
          </w:p>
        </w:tc>
        <w:tc>
          <w:tcPr>
            <w:tcW w:w="100" w:type="dxa"/>
            <w:vAlign w:val="bottom"/>
          </w:tcPr>
          <w:p>
            <w:pPr>
              <w:spacing w:after="0"/>
              <w:rPr>
                <w:sz w:val="24"/>
                <w:szCs w:val="24"/>
                <w:color w:val="auto"/>
              </w:rPr>
            </w:pPr>
          </w:p>
        </w:tc>
        <w:tc>
          <w:tcPr>
            <w:tcW w:w="430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0"/>
              </w:rPr>
              <w:t>IT – Crossover Services</w:t>
            </w:r>
          </w:p>
        </w:tc>
        <w:tc>
          <w:tcPr>
            <w:tcW w:w="100" w:type="dxa"/>
            <w:vAlign w:val="bottom"/>
          </w:tcPr>
          <w:p>
            <w:pPr>
              <w:spacing w:after="0"/>
              <w:rPr>
                <w:sz w:val="16"/>
                <w:szCs w:val="16"/>
                <w:color w:val="auto"/>
              </w:rPr>
            </w:pPr>
          </w:p>
        </w:tc>
        <w:tc>
          <w:tcPr>
            <w:tcW w:w="4300" w:type="dxa"/>
            <w:vAlign w:val="bottom"/>
            <w:gridSpan w:val="3"/>
          </w:tcPr>
          <w:p>
            <w:pPr>
              <w:spacing w:after="0" w:line="195" w:lineRule="exact"/>
              <w:rPr>
                <w:sz w:val="20"/>
                <w:szCs w:val="20"/>
                <w:color w:val="auto"/>
              </w:rPr>
            </w:pPr>
            <w:r>
              <w:rPr>
                <w:rFonts w:ascii="Arial" w:cs="Arial" w:eastAsia="Arial" w:hAnsi="Arial"/>
                <w:sz w:val="18"/>
                <w:szCs w:val="18"/>
                <w:color w:val="auto"/>
                <w:w w:val="90"/>
              </w:rPr>
              <w:t>Provision of desktop support and core applications services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0" w:type="dxa"/>
            <w:vAlign w:val="bottom"/>
            <w:gridSpan w:val="4"/>
          </w:tcPr>
          <w:p>
            <w:pPr>
              <w:ind w:left="100"/>
              <w:spacing w:after="0"/>
              <w:rPr>
                <w:sz w:val="20"/>
                <w:szCs w:val="20"/>
                <w:color w:val="auto"/>
              </w:rPr>
            </w:pPr>
            <w:r>
              <w:rPr>
                <w:rFonts w:ascii="Arial" w:cs="Arial" w:eastAsia="Arial" w:hAnsi="Arial"/>
                <w:sz w:val="18"/>
                <w:szCs w:val="18"/>
                <w:color w:val="auto"/>
                <w:w w:val="99"/>
              </w:rPr>
              <w:t>for scenarios where people transferred are required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0" w:type="dxa"/>
            <w:vAlign w:val="bottom"/>
            <w:gridSpan w:val="4"/>
          </w:tcPr>
          <w:p>
            <w:pPr>
              <w:ind w:left="100"/>
              <w:spacing w:after="0"/>
              <w:rPr>
                <w:sz w:val="20"/>
                <w:szCs w:val="20"/>
                <w:color w:val="auto"/>
              </w:rPr>
            </w:pPr>
            <w:r>
              <w:rPr>
                <w:rFonts w:ascii="Arial" w:cs="Arial" w:eastAsia="Arial" w:hAnsi="Arial"/>
                <w:sz w:val="18"/>
                <w:szCs w:val="18"/>
                <w:color w:val="auto"/>
                <w:w w:val="99"/>
              </w:rPr>
              <w:t>temporarily assist in RGHI to augment non-transferred</w:t>
            </w:r>
          </w:p>
        </w:tc>
        <w:tc>
          <w:tcPr>
            <w:tcW w:w="0" w:type="dxa"/>
            <w:vAlign w:val="bottom"/>
          </w:tcPr>
          <w:p>
            <w:pPr>
              <w:spacing w:after="0"/>
              <w:rPr>
                <w:sz w:val="1"/>
                <w:szCs w:val="1"/>
                <w:color w:val="auto"/>
              </w:rPr>
            </w:pPr>
          </w:p>
        </w:tc>
      </w:tr>
    </w:tbl>
    <w:p>
      <w:pPr>
        <w:jc w:val="both"/>
        <w:ind w:left="2960" w:right="460"/>
        <w:spacing w:after="0" w:line="302" w:lineRule="auto"/>
        <w:rPr>
          <w:sz w:val="20"/>
          <w:szCs w:val="20"/>
          <w:color w:val="auto"/>
        </w:rPr>
      </w:pPr>
      <w:r>
        <w:rPr>
          <w:rFonts w:ascii="Arial" w:cs="Arial" w:eastAsia="Arial" w:hAnsi="Arial"/>
          <w:sz w:val="16"/>
          <w:szCs w:val="16"/>
          <w:color w:val="auto"/>
        </w:rPr>
        <w:t>peoples’ expertise or capacity, notwithstanding both parties’ intentions to have these areas of support self-sufficient inside RGHI by commencement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No fee</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w w:val="93"/>
              </w:rPr>
              <w:t>Commencement Date</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2">
            <w:col w:w="7260" w:space="360"/>
            <w:col w:w="3420"/>
          </w:cols>
          <w:pgMar w:left="440" w:top="270" w:right="419" w:bottom="1440" w:gutter="0" w:footer="0" w:header="0"/>
        </w:sectPr>
      </w:pPr>
    </w:p>
    <w:bookmarkStart w:id="550" w:name="page551"/>
    <w:bookmarkEnd w:id="55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GR2: HR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vMerge w:val="restart"/>
          </w:tcPr>
          <w:p>
            <w:pPr>
              <w:spacing w:after="0"/>
              <w:rPr>
                <w:sz w:val="20"/>
                <w:szCs w:val="20"/>
                <w:color w:val="auto"/>
              </w:rPr>
            </w:pPr>
            <w:r>
              <w:rPr>
                <w:rFonts w:ascii="Arial" w:cs="Arial" w:eastAsia="Arial" w:hAnsi="Arial"/>
                <w:sz w:val="18"/>
                <w:szCs w:val="18"/>
                <w:color w:val="auto"/>
              </w:rPr>
              <w:t>GR2.1</w:t>
            </w:r>
          </w:p>
        </w:tc>
        <w:tc>
          <w:tcPr>
            <w:tcW w:w="32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w w:val="95"/>
              </w:rPr>
              <w:t>General HR – Ancillary</w:t>
            </w:r>
          </w:p>
        </w:tc>
        <w:tc>
          <w:tcPr>
            <w:tcW w:w="100" w:type="dxa"/>
            <w:vAlign w:val="bottom"/>
          </w:tcPr>
          <w:p>
            <w:pPr>
              <w:spacing w:after="0"/>
              <w:rPr>
                <w:sz w:val="16"/>
                <w:szCs w:val="16"/>
                <w:color w:val="auto"/>
              </w:rPr>
            </w:pPr>
          </w:p>
        </w:tc>
        <w:tc>
          <w:tcPr>
            <w:tcW w:w="4300" w:type="dxa"/>
            <w:vAlign w:val="bottom"/>
            <w:gridSpan w:val="2"/>
          </w:tcPr>
          <w:p>
            <w:pPr>
              <w:spacing w:after="0" w:line="195" w:lineRule="exact"/>
              <w:rPr>
                <w:sz w:val="20"/>
                <w:szCs w:val="20"/>
                <w:color w:val="auto"/>
              </w:rPr>
            </w:pPr>
            <w:r>
              <w:rPr>
                <w:rFonts w:ascii="Arial" w:cs="Arial" w:eastAsia="Arial" w:hAnsi="Arial"/>
                <w:sz w:val="18"/>
                <w:szCs w:val="18"/>
                <w:color w:val="auto"/>
                <w:w w:val="94"/>
              </w:rPr>
              <w:t>RCP will be available to provide transition of support and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Arial" w:cs="Arial" w:eastAsia="Arial" w:hAnsi="Arial"/>
                <w:sz w:val="18"/>
                <w:szCs w:val="18"/>
                <w:color w:val="auto"/>
              </w:rPr>
              <w:t>Services</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w w:val="98"/>
              </w:rPr>
              <w:t>agreements and provide support for meetings to share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w w:val="92"/>
              </w:rPr>
              <w:t>information and answer any question with current vendors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w w:val="99"/>
              </w:rPr>
              <w:t>regarding current practices, including but not limited 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w w:val="91"/>
              </w:rPr>
              <w:t>support for separation of 401(K), H&amp;W, and pension plans.</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The parties shall cooperate in good faith regarding</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preparation of 5500s and ACA reporting for plan year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2019, with responsibility for filings as follows:</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060" w:type="dxa"/>
            <w:vAlign w:val="bottom"/>
          </w:tcPr>
          <w:p>
            <w:pPr>
              <w:ind w:left="100"/>
              <w:spacing w:after="0"/>
              <w:rPr>
                <w:sz w:val="20"/>
                <w:szCs w:val="20"/>
                <w:color w:val="auto"/>
              </w:rPr>
            </w:pPr>
            <w:r>
              <w:rPr>
                <w:rFonts w:ascii="Arial" w:cs="Arial" w:eastAsia="Arial" w:hAnsi="Arial"/>
                <w:sz w:val="18"/>
                <w:szCs w:val="18"/>
                <w:color w:val="auto"/>
              </w:rPr>
              <w:t>401(K) 5500s</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  RGHI shall file for existing Employee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Savings Plan (non-bargaining) and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Employee Savings Plan for Pactiv</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Bargaining</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  RCP shall file for Employee Savings Plan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for Reynolds Bargaining and any new</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w w:val="88"/>
              </w:rPr>
              <w:t>Company savings plans established as of the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Commencement Date</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  Pension and H&amp;W 5500s</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  RGHI shall file for Reynolds Services Inc.</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w w:val="91"/>
              </w:rPr>
              <w:t>Group Benefit Plan, Pactiv Retirement Plan,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w w:val="94"/>
              </w:rPr>
              <w:t>Reynolds Services Inc. Group Benefit Plan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for Bargaining Unit Employees, Pactiv</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w w:val="98"/>
              </w:rPr>
              <w:t>Retiree Health &amp; Welfare Plan, Reynolds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w w:val="93"/>
              </w:rPr>
              <w:t>Group Pension Plan, Evergreen Packaging</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Pension Plan</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  RCP shall file for new Company plans</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w w:val="92"/>
              </w:rPr>
              <w:t>established as of the Commencement Date</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060" w:type="dxa"/>
            <w:vAlign w:val="bottom"/>
          </w:tcPr>
          <w:p>
            <w:pPr>
              <w:ind w:left="100"/>
              <w:spacing w:after="0"/>
              <w:rPr>
                <w:sz w:val="20"/>
                <w:szCs w:val="20"/>
                <w:color w:val="auto"/>
              </w:rPr>
            </w:pPr>
            <w:r>
              <w:rPr>
                <w:rFonts w:ascii="Arial" w:cs="Arial" w:eastAsia="Arial" w:hAnsi="Arial"/>
                <w:sz w:val="18"/>
                <w:szCs w:val="18"/>
                <w:color w:val="auto"/>
              </w:rPr>
              <w:t>ACA Reporting</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  RCP shall coordinate filing for 2019 plan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Pr>
          <w:p>
            <w:pPr>
              <w:ind w:left="84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No fee</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w w:val="93"/>
              </w:rPr>
              <w:t>Commencement Date</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7265" w:lineRule="exact"/>
        <w:rPr>
          <w:sz w:val="20"/>
          <w:szCs w:val="20"/>
          <w:color w:val="auto"/>
        </w:rPr>
      </w:pPr>
    </w:p>
    <w:p>
      <w:pPr>
        <w:sectPr>
          <w:pgSz w:w="11900" w:h="16838" w:orient="portrait"/>
          <w:cols w:equalWidth="0" w:num="2">
            <w:col w:w="7260" w:space="360"/>
            <w:col w:w="3420"/>
          </w:cols>
          <w:pgMar w:left="440" w:top="270" w:right="419" w:bottom="1440" w:gutter="0" w:footer="0" w:header="0"/>
        </w:sect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GR2.2</w:t>
            </w:r>
          </w:p>
        </w:tc>
        <w:tc>
          <w:tcPr>
            <w:tcW w:w="2120" w:type="dxa"/>
            <w:vAlign w:val="bottom"/>
          </w:tcPr>
          <w:p>
            <w:pPr>
              <w:ind w:left="320"/>
              <w:spacing w:after="0"/>
              <w:rPr>
                <w:sz w:val="20"/>
                <w:szCs w:val="20"/>
                <w:color w:val="auto"/>
              </w:rPr>
            </w:pPr>
            <w:r>
              <w:rPr>
                <w:rFonts w:ascii="Arial" w:cs="Arial" w:eastAsia="Arial" w:hAnsi="Arial"/>
                <w:sz w:val="18"/>
                <w:szCs w:val="18"/>
                <w:color w:val="auto"/>
                <w:w w:val="95"/>
              </w:rPr>
              <w:t>General HR – ACA and</w:t>
            </w:r>
          </w:p>
        </w:tc>
        <w:tc>
          <w:tcPr>
            <w:tcW w:w="4320" w:type="dxa"/>
            <w:vAlign w:val="bottom"/>
          </w:tcPr>
          <w:p>
            <w:pPr>
              <w:ind w:left="60"/>
              <w:spacing w:after="0"/>
              <w:rPr>
                <w:sz w:val="20"/>
                <w:szCs w:val="20"/>
                <w:color w:val="auto"/>
              </w:rPr>
            </w:pPr>
            <w:r>
              <w:rPr>
                <w:rFonts w:ascii="Arial" w:cs="Arial" w:eastAsia="Arial" w:hAnsi="Arial"/>
                <w:sz w:val="18"/>
                <w:szCs w:val="18"/>
                <w:color w:val="auto"/>
                <w:w w:val="90"/>
              </w:rPr>
              <w:t>Provision of handover and support services related to ACA</w:t>
            </w:r>
          </w:p>
        </w:tc>
      </w:tr>
      <w:tr>
        <w:trPr>
          <w:trHeight w:val="230"/>
        </w:trPr>
        <w:tc>
          <w:tcPr>
            <w:tcW w:w="780" w:type="dxa"/>
            <w:vAlign w:val="bottom"/>
          </w:tcPr>
          <w:p>
            <w:pPr>
              <w:spacing w:after="0"/>
              <w:rPr>
                <w:sz w:val="20"/>
                <w:szCs w:val="20"/>
                <w:color w:val="auto"/>
              </w:rPr>
            </w:pPr>
          </w:p>
        </w:tc>
        <w:tc>
          <w:tcPr>
            <w:tcW w:w="2120" w:type="dxa"/>
            <w:vAlign w:val="bottom"/>
          </w:tcPr>
          <w:p>
            <w:pPr>
              <w:ind w:left="320"/>
              <w:spacing w:after="0"/>
              <w:rPr>
                <w:sz w:val="20"/>
                <w:szCs w:val="20"/>
                <w:color w:val="auto"/>
              </w:rPr>
            </w:pPr>
            <w:r>
              <w:rPr>
                <w:rFonts w:ascii="Arial" w:cs="Arial" w:eastAsia="Arial" w:hAnsi="Arial"/>
                <w:sz w:val="18"/>
                <w:szCs w:val="18"/>
                <w:color w:val="auto"/>
              </w:rPr>
              <w:t>HSA Training</w:t>
            </w:r>
          </w:p>
        </w:tc>
        <w:tc>
          <w:tcPr>
            <w:tcW w:w="4320" w:type="dxa"/>
            <w:vAlign w:val="bottom"/>
          </w:tcPr>
          <w:p>
            <w:pPr>
              <w:ind w:left="60"/>
              <w:spacing w:after="0"/>
              <w:rPr>
                <w:sz w:val="20"/>
                <w:szCs w:val="20"/>
                <w:color w:val="auto"/>
              </w:rPr>
            </w:pPr>
            <w:r>
              <w:rPr>
                <w:rFonts w:ascii="Arial" w:cs="Arial" w:eastAsia="Arial" w:hAnsi="Arial"/>
                <w:sz w:val="18"/>
                <w:szCs w:val="18"/>
                <w:color w:val="auto"/>
              </w:rPr>
              <w:t>reporting and HSA funding and reporting.</w:t>
            </w:r>
          </w:p>
        </w:tc>
      </w:tr>
    </w:tbl>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12 months from the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fee</w:t>
      </w:r>
    </w:p>
    <w:p>
      <w:pPr>
        <w:spacing w:after="0" w:line="13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Plus pass-through of actual third-party costs incurred in providing the service</w:t>
      </w:r>
    </w:p>
    <w:p>
      <w:pPr>
        <w:sectPr>
          <w:pgSz w:w="11900" w:h="16838" w:orient="portrait"/>
          <w:cols w:equalWidth="0" w:num="3">
            <w:col w:w="7220" w:space="400"/>
            <w:col w:w="1560" w:space="200"/>
            <w:col w:w="1660"/>
          </w:cols>
          <w:pgMar w:left="440" w:top="270" w:right="419" w:bottom="1440" w:gutter="0" w:footer="0" w:header="0"/>
          <w:type w:val="continuous"/>
        </w:sectPr>
      </w:pPr>
    </w:p>
    <w:bookmarkStart w:id="551" w:name="page552"/>
    <w:bookmarkEnd w:id="5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GR3: Regulatory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vMerge w:val="restart"/>
          </w:tcPr>
          <w:p>
            <w:pPr>
              <w:spacing w:after="0"/>
              <w:rPr>
                <w:sz w:val="20"/>
                <w:szCs w:val="20"/>
                <w:color w:val="auto"/>
              </w:rPr>
            </w:pPr>
            <w:r>
              <w:rPr>
                <w:rFonts w:ascii="Arial" w:cs="Arial" w:eastAsia="Arial" w:hAnsi="Arial"/>
                <w:sz w:val="18"/>
                <w:szCs w:val="18"/>
                <w:color w:val="auto"/>
              </w:rPr>
              <w:t>G3.1</w:t>
            </w:r>
          </w:p>
        </w:tc>
        <w:tc>
          <w:tcPr>
            <w:tcW w:w="38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43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General Services –</w:t>
            </w:r>
          </w:p>
        </w:tc>
        <w:tc>
          <w:tcPr>
            <w:tcW w:w="10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Provision of handover services and support related to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Regulatory</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8"/>
              </w:rPr>
              <w:t>compliance with FDA regulations, food-contact product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rules, product compliance, and other regulatory and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compliance schemes.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r>
      <w:tr>
        <w:trPr>
          <w:trHeight w:val="195"/>
        </w:trPr>
        <w:tc>
          <w:tcPr>
            <w:tcW w:w="20" w:type="dxa"/>
            <w:vAlign w:val="bottom"/>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No fee</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w w:val="93"/>
              </w:rPr>
              <w:t>Commencement Date</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2">
            <w:col w:w="7260" w:space="360"/>
            <w:col w:w="3420"/>
          </w:cols>
          <w:pgMar w:left="440" w:top="270" w:right="419" w:bottom="1440" w:gutter="0" w:footer="0" w:header="0"/>
        </w:sectPr>
      </w:pPr>
    </w:p>
    <w:bookmarkStart w:id="552" w:name="page553"/>
    <w:bookmarkEnd w:id="55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8"/>
          <w:szCs w:val="18"/>
          <w:b w:val="1"/>
          <w:bCs w:val="1"/>
          <w:u w:val="single" w:color="auto"/>
          <w:color w:val="auto"/>
        </w:rPr>
        <w:t>ection GR4: Procurement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vMerge w:val="restart"/>
          </w:tcPr>
          <w:p>
            <w:pPr>
              <w:spacing w:after="0"/>
              <w:rPr>
                <w:sz w:val="20"/>
                <w:szCs w:val="20"/>
                <w:color w:val="auto"/>
              </w:rPr>
            </w:pPr>
            <w:r>
              <w:rPr>
                <w:rFonts w:ascii="Arial" w:cs="Arial" w:eastAsia="Arial" w:hAnsi="Arial"/>
                <w:sz w:val="18"/>
                <w:szCs w:val="18"/>
                <w:color w:val="auto"/>
              </w:rPr>
              <w:t>GR4.1</w:t>
            </w:r>
          </w:p>
        </w:tc>
        <w:tc>
          <w:tcPr>
            <w:tcW w:w="320" w:type="dxa"/>
            <w:vAlign w:val="bottom"/>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Service Name</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Description of Service</w:t>
            </w:r>
          </w:p>
        </w:tc>
        <w:tc>
          <w:tcPr>
            <w:tcW w:w="360" w:type="dxa"/>
            <w:vAlign w:val="bottom"/>
          </w:tcPr>
          <w:p>
            <w:pPr>
              <w:spacing w:after="0"/>
              <w:rPr>
                <w:sz w:val="16"/>
                <w:szCs w:val="16"/>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Fee (USD)</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w w:val="93"/>
              </w:rPr>
              <w:t>Procurement Handover</w:t>
            </w:r>
          </w:p>
        </w:tc>
        <w:tc>
          <w:tcPr>
            <w:tcW w:w="100" w:type="dxa"/>
            <w:vAlign w:val="bottom"/>
          </w:tcPr>
          <w:p>
            <w:pPr>
              <w:spacing w:after="0"/>
              <w:rPr>
                <w:sz w:val="16"/>
                <w:szCs w:val="16"/>
                <w:color w:val="auto"/>
              </w:rPr>
            </w:pPr>
          </w:p>
        </w:tc>
        <w:tc>
          <w:tcPr>
            <w:tcW w:w="4300" w:type="dxa"/>
            <w:vAlign w:val="bottom"/>
            <w:gridSpan w:val="2"/>
          </w:tcPr>
          <w:p>
            <w:pPr>
              <w:spacing w:after="0" w:line="195" w:lineRule="exact"/>
              <w:rPr>
                <w:sz w:val="20"/>
                <w:szCs w:val="20"/>
                <w:color w:val="auto"/>
              </w:rPr>
            </w:pPr>
            <w:r>
              <w:rPr>
                <w:rFonts w:ascii="Arial" w:cs="Arial" w:eastAsia="Arial" w:hAnsi="Arial"/>
                <w:sz w:val="18"/>
                <w:szCs w:val="18"/>
                <w:color w:val="auto"/>
              </w:rPr>
              <w:t>Provision of handover services to assist RGHI in</w:t>
            </w:r>
          </w:p>
        </w:tc>
        <w:tc>
          <w:tcPr>
            <w:tcW w:w="36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12 months from the</w:t>
            </w:r>
          </w:p>
        </w:tc>
        <w:tc>
          <w:tcPr>
            <w:tcW w:w="10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Arial" w:cs="Arial" w:eastAsia="Arial" w:hAnsi="Arial"/>
                <w:sz w:val="18"/>
                <w:szCs w:val="18"/>
                <w:color w:val="auto"/>
              </w:rPr>
              <w:t>Services</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w w:val="97"/>
              </w:rPr>
              <w:t>establishing relationships with vendors for the following</w:t>
            </w:r>
          </w:p>
        </w:tc>
        <w:tc>
          <w:tcPr>
            <w:tcW w:w="2020" w:type="dxa"/>
            <w:vAlign w:val="bottom"/>
            <w:gridSpan w:val="2"/>
          </w:tcPr>
          <w:p>
            <w:pPr>
              <w:ind w:left="360"/>
              <w:spacing w:after="0"/>
              <w:rPr>
                <w:sz w:val="20"/>
                <w:szCs w:val="20"/>
                <w:color w:val="auto"/>
              </w:rPr>
            </w:pPr>
            <w:r>
              <w:rPr>
                <w:rFonts w:ascii="Arial" w:cs="Arial" w:eastAsia="Arial" w:hAnsi="Arial"/>
                <w:sz w:val="18"/>
                <w:szCs w:val="18"/>
                <w:color w:val="auto"/>
                <w:w w:val="93"/>
              </w:rPr>
              <w:t>Commencement Date</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7"/>
              </w:rPr>
              <w:t>per person / per hour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w w:val="90"/>
              </w:rPr>
              <w:t>services:</w:t>
            </w:r>
          </w:p>
        </w:tc>
        <w:tc>
          <w:tcPr>
            <w:tcW w:w="3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Plus pass-through of</w:t>
            </w:r>
          </w:p>
        </w:tc>
        <w:tc>
          <w:tcPr>
            <w:tcW w:w="0" w:type="dxa"/>
            <w:vAlign w:val="bottom"/>
          </w:tcPr>
          <w:p>
            <w:pPr>
              <w:spacing w:after="0"/>
              <w:rPr>
                <w:sz w:val="1"/>
                <w:szCs w:val="1"/>
                <w:color w:val="auto"/>
              </w:rPr>
            </w:pPr>
          </w:p>
        </w:tc>
      </w:tr>
      <w:tr>
        <w:trPr>
          <w:trHeight w:val="107"/>
        </w:trPr>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w:t>
            </w:r>
          </w:p>
        </w:tc>
        <w:tc>
          <w:tcPr>
            <w:tcW w:w="3640" w:type="dxa"/>
            <w:vAlign w:val="bottom"/>
          </w:tcPr>
          <w:p>
            <w:pPr>
              <w:ind w:left="40"/>
              <w:spacing w:after="0"/>
              <w:rPr>
                <w:sz w:val="20"/>
                <w:szCs w:val="20"/>
                <w:color w:val="auto"/>
              </w:rPr>
            </w:pPr>
            <w:r>
              <w:rPr>
                <w:rFonts w:ascii="Arial" w:cs="Arial" w:eastAsia="Arial" w:hAnsi="Arial"/>
                <w:sz w:val="18"/>
                <w:szCs w:val="18"/>
                <w:color w:val="auto"/>
              </w:rPr>
              <w:t>Fleet program</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actual third-party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3640" w:type="dxa"/>
            <w:vAlign w:val="bottom"/>
            <w:vMerge w:val="restart"/>
          </w:tcPr>
          <w:p>
            <w:pPr>
              <w:ind w:left="40"/>
              <w:spacing w:after="0"/>
              <w:rPr>
                <w:sz w:val="20"/>
                <w:szCs w:val="20"/>
                <w:color w:val="auto"/>
              </w:rPr>
            </w:pPr>
            <w:r>
              <w:rPr>
                <w:rFonts w:ascii="Arial" w:cs="Arial" w:eastAsia="Arial" w:hAnsi="Arial"/>
                <w:sz w:val="18"/>
                <w:szCs w:val="18"/>
                <w:color w:val="auto"/>
              </w:rPr>
              <w:t>Office supplies</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costs incurred in</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providing the service</w:t>
            </w: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20"/>
        <w:spacing w:after="0"/>
        <w:tabs>
          <w:tab w:leader="none" w:pos="3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T&amp;E (including rental car, airline, World Travel,</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and Concur)</w:t>
      </w:r>
    </w:p>
    <w:p>
      <w:pPr>
        <w:spacing w:after="0" w:line="11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Provision of purchasing support and handover services for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poly bags.</w:t>
      </w:r>
    </w:p>
    <w:p>
      <w:pPr>
        <w:sectPr>
          <w:pgSz w:w="11900" w:h="16838" w:orient="portrait"/>
          <w:cols w:equalWidth="0" w:num="1">
            <w:col w:w="11040"/>
          </w:cols>
          <w:pgMar w:left="440" w:top="269" w:right="419" w:bottom="1440" w:gutter="0" w:footer="0" w:header="0"/>
        </w:sectPr>
      </w:pPr>
    </w:p>
    <w:bookmarkStart w:id="553" w:name="page554"/>
    <w:bookmarkEnd w:id="553"/>
    <w:p>
      <w:pPr>
        <w:jc w:val="center"/>
        <w:ind w:righ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6"/>
          <w:szCs w:val="16"/>
          <w:b w:val="1"/>
          <w:bCs w:val="1"/>
          <w:u w:val="single" w:color="auto"/>
          <w:color w:val="auto"/>
        </w:rPr>
        <w:t>Service Coordinators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be designated in writing from time to time by each party.</w:t>
      </w:r>
    </w:p>
    <w:p>
      <w:pPr>
        <w:sectPr>
          <w:pgSz w:w="11900" w:h="16838" w:orient="portrait"/>
          <w:cols w:equalWidth="0" w:num="1">
            <w:col w:w="9579"/>
          </w:cols>
          <w:pgMar w:left="880" w:top="269" w:right="1440" w:bottom="1440" w:gutter="0" w:footer="0" w:header="0"/>
        </w:sectPr>
      </w:pPr>
    </w:p>
    <w:bookmarkStart w:id="554" w:name="page555"/>
    <w:bookmarkEnd w:id="554"/>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TAX MATTERS AGREEMENT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REYNOLDS GROUP HOLDINGS LIMITED,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REYNOLDS GROUP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3580"/>
        <w:spacing w:after="0"/>
        <w:tabs>
          <w:tab w:leader="none" w:pos="53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ectPr>
          <w:pgSz w:w="11900" w:h="16838" w:orient="portrait"/>
          <w:cols w:equalWidth="0" w:num="1">
            <w:col w:w="10020"/>
          </w:cols>
          <w:pgMar w:left="1440" w:top="122" w:right="439" w:bottom="1440" w:gutter="0" w:footer="0" w:header="0"/>
        </w:sectPr>
      </w:pPr>
    </w:p>
    <w:bookmarkStart w:id="555" w:name="page556"/>
    <w:bookmarkEnd w:id="555"/>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00" w:type="dxa"/>
            <w:vAlign w:val="bottom"/>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4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320" w:type="dxa"/>
            <w:vAlign w:val="bottom"/>
            <w:gridSpan w:val="2"/>
            <w:vMerge w:val="restart"/>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426"/>
        </w:trPr>
        <w:tc>
          <w:tcPr>
            <w:tcW w:w="940" w:type="dxa"/>
            <w:vAlign w:val="bottom"/>
            <w:vMerge w:val="continue"/>
          </w:tcPr>
          <w:p>
            <w:pPr>
              <w:spacing w:after="0"/>
              <w:rPr>
                <w:sz w:val="24"/>
                <w:szCs w:val="24"/>
                <w:color w:val="auto"/>
              </w:rPr>
            </w:pPr>
          </w:p>
        </w:tc>
        <w:tc>
          <w:tcPr>
            <w:tcW w:w="5720" w:type="dxa"/>
            <w:vAlign w:val="bottom"/>
            <w:gridSpan w:val="2"/>
            <w:vMerge w:val="restart"/>
          </w:tcPr>
          <w:p>
            <w:pPr>
              <w:ind w:left="140"/>
              <w:spacing w:after="0"/>
              <w:rPr>
                <w:sz w:val="20"/>
                <w:szCs w:val="20"/>
                <w:color w:val="auto"/>
              </w:rPr>
            </w:pPr>
            <w:r>
              <w:rPr>
                <w:rFonts w:ascii="Arial" w:cs="Arial" w:eastAsia="Arial" w:hAnsi="Arial"/>
                <w:sz w:val="18"/>
                <w:szCs w:val="18"/>
                <w:i w:val="1"/>
                <w:iCs w:val="1"/>
                <w:color w:val="auto"/>
              </w:rPr>
              <w:t>Definitions</w:t>
            </w:r>
          </w:p>
        </w:tc>
        <w:tc>
          <w:tcPr>
            <w:tcW w:w="4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40" w:type="dxa"/>
            <w:vAlign w:val="bottom"/>
            <w:vMerge w:val="continue"/>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398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2.</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Sole Tax Sharing Agreement</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3.</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Allocation of Taxes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4.</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Preparation and Filing of Tax Returns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5.</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Apportionment of Earnings and Profits and Tax Attributes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6.</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Utilization of Tax Attributes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7.</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Tax Benefits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8.</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Certain Representations and Covenants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9.</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Indemnities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10.</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Payments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11.</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Actions by the Group</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12.</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Communication and Cooperation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13.</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Audits and Contest</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14.</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Costs and Expenses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15.</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Effectiveness; Termination and Survival</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16.</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Dispute Resolution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17.</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Authorization, Etc.</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18.</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Change in Tax Law</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19.</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Principles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Section 20.</w:t>
            </w: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Governing Law</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556" w:name="page557"/>
    <w:bookmarkEnd w:id="5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MATTERS AGREEMENT</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This TAX MATTERS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 2019 by and among Reynolds Group Holdings Limited, a New Zealand limited company (“</w:t>
      </w:r>
      <w:r>
        <w:rPr>
          <w:rFonts w:ascii="Arial" w:cs="Arial" w:eastAsia="Arial" w:hAnsi="Arial"/>
          <w:sz w:val="18"/>
          <w:szCs w:val="18"/>
          <w:b w:val="1"/>
          <w:bCs w:val="1"/>
          <w:color w:val="auto"/>
        </w:rPr>
        <w:t>RGHL</w:t>
      </w:r>
      <w:r>
        <w:rPr>
          <w:rFonts w:ascii="Arial" w:cs="Arial" w:eastAsia="Arial" w:hAnsi="Arial"/>
          <w:sz w:val="18"/>
          <w:szCs w:val="18"/>
          <w:color w:val="auto"/>
        </w:rPr>
        <w:t>”), Reynolds Group Holdings Inc., a Delaware corporation (“</w:t>
      </w:r>
      <w:r>
        <w:rPr>
          <w:rFonts w:ascii="Arial" w:cs="Arial" w:eastAsia="Arial" w:hAnsi="Arial"/>
          <w:sz w:val="18"/>
          <w:szCs w:val="18"/>
          <w:b w:val="1"/>
          <w:bCs w:val="1"/>
          <w:color w:val="auto"/>
        </w:rPr>
        <w:t>RGHI</w:t>
      </w:r>
      <w:r>
        <w:rPr>
          <w:rFonts w:ascii="Arial" w:cs="Arial" w:eastAsia="Arial" w:hAnsi="Arial"/>
          <w:sz w:val="18"/>
          <w:szCs w:val="18"/>
          <w:color w:val="auto"/>
        </w:rPr>
        <w:t>”) and Reynolds Consumer Products Inc., a Delaware corporation (“</w:t>
      </w:r>
      <w:r>
        <w:rPr>
          <w:rFonts w:ascii="Arial" w:cs="Arial" w:eastAsia="Arial" w:hAnsi="Arial"/>
          <w:sz w:val="18"/>
          <w:szCs w:val="18"/>
          <w:b w:val="1"/>
          <w:bCs w:val="1"/>
          <w:color w:val="auto"/>
        </w:rPr>
        <w:t>RCPI</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WHEREAS, pursuant to the Tax laws of various jurisdictions, certain members of the RCPI Group presently file certain Tax Returns on an affiliated, consolidated, combined, unitary, fiscal unity or other group basis (including as permitted by Section 1501 of the Code) with certain members of the RGHL Group;</w:t>
      </w:r>
    </w:p>
    <w:p>
      <w:pPr>
        <w:spacing w:after="0" w:line="181" w:lineRule="exact"/>
        <w:rPr>
          <w:sz w:val="20"/>
          <w:szCs w:val="20"/>
          <w:color w:val="auto"/>
        </w:rPr>
      </w:pPr>
    </w:p>
    <w:p>
      <w:pPr>
        <w:ind w:right="520" w:firstLine="441"/>
        <w:spacing w:after="0" w:line="259" w:lineRule="auto"/>
        <w:rPr>
          <w:sz w:val="20"/>
          <w:szCs w:val="20"/>
          <w:color w:val="auto"/>
        </w:rPr>
      </w:pPr>
      <w:r>
        <w:rPr>
          <w:rFonts w:ascii="Arial" w:cs="Arial" w:eastAsia="Arial" w:hAnsi="Arial"/>
          <w:sz w:val="18"/>
          <w:szCs w:val="18"/>
          <w:color w:val="auto"/>
        </w:rPr>
        <w:t>WHEREAS, RGHL, RGHI and RCPI have entered into a Transaction Implementation Agreement, dated as of the date hereof, as amended, modified or supplemented from time to time (the “</w:t>
      </w:r>
      <w:r>
        <w:rPr>
          <w:rFonts w:ascii="Arial" w:cs="Arial" w:eastAsia="Arial" w:hAnsi="Arial"/>
          <w:sz w:val="18"/>
          <w:szCs w:val="18"/>
          <w:b w:val="1"/>
          <w:bCs w:val="1"/>
          <w:color w:val="auto"/>
        </w:rPr>
        <w:t>Transaction Implementation Agreement</w:t>
      </w:r>
      <w:r>
        <w:rPr>
          <w:rFonts w:ascii="Arial" w:cs="Arial" w:eastAsia="Arial" w:hAnsi="Arial"/>
          <w:sz w:val="18"/>
          <w:szCs w:val="18"/>
          <w:color w:val="auto"/>
        </w:rPr>
        <w:t>”), pursuant to which the parties will effect certain transactions prior to the initial public offering of common stock of RCPI (the “</w:t>
      </w:r>
      <w:r>
        <w:rPr>
          <w:rFonts w:ascii="Arial" w:cs="Arial" w:eastAsia="Arial" w:hAnsi="Arial"/>
          <w:sz w:val="18"/>
          <w:szCs w:val="18"/>
          <w:b w:val="1"/>
          <w:bCs w:val="1"/>
          <w:color w:val="auto"/>
        </w:rPr>
        <w:t>RCPI IPO</w:t>
      </w:r>
      <w:r>
        <w:rPr>
          <w:rFonts w:ascii="Arial" w:cs="Arial" w:eastAsia="Arial" w:hAnsi="Arial"/>
          <w:sz w:val="18"/>
          <w:szCs w:val="18"/>
          <w:color w:val="auto"/>
        </w:rPr>
        <w:t>”), including the Pre-Distribution Transactions, the Contribution, the First Distribution, and the Second Distribution;</w:t>
      </w:r>
    </w:p>
    <w:p>
      <w:pPr>
        <w:spacing w:after="0" w:line="18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WHEREAS, RGHL, RGHI and RCPI desire to set forth their agreement on the rights and obligations of RGHL, RGHI, RCPI and the members of the RGHL Group, the RGHI Group and the RCPI Group respectively, with respect to certain tax matters;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covenants and agreements hereinafter set forth, the parties agree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For the purposes of this Agreement the following terms shall have the following meanings:</w:t>
      </w:r>
    </w:p>
    <w:p>
      <w:pPr>
        <w:spacing w:after="0" w:line="113"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specified Person. For purposes of determining whether a Person is an Affiliate, the term “control” shall mean the possession, directly or indirectly, of the power to direct or cause the direction of the management and policies of a Person, whether through ownership of securities, contract or otherwise, provided, however that, from and after the consummation of the RCPI IPO on the Distribution Date, no member of the RGHL Group shall be deemed to be an Affiliate of any member of the RCPI Group, and no member of the RCPI Group shall be deemed to be an Affiliate of any member of the RGHL Group.</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69" w:right="479" w:bottom="1440" w:gutter="0" w:footer="0" w:header="0"/>
        </w:sectPr>
      </w:pPr>
    </w:p>
    <w:bookmarkStart w:id="557" w:name="page558"/>
    <w:bookmarkEnd w:id="557"/>
    <w:p>
      <w:pPr>
        <w:ind w:right="320" w:firstLine="44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Applicable Law</w:t>
      </w:r>
      <w:r>
        <w:rPr>
          <w:rFonts w:ascii="Arial" w:cs="Arial" w:eastAsia="Arial" w:hAnsi="Arial"/>
          <w:sz w:val="17"/>
          <w:szCs w:val="17"/>
          <w:color w:val="auto"/>
        </w:rPr>
        <w:t>” means, with respect to any Person, any federal, state, county, municipal, local, multinational or foreign statute, treaty, law, common law, ordinance, rule, regulation, order, writ, injunction, judicial decision, decree, permit or other legally binding requirement of any Governmental Authority applicable to such Person or any of its respective properties, assets, officers, directors, employees, consultants or agents (in connection with such officer’s, director’s, employee’s, consultant’s or agent’s activities on behalf of such Person).</w:t>
      </w:r>
    </w:p>
    <w:p>
      <w:pPr>
        <w:spacing w:after="0" w:line="16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 day, other than a Saturday, Sunday or other day on which commercial banks in New York, New York are authorized or required by law to close.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Group</w:t>
      </w:r>
      <w:r>
        <w:rPr>
          <w:rFonts w:ascii="Arial" w:cs="Arial" w:eastAsia="Arial" w:hAnsi="Arial"/>
          <w:sz w:val="18"/>
          <w:szCs w:val="18"/>
          <w:color w:val="auto"/>
        </w:rPr>
        <w:t>” means any group that filed or was required to file (or will file or be required to file) a Tax Return on an affiliated, consolidated, combined, unitary, fiscal unity or other group basis (including as permitted by Section 1501 of the Code) that includes at least one member of the RGHL Group and at least one member of the RCPI Group.</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Tax Return</w:t>
      </w:r>
      <w:r>
        <w:rPr>
          <w:rFonts w:ascii="Arial" w:cs="Arial" w:eastAsia="Arial" w:hAnsi="Arial"/>
          <w:sz w:val="18"/>
          <w:szCs w:val="18"/>
          <w:color w:val="auto"/>
        </w:rPr>
        <w:t>” means a Tax Return filed (or to be filed) for a Combined Group.</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Tax Return (RGHI)</w:t>
      </w:r>
      <w:r>
        <w:rPr>
          <w:rFonts w:ascii="Arial" w:cs="Arial" w:eastAsia="Arial" w:hAnsi="Arial"/>
          <w:sz w:val="18"/>
          <w:szCs w:val="18"/>
          <w:color w:val="auto"/>
        </w:rPr>
        <w:t>” means any Combined Tax Return that does not include any member of the RGHL Group that is not also a member of the RGHI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Tax Return (RGHL)</w:t>
      </w:r>
      <w:r>
        <w:rPr>
          <w:rFonts w:ascii="Arial" w:cs="Arial" w:eastAsia="Arial" w:hAnsi="Arial"/>
          <w:sz w:val="18"/>
          <w:szCs w:val="18"/>
          <w:color w:val="auto"/>
        </w:rPr>
        <w:t>” means any Combined Tax Return that is not a Combined Tax Return (RGHI).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RGHL, RGHI or RCPI (or the appropriate member of each of their respective Groups), as appropriate.</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Consumer Business</w:t>
      </w:r>
      <w:r>
        <w:rPr>
          <w:rFonts w:ascii="Arial" w:cs="Arial" w:eastAsia="Arial" w:hAnsi="Arial"/>
          <w:sz w:val="18"/>
          <w:szCs w:val="18"/>
          <w:color w:val="auto"/>
        </w:rPr>
        <w:t>” means the consumer business operated by the RCPI Group, including the Reynolds Cooking &amp; Baking segment, the Hefty Waste &amp; Storage segment, the Hefty Tableware segment and the Presto Products segment described in the Form S-1 Registration Statement filed by RCPI on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Arrangements”</w:t>
      </w:r>
      <w:r>
        <w:rPr>
          <w:rFonts w:ascii="Arial" w:cs="Arial" w:eastAsia="Arial" w:hAnsi="Arial"/>
          <w:sz w:val="18"/>
          <w:szCs w:val="18"/>
          <w:color w:val="auto"/>
        </w:rPr>
        <w:t xml:space="preserve"> means the agreements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 the contribution by RGHI to RCPI of (A) 100% of the interests in Reynolds Europe Services LLC and (B) a portion of the intercompany receivable owed by RCPI to RGHI and (ii) and any assumption of liabilities by RCPI from RGHI in connection with such contributions.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Date</w:t>
      </w:r>
      <w:r>
        <w:rPr>
          <w:rFonts w:ascii="Arial" w:cs="Arial" w:eastAsia="Arial" w:hAnsi="Arial"/>
          <w:sz w:val="18"/>
          <w:szCs w:val="18"/>
          <w:color w:val="auto"/>
        </w:rPr>
        <w:t>” means the date on which the First Distribution and Second Distribution are consummated.</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Taxes</w:t>
      </w:r>
      <w:r>
        <w:rPr>
          <w:rFonts w:ascii="Arial" w:cs="Arial" w:eastAsia="Arial" w:hAnsi="Arial"/>
          <w:sz w:val="18"/>
          <w:szCs w:val="18"/>
          <w:color w:val="auto"/>
        </w:rPr>
        <w:t>” means any Taxes incurred as a result of the failure of the Intended Tax-Free Treatment of the Pre-Distribution Transactions, the Contribution, the First Distribution or the Second Distribution.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558" w:name="page559"/>
    <w:bookmarkEnd w:id="5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Distributions</w:t>
      </w:r>
      <w:r>
        <w:rPr>
          <w:rFonts w:ascii="Arial" w:cs="Arial" w:eastAsia="Arial" w:hAnsi="Arial"/>
          <w:sz w:val="18"/>
          <w:szCs w:val="18"/>
          <w:color w:val="auto"/>
        </w:rPr>
        <w:t>” means the First Distribution and the Second Distribution.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Due Date</w:t>
      </w:r>
      <w:r>
        <w:rPr>
          <w:rFonts w:ascii="Arial" w:cs="Arial" w:eastAsia="Arial" w:hAnsi="Arial"/>
          <w:sz w:val="18"/>
          <w:szCs w:val="18"/>
          <w:color w:val="auto"/>
        </w:rPr>
        <w:t>” has the meaning set forth in Section 10(a).</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any stock or other securities treated as equity for Tax purposes, options, warrants, rights, convertible debt, or any other instrument or security that affords any Person the right, whether conditional or otherwise, to acquire stock or to be paid an amount determined by reference to the value of stock.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Escheat Payment</w:t>
      </w:r>
      <w:r>
        <w:rPr>
          <w:rFonts w:ascii="Arial" w:cs="Arial" w:eastAsia="Arial" w:hAnsi="Arial"/>
          <w:sz w:val="16"/>
          <w:szCs w:val="16"/>
          <w:color w:val="auto"/>
        </w:rPr>
        <w:t>” means any payment required to be made to a Governmental Authority pursuant to an abandoned property, escheat or similar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Determination</w:t>
      </w:r>
      <w:r>
        <w:rPr>
          <w:rFonts w:ascii="Arial" w:cs="Arial" w:eastAsia="Arial" w:hAnsi="Arial"/>
          <w:sz w:val="16"/>
          <w:szCs w:val="16"/>
          <w:color w:val="auto"/>
        </w:rPr>
        <w:t>” means (i) a decision, judgment, decree, or other order by any court of competent jurisdiction, which has become final,</w:t>
      </w:r>
    </w:p>
    <w:p>
      <w:pPr>
        <w:spacing w:after="0" w:line="50" w:lineRule="exact"/>
        <w:rPr>
          <w:sz w:val="20"/>
          <w:szCs w:val="20"/>
          <w:color w:val="auto"/>
        </w:rPr>
      </w:pPr>
    </w:p>
    <w:p>
      <w:pPr>
        <w:ind w:firstLine="4"/>
        <w:spacing w:after="0" w:line="252" w:lineRule="auto"/>
        <w:tabs>
          <w:tab w:leader="none" w:pos="26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any final determination of liability in respect of a Tax that, under Applicable Law, is not subject to further appeal, review or modification through proceedings or otherwise, or (iii) the payment of any Tax by any member of the RGHL Group or any member of the RCPI Group, whichever is responsible for payment of such Tax under Applicable Law, with respect to any item disallowed or adjusted by a Taxing Authority; </w:t>
      </w:r>
      <w:r>
        <w:rPr>
          <w:rFonts w:ascii="Arial" w:cs="Arial" w:eastAsia="Arial" w:hAnsi="Arial"/>
          <w:sz w:val="18"/>
          <w:szCs w:val="18"/>
          <w:i w:val="1"/>
          <w:iCs w:val="1"/>
          <w:color w:val="auto"/>
        </w:rPr>
        <w:t>provided</w:t>
      </w:r>
      <w:r>
        <w:rPr>
          <w:rFonts w:ascii="Arial" w:cs="Arial" w:eastAsia="Arial" w:hAnsi="Arial"/>
          <w:sz w:val="18"/>
          <w:szCs w:val="18"/>
          <w:color w:val="auto"/>
        </w:rPr>
        <w:t>, that the provisions of Section 13 hereof have been complied with, or, if such section is inapplicable, that the Company responsible under this Agreement for such Tax is notified by the Company paying such Tax that it has determined that no action should be taken to recoup such disallowed item, and the other Company agrees with such determination.</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Distribution</w:t>
      </w:r>
      <w:r>
        <w:rPr>
          <w:rFonts w:ascii="Arial" w:cs="Arial" w:eastAsia="Arial" w:hAnsi="Arial"/>
          <w:sz w:val="18"/>
          <w:szCs w:val="18"/>
          <w:color w:val="auto"/>
        </w:rPr>
        <w:t>” means the distribution by RGHI of all of the common stock of RCPI to its shareholder.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Distribution Effective Time</w:t>
      </w:r>
      <w:r>
        <w:rPr>
          <w:rFonts w:ascii="Arial" w:cs="Arial" w:eastAsia="Arial" w:hAnsi="Arial"/>
          <w:sz w:val="18"/>
          <w:szCs w:val="18"/>
          <w:color w:val="auto"/>
        </w:rPr>
        <w:t>” means the time when the First Distribution occurs.</w:t>
      </w:r>
    </w:p>
    <w:p>
      <w:pPr>
        <w:spacing w:after="0" w:line="225" w:lineRule="exact"/>
        <w:rPr>
          <w:sz w:val="20"/>
          <w:szCs w:val="20"/>
          <w:color w:val="auto"/>
        </w:rPr>
      </w:pPr>
    </w:p>
    <w:p>
      <w:pPr>
        <w:ind w:right="4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foreign, domestic, federal, territorial, state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158"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(i) with respect to RGHI, RGHI and its subsidiaries (other than RCPI and its subsidiaries), (ii) with respect to RGHL, RGHL and its subsidiaries (other than RCPI and its subsidiaries) and (iii) with respect to RCPI, RCPI and its subsidiaries.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means the party from which another party is entitled to seek indemnification pursuant to the provisions of Section 9.</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means the party which is entitled to seek indemnification from another party pursuant to the provisions of Section 9.</w:t>
      </w:r>
    </w:p>
    <w:p>
      <w:pPr>
        <w:spacing w:after="0" w:line="225"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Intended Tax-Free Treatment</w:t>
      </w:r>
      <w:r>
        <w:rPr>
          <w:rFonts w:ascii="Arial" w:cs="Arial" w:eastAsia="Arial" w:hAnsi="Arial"/>
          <w:sz w:val="18"/>
          <w:szCs w:val="18"/>
          <w:color w:val="auto"/>
        </w:rPr>
        <w:t>” means the qualification of (i) the Contribution and the First Distribution, taken together (a) as a reorganization described in 368(a)(1)(D) of the Code by reason of Section 355, (b) as a transaction in which the stock distributed thereby is “qualified property” for purposes of Sections 355(c) and 361(c) of the Code and (c) as a transaction 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559" w:name="page560"/>
    <w:bookmarkEnd w:id="55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RGHI, RCPI and the holder of RGHI Common Stock recognize no income or gain for U.S. federal income tax purposes pursuant to Sections 355, 361 and 1032 of the Code, other than, in the case of RGHI and RCPI, any intercompany items or excess loss accounts taken into account pursuant to the Treasury Regulations promulgated pursuant to Section 1502 of the Code, (ii) the Second Distribution (a) as a distribution described in Section 355(a) of the Code, (b) as a transaction in which the stock distributed thereby is “qualified property” for purposes of Section 355(c) of the Code and (c) as a transaction in which RGHL, RCPI and the holder of RGHL Common Stock recognize no income or gain for U.S. federal income tax purposes pursuant to Sections 355 of the Code and (iii) the transactions described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being free from Tax to the extent set forth therein.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Past Practices</w:t>
      </w:r>
      <w:r>
        <w:rPr>
          <w:rFonts w:ascii="Arial" w:cs="Arial" w:eastAsia="Arial" w:hAnsi="Arial"/>
          <w:sz w:val="18"/>
          <w:szCs w:val="18"/>
          <w:color w:val="auto"/>
        </w:rPr>
        <w:t>” has the meaning set forth in Section 4(c)(i).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has the meaning set forth in Section 7701(a)(1)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PFL</w:t>
      </w:r>
      <w:r>
        <w:rPr>
          <w:rFonts w:ascii="Arial" w:cs="Arial" w:eastAsia="Arial" w:hAnsi="Arial"/>
          <w:sz w:val="18"/>
          <w:szCs w:val="18"/>
          <w:color w:val="auto"/>
        </w:rPr>
        <w:t>” means Packaging Finance Limited, a New Zealand limited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Post-Distribution Period</w:t>
      </w:r>
      <w:r>
        <w:rPr>
          <w:rFonts w:ascii="Arial" w:cs="Arial" w:eastAsia="Arial" w:hAnsi="Arial"/>
          <w:sz w:val="18"/>
          <w:szCs w:val="18"/>
          <w:color w:val="auto"/>
        </w:rPr>
        <w:t>” means any Taxable period (or portion thereof) beginning after the Distribution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Pre-Distribution Period</w:t>
      </w:r>
      <w:r>
        <w:rPr>
          <w:rFonts w:ascii="Arial" w:cs="Arial" w:eastAsia="Arial" w:hAnsi="Arial"/>
          <w:sz w:val="18"/>
          <w:szCs w:val="18"/>
          <w:color w:val="auto"/>
        </w:rPr>
        <w:t>” means any Taxable period (or portion thereof) ending on or before the Distribution Date.</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Pre-Distribution Transactions</w:t>
      </w:r>
      <w:r>
        <w:rPr>
          <w:rFonts w:ascii="Arial" w:cs="Arial" w:eastAsia="Arial" w:hAnsi="Arial"/>
          <w:sz w:val="18"/>
          <w:szCs w:val="18"/>
          <w:color w:val="auto"/>
        </w:rPr>
        <w:t>” means the transactions (other than the Contribution) undertaken prior to the First Distribution but in connection with the Contribution and the Distributions and described in the Step Plans.</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RCPI Carried Item</w:t>
      </w:r>
      <w:r>
        <w:rPr>
          <w:rFonts w:ascii="Arial" w:cs="Arial" w:eastAsia="Arial" w:hAnsi="Arial"/>
          <w:sz w:val="18"/>
          <w:szCs w:val="18"/>
          <w:color w:val="auto"/>
        </w:rPr>
        <w:t>” means any Tax Attribute of the RCPI Group that may or must be carried from one Taxable period to another prior Taxable period, or carried from one Taxable period to another subsequent Taxable period, under the Code or other Applicable Law.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RCPI Common Stock</w:t>
      </w:r>
      <w:r>
        <w:rPr>
          <w:rFonts w:ascii="Arial" w:cs="Arial" w:eastAsia="Arial" w:hAnsi="Arial"/>
          <w:sz w:val="18"/>
          <w:szCs w:val="18"/>
          <w:color w:val="auto"/>
        </w:rPr>
        <w:t>” means the common stock, par value $0.001 per share, of RCPI.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RCPI Disqualifying Action</w:t>
      </w:r>
      <w:r>
        <w:rPr>
          <w:rFonts w:ascii="Arial" w:cs="Arial" w:eastAsia="Arial" w:hAnsi="Arial"/>
          <w:sz w:val="18"/>
          <w:szCs w:val="18"/>
          <w:color w:val="auto"/>
        </w:rPr>
        <w:t>” means:</w:t>
      </w:r>
    </w:p>
    <w:p>
      <w:pPr>
        <w:spacing w:after="0" w:line="121" w:lineRule="exact"/>
        <w:rPr>
          <w:sz w:val="20"/>
          <w:szCs w:val="20"/>
          <w:color w:val="auto"/>
        </w:rPr>
      </w:pPr>
    </w:p>
    <w:p>
      <w:pPr>
        <w:ind w:right="100" w:firstLine="444"/>
        <w:spacing w:after="0" w:line="308" w:lineRule="auto"/>
        <w:tabs>
          <w:tab w:leader="none" w:pos="685" w:val="left"/>
        </w:tabs>
        <w:numPr>
          <w:ilvl w:val="0"/>
          <w:numId w:val="477"/>
        </w:numPr>
        <w:rPr>
          <w:rFonts w:ascii="Arial" w:cs="Arial" w:eastAsia="Arial" w:hAnsi="Arial"/>
          <w:sz w:val="17"/>
          <w:szCs w:val="17"/>
          <w:color w:val="auto"/>
        </w:rPr>
      </w:pPr>
      <w:r>
        <w:rPr>
          <w:rFonts w:ascii="Arial" w:cs="Arial" w:eastAsia="Arial" w:hAnsi="Arial"/>
          <w:sz w:val="17"/>
          <w:szCs w:val="17"/>
          <w:color w:val="auto"/>
        </w:rPr>
        <w:t>any action (or the failure to take any action) by any member of the RCPI Group after the First Distribution Effective Time (including entering into any agreement, understanding or arrangement or any negotiations with respect to any transaction or series of transactions),</w:t>
      </w:r>
    </w:p>
    <w:p>
      <w:pPr>
        <w:spacing w:after="0" w:line="38" w:lineRule="exact"/>
        <w:rPr>
          <w:rFonts w:ascii="Arial" w:cs="Arial" w:eastAsia="Arial" w:hAnsi="Arial"/>
          <w:sz w:val="17"/>
          <w:szCs w:val="17"/>
          <w:color w:val="auto"/>
        </w:rPr>
      </w:pPr>
    </w:p>
    <w:p>
      <w:pPr>
        <w:ind w:right="200" w:firstLine="444"/>
        <w:spacing w:after="0" w:line="277" w:lineRule="auto"/>
        <w:tabs>
          <w:tab w:leader="none" w:pos="69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event (or series of events) after the First Distribution Effective Time involving the capital stock of RCPI or any assets of any member of the RCPI Group, and</w:t>
      </w:r>
    </w:p>
    <w:p>
      <w:pPr>
        <w:spacing w:after="0" w:line="62" w:lineRule="exact"/>
        <w:rPr>
          <w:rFonts w:ascii="Arial" w:cs="Arial" w:eastAsia="Arial" w:hAnsi="Arial"/>
          <w:sz w:val="18"/>
          <w:szCs w:val="18"/>
          <w:color w:val="auto"/>
        </w:rPr>
      </w:pPr>
    </w:p>
    <w:p>
      <w:pPr>
        <w:ind w:right="60" w:firstLine="444"/>
        <w:spacing w:after="0" w:line="277" w:lineRule="auto"/>
        <w:tabs>
          <w:tab w:leader="none" w:pos="68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breach by any member of the RCPI Group after the First Distribution Effective Time of any representation, warranty or covenant made by RCPI in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60" w:name="page561"/>
    <w:bookmarkEnd w:id="560"/>
    <w:p>
      <w:pPr>
        <w:jc w:val="both"/>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each case, that would affect the Intended Tax-Free Treatment;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“RCPI Disqualifying Action” shall not include (i) any action required to be taken pursuant to any Transaction Document (including the Registration Rights Agreement but excluding this Agreement) or that is undertaken pursuant to the Pre-Distribution Transactions, the Contribution, the First Distribution or the Second Distribution or (ii) an event described in clause (a) or (b) to the extent that no member of the RCPI Group takes any action to cause, facilitate or otherwise participate in such event and does not fail to take an available action that could have prevented such event.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RCPI Separate Tax Return</w:t>
      </w:r>
      <w:r>
        <w:rPr>
          <w:rFonts w:ascii="Arial" w:cs="Arial" w:eastAsia="Arial" w:hAnsi="Arial"/>
          <w:sz w:val="18"/>
          <w:szCs w:val="18"/>
          <w:color w:val="auto"/>
        </w:rPr>
        <w:t>” means any Tax Return (other than a Combined Tax Return) that is required to be filed by, or with respect to, any member of the RCPI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RGHI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RGHI Separate Tax Return</w:t>
      </w:r>
      <w:r>
        <w:rPr>
          <w:rFonts w:ascii="Arial" w:cs="Arial" w:eastAsia="Arial" w:hAnsi="Arial"/>
          <w:sz w:val="18"/>
          <w:szCs w:val="18"/>
          <w:color w:val="auto"/>
        </w:rPr>
        <w:t>” means any Tax Return (other than a Combined Tax Return) that is required to be filed by, or with respect to, solely members of the RGHI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RGHL</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RGHL Separate Tax Return</w:t>
      </w:r>
      <w:r>
        <w:rPr>
          <w:rFonts w:ascii="Arial" w:cs="Arial" w:eastAsia="Arial" w:hAnsi="Arial"/>
          <w:sz w:val="18"/>
          <w:szCs w:val="18"/>
          <w:color w:val="auto"/>
        </w:rPr>
        <w:t>” means any Tax Return (other than a Combined Tax Return or an RGHI Separate Tax Return) that is required to be filed by, or with respect to, a member of the RGHL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Distribution</w:t>
      </w:r>
      <w:r>
        <w:rPr>
          <w:rFonts w:ascii="Arial" w:cs="Arial" w:eastAsia="Arial" w:hAnsi="Arial"/>
          <w:sz w:val="18"/>
          <w:szCs w:val="18"/>
          <w:color w:val="auto"/>
        </w:rPr>
        <w:t>” means the distribution by RGHL of all of the common stock of RCPI to its shareholder.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482 Adjustment</w:t>
      </w:r>
      <w:r>
        <w:rPr>
          <w:rFonts w:ascii="Arial" w:cs="Arial" w:eastAsia="Arial" w:hAnsi="Arial"/>
          <w:sz w:val="16"/>
          <w:szCs w:val="16"/>
          <w:color w:val="auto"/>
        </w:rPr>
        <w:t>” means any adjustment to taxable income under Section 482 of the Code and U.S. Treasury regulations thereunder.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Separate Tax Return</w:t>
      </w:r>
      <w:r>
        <w:rPr>
          <w:rFonts w:ascii="Arial" w:cs="Arial" w:eastAsia="Arial" w:hAnsi="Arial"/>
          <w:sz w:val="18"/>
          <w:szCs w:val="18"/>
          <w:color w:val="auto"/>
        </w:rPr>
        <w:t>” means any (i) RGHI Separate Tax Return, (ii) RGHL Separate Tax Return or (iii) RCPI Separate Tax Return.</w:t>
      </w:r>
    </w:p>
    <w:p>
      <w:pPr>
        <w:spacing w:after="0" w:line="225"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(and the correlative meaning, “</w:t>
      </w:r>
      <w:r>
        <w:rPr>
          <w:rFonts w:ascii="Arial" w:cs="Arial" w:eastAsia="Arial" w:hAnsi="Arial"/>
          <w:sz w:val="16"/>
          <w:szCs w:val="16"/>
          <w:b w:val="1"/>
          <w:bCs w:val="1"/>
          <w:color w:val="auto"/>
        </w:rPr>
        <w:t>Taxes</w:t>
      </w:r>
      <w:r>
        <w:rPr>
          <w:rFonts w:ascii="Arial" w:cs="Arial" w:eastAsia="Arial" w:hAnsi="Arial"/>
          <w:sz w:val="16"/>
          <w:szCs w:val="16"/>
          <w:color w:val="auto"/>
        </w:rPr>
        <w:t>,” “</w:t>
      </w:r>
      <w:r>
        <w:rPr>
          <w:rFonts w:ascii="Arial" w:cs="Arial" w:eastAsia="Arial" w:hAnsi="Arial"/>
          <w:sz w:val="16"/>
          <w:szCs w:val="16"/>
          <w:b w:val="1"/>
          <w:bCs w:val="1"/>
          <w:color w:val="auto"/>
        </w:rPr>
        <w:t>Taxing</w:t>
      </w:r>
      <w:r>
        <w:rPr>
          <w:rFonts w:ascii="Arial" w:cs="Arial" w:eastAsia="Arial" w:hAnsi="Arial"/>
          <w:sz w:val="16"/>
          <w:szCs w:val="16"/>
          <w:color w:val="auto"/>
        </w:rPr>
        <w:t>” and “</w:t>
      </w:r>
      <w:r>
        <w:rPr>
          <w:rFonts w:ascii="Arial" w:cs="Arial" w:eastAsia="Arial" w:hAnsi="Arial"/>
          <w:sz w:val="16"/>
          <w:szCs w:val="16"/>
          <w:b w:val="1"/>
          <w:bCs w:val="1"/>
          <w:color w:val="auto"/>
        </w:rPr>
        <w:t>Taxable</w:t>
      </w:r>
      <w:r>
        <w:rPr>
          <w:rFonts w:ascii="Arial" w:cs="Arial" w:eastAsia="Arial" w:hAnsi="Arial"/>
          <w:sz w:val="16"/>
          <w:szCs w:val="16"/>
          <w:color w:val="auto"/>
        </w:rPr>
        <w:t>”) means (i) any tax, including any net income, gross income, gross receipts, recapture, alternative or add-on minimum, sales, use, business and occupation, value-added, trade, goods and services, ad valorem, franchise, profits, net wealth, license, business royalty, withholding, payroll, employment, capital, excise, transfer, recording, severance, stamp, occupation, premium, property, asset, real estate acquisition, environmental, custom duty, impost, obligation, assessment, levy, tariff or other tax, governmental fee or other like assessment or charge of any kind whatsoever (including, but not limited to, any Escheat Payment), together with any interest and any penalty, addition to tax or additional amount imposed by a Taxing Authority; or (ii) any liability of any member of the RGHL Group or the RCPI Group for the payment of any amounts described in clause (i) as a result of any express or implied obligation to indemnify any other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Arbiter</w:t>
      </w:r>
      <w:r>
        <w:rPr>
          <w:rFonts w:ascii="Arial" w:cs="Arial" w:eastAsia="Arial" w:hAnsi="Arial"/>
          <w:sz w:val="18"/>
          <w:szCs w:val="18"/>
          <w:color w:val="auto"/>
        </w:rPr>
        <w:t>” has the meaning set forth in Section 16.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561" w:name="page562"/>
    <w:bookmarkEnd w:id="561"/>
    <w:p>
      <w:pPr>
        <w:ind w:right="16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Tax Attribute</w:t>
      </w:r>
      <w:r>
        <w:rPr>
          <w:rFonts w:ascii="Arial" w:cs="Arial" w:eastAsia="Arial" w:hAnsi="Arial"/>
          <w:sz w:val="17"/>
          <w:szCs w:val="17"/>
          <w:color w:val="auto"/>
        </w:rPr>
        <w:t>” means a net operating loss, net capital loss, unused investment credit, unused foreign tax credit, excess charitable contribution, unused general business credit, alternative minimum tax credit or any other Tax Item that could reduce a Tax liability.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w:t>
      </w:r>
      <w:r>
        <w:rPr>
          <w:rFonts w:ascii="Arial" w:cs="Arial" w:eastAsia="Arial" w:hAnsi="Arial"/>
          <w:sz w:val="18"/>
          <w:szCs w:val="18"/>
          <w:color w:val="auto"/>
        </w:rPr>
        <w:t>” means any refund, credit, offset or other reduction in otherwise required Tax payments.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 Recipien</w:t>
      </w:r>
      <w:r>
        <w:rPr>
          <w:rFonts w:ascii="Arial" w:cs="Arial" w:eastAsia="Arial" w:hAnsi="Arial"/>
          <w:sz w:val="18"/>
          <w:szCs w:val="18"/>
          <w:color w:val="auto"/>
        </w:rPr>
        <w:t>t” has the meaning set forth in Section 7(c).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Counsel</w:t>
      </w:r>
      <w:r>
        <w:rPr>
          <w:rFonts w:ascii="Arial" w:cs="Arial" w:eastAsia="Arial" w:hAnsi="Arial"/>
          <w:sz w:val="18"/>
          <w:szCs w:val="18"/>
          <w:color w:val="auto"/>
        </w:rPr>
        <w:t>” means Davis Polk &amp; Wardwell LLP.</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Item</w:t>
      </w:r>
      <w:r>
        <w:rPr>
          <w:rFonts w:ascii="Arial" w:cs="Arial" w:eastAsia="Arial" w:hAnsi="Arial"/>
          <w:sz w:val="18"/>
          <w:szCs w:val="18"/>
          <w:color w:val="auto"/>
        </w:rPr>
        <w:t>” means any item of income, gain, loss, deduction, credit, recapture of credit or any other item that can increase or decrease Taxes paid or payable.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Opinion</w:t>
      </w:r>
      <w:r>
        <w:rPr>
          <w:rFonts w:ascii="Arial" w:cs="Arial" w:eastAsia="Arial" w:hAnsi="Arial"/>
          <w:sz w:val="18"/>
          <w:szCs w:val="18"/>
          <w:color w:val="auto"/>
        </w:rPr>
        <w:t>” means an opinion of Tax Counsel as to certain aspect of the Intended Tax Treatment.</w:t>
      </w:r>
    </w:p>
    <w:p>
      <w:pPr>
        <w:spacing w:after="0" w:line="225"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Proceeding</w:t>
      </w:r>
      <w:r>
        <w:rPr>
          <w:rFonts w:ascii="Arial" w:cs="Arial" w:eastAsia="Arial" w:hAnsi="Arial"/>
          <w:sz w:val="18"/>
          <w:szCs w:val="18"/>
          <w:color w:val="auto"/>
        </w:rPr>
        <w:t>” means any Tax audit, dispute, examination, contest, litigation, arbitration, action, suits, claim, cause of action, review, inquiry, assessment, hearing, complaint, demand, investigation or proceeding (whether administrative, judicial or contractual).</w:t>
      </w:r>
    </w:p>
    <w:p>
      <w:pPr>
        <w:spacing w:after="0" w:line="16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Representation Letters</w:t>
      </w:r>
      <w:r>
        <w:rPr>
          <w:rFonts w:ascii="Arial" w:cs="Arial" w:eastAsia="Arial" w:hAnsi="Arial"/>
          <w:sz w:val="18"/>
          <w:szCs w:val="18"/>
          <w:color w:val="auto"/>
        </w:rPr>
        <w:t>” means the representations provided by each of (i) RGHL (on behalf of itself and the RGHL Group), (ii) RCPI (on behalf of itself and the RCPI Group) and (iii) Mr. Graeme Hart (on behalf of himself, PFL and any Affiliate of Mr. Graeme Hart or PFL) to Tax Counsel in connection with the rendering by Tax Counsel of the Tax Opinion.</w:t>
      </w:r>
    </w:p>
    <w:p>
      <w:pPr>
        <w:spacing w:after="0" w:line="176"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Tax return, statement, report, form, election, bill, certificate, claim or surrender (including estimated Tax returns and reports, extension requests and forms, and information returns and reports), or statement or other document or written information filed or required to be filed with any Taxing Authority, including any amendment thereof, appendix, schedule or attachment thereto.</w:t>
      </w:r>
    </w:p>
    <w:p>
      <w:pPr>
        <w:spacing w:after="0" w:line="158" w:lineRule="exact"/>
        <w:rPr>
          <w:sz w:val="20"/>
          <w:szCs w:val="20"/>
          <w:color w:val="auto"/>
        </w:rPr>
      </w:pPr>
    </w:p>
    <w:p>
      <w:pPr>
        <w:ind w:right="2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Taxing Authority</w:t>
      </w:r>
      <w:r>
        <w:rPr>
          <w:rFonts w:ascii="Arial" w:cs="Arial" w:eastAsia="Arial" w:hAnsi="Arial"/>
          <w:sz w:val="16"/>
          <w:szCs w:val="16"/>
          <w:color w:val="auto"/>
        </w:rPr>
        <w:t>” means any Governmental Authority (domestic or foreign), including, without limitation, any state, municipality, political subdivision or governmental agency, responsible for the imposition, assessment, administration, collection, enforcement or determination of any Tax.</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Implementation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Transaction Implementation Agreement (and documents referred to therein), Registration Rights Agreement, Stockholders Agreement and the Continuing Arrangements.</w:t>
      </w:r>
    </w:p>
    <w:p>
      <w:pPr>
        <w:spacing w:after="0" w:line="58" w:lineRule="exact"/>
        <w:rPr>
          <w:sz w:val="20"/>
          <w:szCs w:val="20"/>
          <w:color w:val="auto"/>
        </w:rPr>
      </w:pPr>
    </w:p>
    <w:p>
      <w:pPr>
        <w:ind w:firstLine="444"/>
        <w:spacing w:after="0" w:line="264" w:lineRule="auto"/>
        <w:tabs>
          <w:tab w:leader="none" w:pos="69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term used in this Agreement which is not defined in this Agreement shall, to the extent the context requires, have the meaning assigned to it in the Code or the applicable Treasury Regulations thereunder (as interpreted in administrative pronouncements and judicial decisions) or in comparable provisions of Applicable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562" w:name="page563"/>
    <w:bookmarkEnd w:id="562"/>
    <w:p>
      <w:pPr>
        <w:ind w:right="8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7"/>
          <w:szCs w:val="17"/>
          <w:i w:val="1"/>
          <w:iCs w:val="1"/>
          <w:color w:val="auto"/>
        </w:rPr>
        <w:t>Sole Tax Sharing Agreement.</w:t>
      </w:r>
      <w:r>
        <w:rPr>
          <w:rFonts w:ascii="Arial" w:cs="Arial" w:eastAsia="Arial" w:hAnsi="Arial"/>
          <w:sz w:val="17"/>
          <w:szCs w:val="17"/>
          <w:color w:val="auto"/>
        </w:rPr>
        <w:t xml:space="preserve"> Any and all existing Tax sharing agreements or arrangements, written or unwritten, between any member of the RGHL Group, on the one hand, and any member of the RCPI Group, on the other hand, if not previously terminated, shall be terminated as of the Distribution Date without any further action by the parties thereto. Following the Distribution Date, no member of the RCPI Group or the RGHL Group shall have any further rights or liabilities thereunder, this Agreement shall be the sole Tax sharing agreement between the members of the RCPI Group on the one hand, and the members of the RGHL Group, on the other hand; provided, however, that this Section 2 shall not apply to agreements entered into in the ordinary course of business the primary subject matter of which is not related to Taxes.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Allocation of Taxes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7" w:lineRule="auto"/>
        <w:tabs>
          <w:tab w:leader="none" w:pos="685" w:val="left"/>
        </w:tabs>
        <w:numPr>
          <w:ilvl w:val="0"/>
          <w:numId w:val="479"/>
        </w:numPr>
        <w:rPr>
          <w:rFonts w:ascii="Arial" w:cs="Arial" w:eastAsia="Arial" w:hAnsi="Arial"/>
          <w:sz w:val="18"/>
          <w:szCs w:val="18"/>
          <w:color w:val="auto"/>
        </w:rPr>
      </w:pPr>
      <w:r>
        <w:rPr>
          <w:rFonts w:ascii="Arial" w:cs="Arial" w:eastAsia="Arial" w:hAnsi="Arial"/>
          <w:sz w:val="18"/>
          <w:szCs w:val="18"/>
          <w:i w:val="1"/>
          <w:iCs w:val="1"/>
          <w:color w:val="auto"/>
        </w:rPr>
        <w:t>General Allocation Principles</w:t>
      </w:r>
      <w:r>
        <w:rPr>
          <w:rFonts w:ascii="Arial" w:cs="Arial" w:eastAsia="Arial" w:hAnsi="Arial"/>
          <w:sz w:val="18"/>
          <w:szCs w:val="18"/>
          <w:color w:val="auto"/>
        </w:rPr>
        <w:t>. This Section 3 shall govern the allocation of taxes for purposes of Sections 4, 7 and 9 of this Agreement.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in Section 3(b) all Taxes shall be allocated as follows:</w:t>
      </w:r>
    </w:p>
    <w:p>
      <w:pPr>
        <w:spacing w:after="0" w:line="62" w:lineRule="exact"/>
        <w:rPr>
          <w:rFonts w:ascii="Arial" w:cs="Arial" w:eastAsia="Arial" w:hAnsi="Arial"/>
          <w:sz w:val="18"/>
          <w:szCs w:val="18"/>
          <w:color w:val="auto"/>
        </w:rPr>
      </w:pPr>
    </w:p>
    <w:p>
      <w:pPr>
        <w:ind w:left="1220" w:hanging="224"/>
        <w:spacing w:after="0"/>
        <w:tabs>
          <w:tab w:leader="none" w:pos="1220" w:val="left"/>
        </w:tabs>
        <w:numPr>
          <w:ilvl w:val="1"/>
          <w:numId w:val="479"/>
        </w:numPr>
        <w:rPr>
          <w:rFonts w:ascii="Arial" w:cs="Arial" w:eastAsia="Arial" w:hAnsi="Arial"/>
          <w:sz w:val="18"/>
          <w:szCs w:val="18"/>
          <w:color w:val="auto"/>
        </w:rPr>
      </w:pPr>
      <w:r>
        <w:rPr>
          <w:rFonts w:ascii="Arial" w:cs="Arial" w:eastAsia="Arial" w:hAnsi="Arial"/>
          <w:sz w:val="18"/>
          <w:szCs w:val="18"/>
          <w:i w:val="1"/>
          <w:iCs w:val="1"/>
          <w:color w:val="auto"/>
        </w:rPr>
        <w:t>Allocation of Taxes Reflected on Combined Tax Returns.</w:t>
      </w:r>
    </w:p>
    <w:p>
      <w:pPr>
        <w:spacing w:after="0" w:line="117" w:lineRule="exact"/>
        <w:rPr>
          <w:rFonts w:ascii="Arial" w:cs="Arial" w:eastAsia="Arial" w:hAnsi="Arial"/>
          <w:sz w:val="18"/>
          <w:szCs w:val="18"/>
          <w:color w:val="auto"/>
        </w:rPr>
      </w:pPr>
    </w:p>
    <w:p>
      <w:pPr>
        <w:ind w:left="1000" w:right="100" w:firstLine="397"/>
        <w:spacing w:after="0" w:line="264" w:lineRule="auto"/>
        <w:tabs>
          <w:tab w:leader="none" w:pos="1696" w:val="left"/>
        </w:tabs>
        <w:numPr>
          <w:ilvl w:val="2"/>
          <w:numId w:val="479"/>
        </w:numPr>
        <w:rPr>
          <w:rFonts w:ascii="Arial" w:cs="Arial" w:eastAsia="Arial" w:hAnsi="Arial"/>
          <w:sz w:val="18"/>
          <w:szCs w:val="18"/>
          <w:color w:val="auto"/>
        </w:rPr>
      </w:pPr>
      <w:r>
        <w:rPr>
          <w:rFonts w:ascii="Arial" w:cs="Arial" w:eastAsia="Arial" w:hAnsi="Arial"/>
          <w:sz w:val="18"/>
          <w:szCs w:val="18"/>
          <w:u w:val="single" w:color="auto"/>
          <w:color w:val="auto"/>
        </w:rPr>
        <w:t>Pre-Distribution Combined Taxes</w:t>
      </w:r>
      <w:r>
        <w:rPr>
          <w:rFonts w:ascii="Arial" w:cs="Arial" w:eastAsia="Arial" w:hAnsi="Arial"/>
          <w:sz w:val="18"/>
          <w:szCs w:val="18"/>
          <w:color w:val="auto"/>
        </w:rPr>
        <w:t>. RGHI shall be allocated all Taxes required to be reported on any Combined Tax Return (RGHI) for any Pre-Distribution Period. RGHL shall be allocated all Taxes required to be reported on any Combined Tax Return (RGHL) for any Pre-Distribution Period.</w:t>
      </w:r>
    </w:p>
    <w:p>
      <w:pPr>
        <w:spacing w:after="0" w:line="73" w:lineRule="exact"/>
        <w:rPr>
          <w:rFonts w:ascii="Arial" w:cs="Arial" w:eastAsia="Arial" w:hAnsi="Arial"/>
          <w:sz w:val="18"/>
          <w:szCs w:val="18"/>
          <w:color w:val="auto"/>
        </w:rPr>
      </w:pPr>
    </w:p>
    <w:p>
      <w:pPr>
        <w:ind w:left="1680" w:hanging="283"/>
        <w:spacing w:after="0"/>
        <w:tabs>
          <w:tab w:leader="none" w:pos="1680" w:val="left"/>
        </w:tabs>
        <w:numPr>
          <w:ilvl w:val="2"/>
          <w:numId w:val="479"/>
        </w:numPr>
        <w:rPr>
          <w:rFonts w:ascii="Arial" w:cs="Arial" w:eastAsia="Arial" w:hAnsi="Arial"/>
          <w:sz w:val="18"/>
          <w:szCs w:val="18"/>
          <w:color w:val="auto"/>
        </w:rPr>
      </w:pPr>
      <w:r>
        <w:rPr>
          <w:rFonts w:ascii="Arial" w:cs="Arial" w:eastAsia="Arial" w:hAnsi="Arial"/>
          <w:sz w:val="18"/>
          <w:szCs w:val="18"/>
          <w:u w:val="single" w:color="auto"/>
          <w:color w:val="auto"/>
        </w:rPr>
        <w:t>Post-Distribution Combined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40" w:right="160" w:firstLine="380"/>
        <w:spacing w:after="0" w:line="312" w:lineRule="auto"/>
        <w:tabs>
          <w:tab w:leader="none" w:pos="2078" w:val="left"/>
        </w:tabs>
        <w:numPr>
          <w:ilvl w:val="4"/>
          <w:numId w:val="479"/>
        </w:numPr>
        <w:rPr>
          <w:rFonts w:ascii="Arial" w:cs="Arial" w:eastAsia="Arial" w:hAnsi="Arial"/>
          <w:sz w:val="16"/>
          <w:szCs w:val="16"/>
          <w:color w:val="auto"/>
        </w:rPr>
      </w:pPr>
      <w:r>
        <w:rPr>
          <w:rFonts w:ascii="Arial" w:cs="Arial" w:eastAsia="Arial" w:hAnsi="Arial"/>
          <w:sz w:val="16"/>
          <w:szCs w:val="16"/>
          <w:color w:val="auto"/>
        </w:rPr>
        <w:t>RGHI shall be allocated all Taxes reported, or required to be reported, on any Combined Tax Return (RGHI) for any Post-Distribution Period and RGHL shall be allocated all Taxes reported, or required to be reported, on any Combined Tax Return (RGHL) for any Post-Distribution Period, in each case other than those Taxes described in Section 3(a)(i)(B)(2) below.</w:t>
      </w:r>
    </w:p>
    <w:p>
      <w:pPr>
        <w:spacing w:after="0" w:line="38" w:lineRule="exact"/>
        <w:rPr>
          <w:rFonts w:ascii="Arial" w:cs="Arial" w:eastAsia="Arial" w:hAnsi="Arial"/>
          <w:sz w:val="16"/>
          <w:szCs w:val="16"/>
          <w:color w:val="auto"/>
        </w:rPr>
      </w:pPr>
    </w:p>
    <w:p>
      <w:pPr>
        <w:ind w:left="1440" w:right="140" w:firstLine="380"/>
        <w:spacing w:after="0" w:line="288" w:lineRule="auto"/>
        <w:tabs>
          <w:tab w:leader="none" w:pos="2078" w:val="left"/>
        </w:tabs>
        <w:numPr>
          <w:ilvl w:val="4"/>
          <w:numId w:val="479"/>
        </w:numPr>
        <w:rPr>
          <w:rFonts w:ascii="Arial" w:cs="Arial" w:eastAsia="Arial" w:hAnsi="Arial"/>
          <w:sz w:val="16"/>
          <w:szCs w:val="16"/>
          <w:color w:val="auto"/>
        </w:rPr>
      </w:pPr>
      <w:r>
        <w:rPr>
          <w:rFonts w:ascii="Arial" w:cs="Arial" w:eastAsia="Arial" w:hAnsi="Arial"/>
          <w:sz w:val="16"/>
          <w:szCs w:val="16"/>
          <w:color w:val="auto"/>
        </w:rPr>
        <w:t>RCPI shall be allocated all Taxes reported, or required to be reported, on any Combined Tax Return that are attributable to the RCPI Group or the Consumer Business, as reasonably determined by RGHL on a pro forma RCPI Group consolidated return prepared (A) including only Tax Items of members of the RCPI Group that were included in the relevant Combined Tax Return,</w:t>
      </w:r>
    </w:p>
    <w:p>
      <w:pPr>
        <w:ind w:left="1440" w:right="220" w:hanging="4"/>
        <w:spacing w:after="0" w:line="281" w:lineRule="auto"/>
        <w:tabs>
          <w:tab w:leader="none" w:pos="1725" w:val="left"/>
        </w:tabs>
        <w:numPr>
          <w:ilvl w:val="3"/>
          <w:numId w:val="479"/>
        </w:numPr>
        <w:rPr>
          <w:rFonts w:ascii="Arial" w:cs="Arial" w:eastAsia="Arial" w:hAnsi="Arial"/>
          <w:sz w:val="16"/>
          <w:szCs w:val="16"/>
          <w:color w:val="auto"/>
        </w:rPr>
      </w:pPr>
      <w:r>
        <w:rPr>
          <w:rFonts w:ascii="Arial" w:cs="Arial" w:eastAsia="Arial" w:hAnsi="Arial"/>
          <w:sz w:val="16"/>
          <w:szCs w:val="16"/>
          <w:color w:val="auto"/>
        </w:rPr>
        <w:t>except as provided in (D) hereof, using all elections, accounting methods and conventions used on the relevant Combined Tax Return for such period, (C) applying the highest statutory marginal corporate income Tax rate in effect for such period and</w:t>
      </w:r>
    </w:p>
    <w:p>
      <w:pPr>
        <w:spacing w:after="0" w:line="1" w:lineRule="exact"/>
        <w:rPr>
          <w:rFonts w:ascii="Arial" w:cs="Arial" w:eastAsia="Arial" w:hAnsi="Arial"/>
          <w:sz w:val="16"/>
          <w:szCs w:val="16"/>
          <w:color w:val="auto"/>
        </w:rPr>
      </w:pPr>
    </w:p>
    <w:p>
      <w:pPr>
        <w:ind w:left="1740" w:hanging="304"/>
        <w:spacing w:after="0"/>
        <w:tabs>
          <w:tab w:leader="none" w:pos="1740" w:val="left"/>
        </w:tabs>
        <w:numPr>
          <w:ilvl w:val="3"/>
          <w:numId w:val="480"/>
        </w:numPr>
        <w:rPr>
          <w:rFonts w:ascii="Arial" w:cs="Arial" w:eastAsia="Arial" w:hAnsi="Arial"/>
          <w:sz w:val="18"/>
          <w:szCs w:val="18"/>
          <w:color w:val="auto"/>
        </w:rPr>
      </w:pPr>
      <w:r>
        <w:rPr>
          <w:rFonts w:ascii="Arial" w:cs="Arial" w:eastAsia="Arial" w:hAnsi="Arial"/>
          <w:sz w:val="18"/>
          <w:szCs w:val="18"/>
          <w:color w:val="auto"/>
        </w:rPr>
        <w:t>assuming that the RCPI Group elects not to carry back any net operating losses.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563" w:name="page564"/>
    <w:bookmarkEnd w:id="563"/>
    <w:p>
      <w:pPr>
        <w:ind w:left="1200" w:hanging="264"/>
        <w:spacing w:after="0"/>
        <w:tabs>
          <w:tab w:leader="none" w:pos="1200" w:val="left"/>
        </w:tabs>
        <w:numPr>
          <w:ilvl w:val="1"/>
          <w:numId w:val="48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Allocation of Taxes Reflected on Separate 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hanging="303"/>
        <w:spacing w:after="0"/>
        <w:tabs>
          <w:tab w:leader="none" w:pos="1640" w:val="left"/>
        </w:tabs>
        <w:numPr>
          <w:ilvl w:val="2"/>
          <w:numId w:val="481"/>
        </w:numPr>
        <w:rPr>
          <w:rFonts w:ascii="Arial" w:cs="Arial" w:eastAsia="Arial" w:hAnsi="Arial"/>
          <w:sz w:val="16"/>
          <w:szCs w:val="16"/>
          <w:color w:val="auto"/>
        </w:rPr>
      </w:pPr>
      <w:r>
        <w:rPr>
          <w:rFonts w:ascii="Arial" w:cs="Arial" w:eastAsia="Arial" w:hAnsi="Arial"/>
          <w:sz w:val="16"/>
          <w:szCs w:val="16"/>
          <w:u w:val="single" w:color="auto"/>
          <w:color w:val="auto"/>
        </w:rPr>
        <w:t>RGHI Separate Tax Returns</w:t>
      </w:r>
      <w:r>
        <w:rPr>
          <w:rFonts w:ascii="Arial" w:cs="Arial" w:eastAsia="Arial" w:hAnsi="Arial"/>
          <w:sz w:val="16"/>
          <w:szCs w:val="16"/>
          <w:color w:val="auto"/>
        </w:rPr>
        <w:t>. RGHI shall be allocated all Taxes reported, or required to be reported, on an RGHI Separate Tax</w:t>
      </w:r>
    </w:p>
    <w:p>
      <w:pPr>
        <w:spacing w:after="0" w:line="4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Return.</w:t>
      </w:r>
    </w:p>
    <w:p>
      <w:pPr>
        <w:spacing w:after="0" w:line="102" w:lineRule="exact"/>
        <w:rPr>
          <w:rFonts w:ascii="Arial" w:cs="Arial" w:eastAsia="Arial" w:hAnsi="Arial"/>
          <w:sz w:val="16"/>
          <w:szCs w:val="16"/>
          <w:color w:val="auto"/>
        </w:rPr>
      </w:pPr>
    </w:p>
    <w:p>
      <w:pPr>
        <w:ind w:left="1620" w:hanging="283"/>
        <w:spacing w:after="0"/>
        <w:tabs>
          <w:tab w:leader="none" w:pos="1620" w:val="left"/>
        </w:tabs>
        <w:numPr>
          <w:ilvl w:val="2"/>
          <w:numId w:val="481"/>
        </w:numPr>
        <w:rPr>
          <w:rFonts w:ascii="Arial" w:cs="Arial" w:eastAsia="Arial" w:hAnsi="Arial"/>
          <w:sz w:val="16"/>
          <w:szCs w:val="16"/>
          <w:color w:val="auto"/>
        </w:rPr>
      </w:pPr>
      <w:r>
        <w:rPr>
          <w:rFonts w:ascii="Arial" w:cs="Arial" w:eastAsia="Arial" w:hAnsi="Arial"/>
          <w:sz w:val="16"/>
          <w:szCs w:val="16"/>
          <w:u w:val="single" w:color="auto"/>
          <w:color w:val="auto"/>
        </w:rPr>
        <w:t>RGHL Separate Tax Returns</w:t>
      </w:r>
      <w:r>
        <w:rPr>
          <w:rFonts w:ascii="Arial" w:cs="Arial" w:eastAsia="Arial" w:hAnsi="Arial"/>
          <w:sz w:val="16"/>
          <w:szCs w:val="16"/>
          <w:color w:val="auto"/>
        </w:rPr>
        <w:t>. RGHL shall be allocated all Taxes reported, or required to be reported, on an RGHL Separate Tax</w:t>
      </w:r>
    </w:p>
    <w:p>
      <w:pPr>
        <w:spacing w:after="0" w:line="4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Return.</w:t>
      </w:r>
    </w:p>
    <w:p>
      <w:pPr>
        <w:spacing w:after="0" w:line="102" w:lineRule="exact"/>
        <w:rPr>
          <w:rFonts w:ascii="Arial" w:cs="Arial" w:eastAsia="Arial" w:hAnsi="Arial"/>
          <w:sz w:val="16"/>
          <w:szCs w:val="16"/>
          <w:color w:val="auto"/>
        </w:rPr>
      </w:pPr>
    </w:p>
    <w:p>
      <w:pPr>
        <w:ind w:left="940" w:right="300" w:firstLine="397"/>
        <w:spacing w:after="0" w:line="264" w:lineRule="auto"/>
        <w:tabs>
          <w:tab w:leader="none" w:pos="1626" w:val="left"/>
        </w:tabs>
        <w:numPr>
          <w:ilvl w:val="2"/>
          <w:numId w:val="481"/>
        </w:numPr>
        <w:rPr>
          <w:rFonts w:ascii="Arial" w:cs="Arial" w:eastAsia="Arial" w:hAnsi="Arial"/>
          <w:sz w:val="18"/>
          <w:szCs w:val="18"/>
          <w:color w:val="auto"/>
        </w:rPr>
      </w:pPr>
      <w:r>
        <w:rPr>
          <w:rFonts w:ascii="Arial" w:cs="Arial" w:eastAsia="Arial" w:hAnsi="Arial"/>
          <w:sz w:val="18"/>
          <w:szCs w:val="18"/>
          <w:u w:val="single" w:color="auto"/>
          <w:color w:val="auto"/>
        </w:rPr>
        <w:t>RCPI Separate Tax Returns</w:t>
      </w:r>
      <w:r>
        <w:rPr>
          <w:rFonts w:ascii="Arial" w:cs="Arial" w:eastAsia="Arial" w:hAnsi="Arial"/>
          <w:sz w:val="18"/>
          <w:szCs w:val="18"/>
          <w:color w:val="auto"/>
        </w:rPr>
        <w:t>. RGHI shall be allocated all Taxes reported, or required to be reported, on an RCPI Separate Tax Return for a Pre-Distribution Period. RCPI shall be allocated all Taxes reported, or required to be reported, on an RCPI Separate Tax Return for a Post-Distribution Period.</w:t>
      </w:r>
    </w:p>
    <w:p>
      <w:pPr>
        <w:spacing w:after="0" w:line="73" w:lineRule="exact"/>
        <w:rPr>
          <w:rFonts w:ascii="Arial" w:cs="Arial" w:eastAsia="Arial" w:hAnsi="Arial"/>
          <w:sz w:val="18"/>
          <w:szCs w:val="18"/>
          <w:color w:val="auto"/>
        </w:rPr>
      </w:pPr>
    </w:p>
    <w:p>
      <w:pPr>
        <w:ind w:left="1260" w:hanging="324"/>
        <w:spacing w:after="0"/>
        <w:tabs>
          <w:tab w:leader="none" w:pos="1260" w:val="left"/>
        </w:tabs>
        <w:numPr>
          <w:ilvl w:val="1"/>
          <w:numId w:val="481"/>
        </w:numPr>
        <w:rPr>
          <w:rFonts w:ascii="Arial" w:cs="Arial" w:eastAsia="Arial" w:hAnsi="Arial"/>
          <w:sz w:val="18"/>
          <w:szCs w:val="18"/>
          <w:color w:val="auto"/>
        </w:rPr>
      </w:pPr>
      <w:r>
        <w:rPr>
          <w:rFonts w:ascii="Arial" w:cs="Arial" w:eastAsia="Arial" w:hAnsi="Arial"/>
          <w:sz w:val="18"/>
          <w:szCs w:val="18"/>
          <w:i w:val="1"/>
          <w:iCs w:val="1"/>
          <w:color w:val="auto"/>
        </w:rPr>
        <w:t>Taxes Not Reported on 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right="40" w:firstLine="397"/>
        <w:spacing w:after="0" w:line="277" w:lineRule="auto"/>
        <w:tabs>
          <w:tab w:leader="none" w:pos="1636" w:val="left"/>
        </w:tabs>
        <w:numPr>
          <w:ilvl w:val="2"/>
          <w:numId w:val="481"/>
        </w:numPr>
        <w:rPr>
          <w:rFonts w:ascii="Arial" w:cs="Arial" w:eastAsia="Arial" w:hAnsi="Arial"/>
          <w:sz w:val="18"/>
          <w:szCs w:val="18"/>
          <w:color w:val="auto"/>
        </w:rPr>
      </w:pPr>
      <w:r>
        <w:rPr>
          <w:rFonts w:ascii="Arial" w:cs="Arial" w:eastAsia="Arial" w:hAnsi="Arial"/>
          <w:sz w:val="18"/>
          <w:szCs w:val="18"/>
          <w:u w:val="single" w:color="auto"/>
          <w:color w:val="auto"/>
        </w:rPr>
        <w:t>RGHI Taxes</w:t>
      </w:r>
      <w:r>
        <w:rPr>
          <w:rFonts w:ascii="Arial" w:cs="Arial" w:eastAsia="Arial" w:hAnsi="Arial"/>
          <w:sz w:val="18"/>
          <w:szCs w:val="18"/>
          <w:color w:val="auto"/>
        </w:rPr>
        <w:t>. RGHI shall be allocated any Tax attributable to any member of the RGHI Group that is not required to be reported on a Tax Return.</w:t>
      </w:r>
    </w:p>
    <w:p>
      <w:pPr>
        <w:spacing w:after="0" w:line="62" w:lineRule="exact"/>
        <w:rPr>
          <w:rFonts w:ascii="Arial" w:cs="Arial" w:eastAsia="Arial" w:hAnsi="Arial"/>
          <w:sz w:val="18"/>
          <w:szCs w:val="18"/>
          <w:color w:val="auto"/>
        </w:rPr>
      </w:pPr>
    </w:p>
    <w:p>
      <w:pPr>
        <w:ind w:left="940" w:right="300" w:firstLine="397"/>
        <w:spacing w:after="0" w:line="277" w:lineRule="auto"/>
        <w:tabs>
          <w:tab w:leader="none" w:pos="1626" w:val="left"/>
        </w:tabs>
        <w:numPr>
          <w:ilvl w:val="2"/>
          <w:numId w:val="481"/>
        </w:numPr>
        <w:rPr>
          <w:rFonts w:ascii="Arial" w:cs="Arial" w:eastAsia="Arial" w:hAnsi="Arial"/>
          <w:sz w:val="18"/>
          <w:szCs w:val="18"/>
          <w:color w:val="auto"/>
        </w:rPr>
      </w:pPr>
      <w:r>
        <w:rPr>
          <w:rFonts w:ascii="Arial" w:cs="Arial" w:eastAsia="Arial" w:hAnsi="Arial"/>
          <w:sz w:val="18"/>
          <w:szCs w:val="18"/>
          <w:u w:val="single" w:color="auto"/>
          <w:color w:val="auto"/>
        </w:rPr>
        <w:t>RGHL Taxes</w:t>
      </w:r>
      <w:r>
        <w:rPr>
          <w:rFonts w:ascii="Arial" w:cs="Arial" w:eastAsia="Arial" w:hAnsi="Arial"/>
          <w:sz w:val="18"/>
          <w:szCs w:val="18"/>
          <w:color w:val="auto"/>
        </w:rPr>
        <w:t>. RGHL shall be allocated any Tax attributable to any member of the RGHL Group (other than a member of the RGHI Group) that is not required to be reported on a Tax Return.</w:t>
      </w:r>
    </w:p>
    <w:p>
      <w:pPr>
        <w:spacing w:after="0" w:line="62" w:lineRule="exact"/>
        <w:rPr>
          <w:rFonts w:ascii="Arial" w:cs="Arial" w:eastAsia="Arial" w:hAnsi="Arial"/>
          <w:sz w:val="18"/>
          <w:szCs w:val="18"/>
          <w:color w:val="auto"/>
        </w:rPr>
      </w:pPr>
    </w:p>
    <w:p>
      <w:pPr>
        <w:jc w:val="both"/>
        <w:ind w:left="940" w:right="60" w:firstLine="397"/>
        <w:spacing w:after="0" w:line="264" w:lineRule="auto"/>
        <w:tabs>
          <w:tab w:leader="none" w:pos="1626" w:val="left"/>
        </w:tabs>
        <w:numPr>
          <w:ilvl w:val="2"/>
          <w:numId w:val="481"/>
        </w:numPr>
        <w:rPr>
          <w:rFonts w:ascii="Arial" w:cs="Arial" w:eastAsia="Arial" w:hAnsi="Arial"/>
          <w:sz w:val="18"/>
          <w:szCs w:val="18"/>
          <w:color w:val="auto"/>
        </w:rPr>
      </w:pPr>
      <w:r>
        <w:rPr>
          <w:rFonts w:ascii="Arial" w:cs="Arial" w:eastAsia="Arial" w:hAnsi="Arial"/>
          <w:sz w:val="18"/>
          <w:szCs w:val="18"/>
          <w:u w:val="single" w:color="auto"/>
          <w:color w:val="auto"/>
        </w:rPr>
        <w:t>RCPI Taxes</w:t>
      </w:r>
      <w:r>
        <w:rPr>
          <w:rFonts w:ascii="Arial" w:cs="Arial" w:eastAsia="Arial" w:hAnsi="Arial"/>
          <w:sz w:val="18"/>
          <w:szCs w:val="18"/>
          <w:color w:val="auto"/>
        </w:rPr>
        <w:t>. RCPI shall be allocated all Taxes for a Post-Distribution Period attributable to any member of the RCPI Group that is not required to be reported on a Tax Return. RGHI shall be allocated all Taxes for a Pre-Distribution Period attributable to any member of the RCPI Group that is not required to be reported on a Tax Return.</w:t>
      </w:r>
    </w:p>
    <w:p>
      <w:pPr>
        <w:spacing w:after="0" w:line="73" w:lineRule="exact"/>
        <w:rPr>
          <w:rFonts w:ascii="Arial" w:cs="Arial" w:eastAsia="Arial" w:hAnsi="Arial"/>
          <w:sz w:val="18"/>
          <w:szCs w:val="18"/>
          <w:color w:val="auto"/>
        </w:rPr>
      </w:pPr>
    </w:p>
    <w:p>
      <w:pPr>
        <w:ind w:left="-60" w:firstLine="444"/>
        <w:spacing w:after="0" w:line="277" w:lineRule="auto"/>
        <w:tabs>
          <w:tab w:leader="none" w:pos="635" w:val="left"/>
        </w:tabs>
        <w:numPr>
          <w:ilvl w:val="0"/>
          <w:numId w:val="482"/>
        </w:numPr>
        <w:rPr>
          <w:rFonts w:ascii="Arial" w:cs="Arial" w:eastAsia="Arial" w:hAnsi="Arial"/>
          <w:sz w:val="18"/>
          <w:szCs w:val="18"/>
          <w:color w:val="auto"/>
        </w:rPr>
      </w:pPr>
      <w:r>
        <w:rPr>
          <w:rFonts w:ascii="Arial" w:cs="Arial" w:eastAsia="Arial" w:hAnsi="Arial"/>
          <w:sz w:val="18"/>
          <w:szCs w:val="18"/>
          <w:i w:val="1"/>
          <w:iCs w:val="1"/>
          <w:color w:val="auto"/>
        </w:rPr>
        <w:t>Distribution Taxes</w:t>
      </w:r>
      <w:r>
        <w:rPr>
          <w:rFonts w:ascii="Arial" w:cs="Arial" w:eastAsia="Arial" w:hAnsi="Arial"/>
          <w:sz w:val="18"/>
          <w:szCs w:val="18"/>
          <w:color w:val="auto"/>
        </w:rPr>
        <w:t>. Notwithstanding any other provision in this Section 3, any Taxes for which RCPI is required to indemnify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RGHL Group under Section 9(a)(iii) or (iv) shall be allocated to RCPI.</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Preparation and Filing of Tax Returns</w:t>
      </w:r>
      <w:r>
        <w:rPr>
          <w:rFonts w:ascii="Arial" w:cs="Arial" w:eastAsia="Arial" w:hAnsi="Arial"/>
          <w:sz w:val="18"/>
          <w:szCs w:val="18"/>
          <w:color w:val="auto"/>
        </w:rPr>
        <w:t>.</w:t>
      </w:r>
    </w:p>
    <w:p>
      <w:pPr>
        <w:spacing w:after="0" w:line="117" w:lineRule="exact"/>
        <w:rPr>
          <w:sz w:val="20"/>
          <w:szCs w:val="20"/>
          <w:color w:val="auto"/>
        </w:rPr>
      </w:pPr>
    </w:p>
    <w:p>
      <w:pPr>
        <w:ind w:left="620" w:hanging="236"/>
        <w:spacing w:after="0"/>
        <w:tabs>
          <w:tab w:leader="none" w:pos="620" w:val="left"/>
        </w:tabs>
        <w:numPr>
          <w:ilvl w:val="0"/>
          <w:numId w:val="483"/>
        </w:numPr>
        <w:rPr>
          <w:rFonts w:ascii="Arial" w:cs="Arial" w:eastAsia="Arial" w:hAnsi="Arial"/>
          <w:sz w:val="18"/>
          <w:szCs w:val="18"/>
          <w:color w:val="auto"/>
        </w:rPr>
      </w:pPr>
      <w:r>
        <w:rPr>
          <w:rFonts w:ascii="Arial" w:cs="Arial" w:eastAsia="Arial" w:hAnsi="Arial"/>
          <w:sz w:val="18"/>
          <w:szCs w:val="18"/>
          <w:i w:val="1"/>
          <w:iCs w:val="1"/>
          <w:color w:val="auto"/>
        </w:rPr>
        <w:t>Responsibility for Preparing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80" w:right="240" w:firstLine="428"/>
        <w:spacing w:after="0" w:line="277" w:lineRule="auto"/>
        <w:tabs>
          <w:tab w:leader="none" w:pos="1018" w:val="left"/>
        </w:tabs>
        <w:numPr>
          <w:ilvl w:val="1"/>
          <w:numId w:val="483"/>
        </w:numPr>
        <w:rPr>
          <w:rFonts w:ascii="Arial" w:cs="Arial" w:eastAsia="Arial" w:hAnsi="Arial"/>
          <w:sz w:val="18"/>
          <w:szCs w:val="18"/>
          <w:color w:val="auto"/>
        </w:rPr>
      </w:pPr>
      <w:r>
        <w:rPr>
          <w:rFonts w:ascii="Arial" w:cs="Arial" w:eastAsia="Arial" w:hAnsi="Arial"/>
          <w:sz w:val="18"/>
          <w:szCs w:val="18"/>
          <w:i w:val="1"/>
          <w:iCs w:val="1"/>
          <w:color w:val="auto"/>
        </w:rPr>
        <w:t xml:space="preserve">RGHL Prepared Returns. </w:t>
      </w:r>
      <w:r>
        <w:rPr>
          <w:rFonts w:ascii="Arial" w:cs="Arial" w:eastAsia="Arial" w:hAnsi="Arial"/>
          <w:sz w:val="18"/>
          <w:szCs w:val="18"/>
          <w:color w:val="auto"/>
        </w:rPr>
        <w:t>The RGHL Group shall prepare, or cause to be prepared, all (i) Combined Tax Returns, (ii) RGHL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Tax Returns, (iii) RGHI Separate Tax Returns and (iv) RCPI Separate Tax Returns for Pre-Distribution Periods.</w:t>
      </w:r>
    </w:p>
    <w:p>
      <w:pPr>
        <w:spacing w:after="0" w:line="62" w:lineRule="exact"/>
        <w:rPr>
          <w:rFonts w:ascii="Arial" w:cs="Arial" w:eastAsia="Arial" w:hAnsi="Arial"/>
          <w:sz w:val="18"/>
          <w:szCs w:val="18"/>
          <w:color w:val="auto"/>
        </w:rPr>
      </w:pPr>
    </w:p>
    <w:p>
      <w:pPr>
        <w:ind w:left="1080" w:hanging="272"/>
        <w:spacing w:after="0"/>
        <w:tabs>
          <w:tab w:leader="none" w:pos="1080" w:val="left"/>
        </w:tabs>
        <w:numPr>
          <w:ilvl w:val="1"/>
          <w:numId w:val="483"/>
        </w:numPr>
        <w:rPr>
          <w:rFonts w:ascii="Arial" w:cs="Arial" w:eastAsia="Arial" w:hAnsi="Arial"/>
          <w:sz w:val="16"/>
          <w:szCs w:val="16"/>
          <w:color w:val="auto"/>
        </w:rPr>
      </w:pPr>
      <w:r>
        <w:rPr>
          <w:rFonts w:ascii="Arial" w:cs="Arial" w:eastAsia="Arial" w:hAnsi="Arial"/>
          <w:sz w:val="16"/>
          <w:szCs w:val="16"/>
          <w:i w:val="1"/>
          <w:iCs w:val="1"/>
          <w:color w:val="auto"/>
        </w:rPr>
        <w:t>RCPI Prepared Returns</w:t>
      </w:r>
      <w:r>
        <w:rPr>
          <w:rFonts w:ascii="Arial" w:cs="Arial" w:eastAsia="Arial" w:hAnsi="Arial"/>
          <w:sz w:val="16"/>
          <w:szCs w:val="16"/>
          <w:color w:val="auto"/>
        </w:rPr>
        <w:t>. RCPI shall prepare, or cause to be prepared, all RCPI Separate Tax Returns for Post-Distribution Periods.</w:t>
      </w:r>
    </w:p>
    <w:p>
      <w:pPr>
        <w:spacing w:after="0" w:line="140" w:lineRule="exact"/>
        <w:rPr>
          <w:rFonts w:ascii="Arial" w:cs="Arial" w:eastAsia="Arial" w:hAnsi="Arial"/>
          <w:sz w:val="16"/>
          <w:szCs w:val="16"/>
          <w:color w:val="auto"/>
        </w:rPr>
      </w:pPr>
    </w:p>
    <w:p>
      <w:pPr>
        <w:ind w:left="640" w:hanging="256"/>
        <w:spacing w:after="0"/>
        <w:tabs>
          <w:tab w:leader="none" w:pos="640" w:val="left"/>
        </w:tabs>
        <w:numPr>
          <w:ilvl w:val="0"/>
          <w:numId w:val="483"/>
        </w:numPr>
        <w:rPr>
          <w:rFonts w:ascii="Arial" w:cs="Arial" w:eastAsia="Arial" w:hAnsi="Arial"/>
          <w:sz w:val="18"/>
          <w:szCs w:val="18"/>
          <w:color w:val="auto"/>
        </w:rPr>
      </w:pPr>
      <w:r>
        <w:rPr>
          <w:rFonts w:ascii="Arial" w:cs="Arial" w:eastAsia="Arial" w:hAnsi="Arial"/>
          <w:sz w:val="18"/>
          <w:szCs w:val="18"/>
          <w:i w:val="1"/>
          <w:iCs w:val="1"/>
          <w:color w:val="auto"/>
        </w:rPr>
        <w:t>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80" w:right="60" w:firstLine="428"/>
        <w:spacing w:after="0" w:line="264" w:lineRule="auto"/>
        <w:tabs>
          <w:tab w:leader="none" w:pos="1018" w:val="left"/>
        </w:tabs>
        <w:numPr>
          <w:ilvl w:val="1"/>
          <w:numId w:val="483"/>
        </w:numPr>
        <w:rPr>
          <w:rFonts w:ascii="Arial" w:cs="Arial" w:eastAsia="Arial" w:hAnsi="Arial"/>
          <w:sz w:val="18"/>
          <w:szCs w:val="18"/>
          <w:color w:val="auto"/>
        </w:rPr>
      </w:pPr>
      <w:r>
        <w:rPr>
          <w:rFonts w:ascii="Arial" w:cs="Arial" w:eastAsia="Arial" w:hAnsi="Arial"/>
          <w:sz w:val="18"/>
          <w:szCs w:val="18"/>
          <w:i w:val="1"/>
          <w:iCs w:val="1"/>
          <w:color w:val="auto"/>
        </w:rPr>
        <w:t xml:space="preserve">Determination of Responsible Party. </w:t>
      </w:r>
      <w:r>
        <w:rPr>
          <w:rFonts w:ascii="Arial" w:cs="Arial" w:eastAsia="Arial" w:hAnsi="Arial"/>
          <w:sz w:val="18"/>
          <w:szCs w:val="18"/>
          <w:color w:val="auto"/>
        </w:rPr>
        <w:t>RGHL, in consultation with RCPI, shall determine (A) whether a Combined Tax Return is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filed under Applicable Law and (B) the Person required to file any Combined Tax Return or Separate Tax Return under Applicable Law. To the extent permitted by law, such determination shall be consistent with past practice.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500" w:top="274" w:right="499" w:bottom="1440" w:gutter="0" w:footer="0" w:header="0"/>
        </w:sectPr>
      </w:pPr>
    </w:p>
    <w:bookmarkStart w:id="564" w:name="page565"/>
    <w:bookmarkEnd w:id="564"/>
    <w:p>
      <w:pPr>
        <w:jc w:val="both"/>
        <w:ind w:right="240" w:firstLine="428"/>
        <w:spacing w:after="0" w:line="302" w:lineRule="auto"/>
        <w:tabs>
          <w:tab w:leader="none" w:pos="688" w:val="left"/>
        </w:tabs>
        <w:numPr>
          <w:ilvl w:val="1"/>
          <w:numId w:val="4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Provision of Information. </w:t>
      </w:r>
      <w:r>
        <w:rPr>
          <w:rFonts w:ascii="Arial" w:cs="Arial" w:eastAsia="Arial" w:hAnsi="Arial"/>
          <w:sz w:val="16"/>
          <w:szCs w:val="16"/>
          <w:color w:val="auto"/>
        </w:rPr>
        <w:t>RCPI shall maintain (or cause to be maintained) all information relating to the RCPI Group necessary for</w:t>
      </w:r>
      <w:r>
        <w:rPr>
          <w:rFonts w:ascii="Arial" w:cs="Arial" w:eastAsia="Arial" w:hAnsi="Arial"/>
          <w:sz w:val="16"/>
          <w:szCs w:val="16"/>
          <w:i w:val="1"/>
          <w:iCs w:val="1"/>
          <w:color w:val="auto"/>
        </w:rPr>
        <w:t xml:space="preserve"> </w:t>
      </w:r>
      <w:r>
        <w:rPr>
          <w:rFonts w:ascii="Arial" w:cs="Arial" w:eastAsia="Arial" w:hAnsi="Arial"/>
          <w:sz w:val="16"/>
          <w:szCs w:val="16"/>
          <w:color w:val="auto"/>
        </w:rPr>
        <w:t>RGHL to prepare (or cause to be prepared) any Tax Return that RGHL is responsible for preparing under Section 4(a)(i) and shall provide to RGHL all such information. RGHL shall maintain (or cause to be maintained) all information relating to the RGHL Group that is necessary for RCPI to prepare any Tax Return that RCPI is responsible for preparing under Section 4(a)(ii) and shall provide to RCPI all such information.</w:t>
      </w:r>
    </w:p>
    <w:p>
      <w:pPr>
        <w:spacing w:after="0" w:line="46" w:lineRule="exact"/>
        <w:rPr>
          <w:rFonts w:ascii="Arial" w:cs="Arial" w:eastAsia="Arial" w:hAnsi="Arial"/>
          <w:sz w:val="16"/>
          <w:szCs w:val="16"/>
          <w:color w:val="auto"/>
        </w:rPr>
      </w:pPr>
    </w:p>
    <w:p>
      <w:pPr>
        <w:ind w:firstLine="428"/>
        <w:spacing w:after="0" w:line="293" w:lineRule="auto"/>
        <w:tabs>
          <w:tab w:leader="none" w:pos="738" w:val="left"/>
        </w:tabs>
        <w:numPr>
          <w:ilvl w:val="1"/>
          <w:numId w:val="484"/>
        </w:numPr>
        <w:rPr>
          <w:rFonts w:ascii="Arial" w:cs="Arial" w:eastAsia="Arial" w:hAnsi="Arial"/>
          <w:sz w:val="16"/>
          <w:szCs w:val="16"/>
          <w:color w:val="auto"/>
        </w:rPr>
      </w:pPr>
      <w:r>
        <w:rPr>
          <w:rFonts w:ascii="Arial" w:cs="Arial" w:eastAsia="Arial" w:hAnsi="Arial"/>
          <w:sz w:val="16"/>
          <w:szCs w:val="16"/>
          <w:i w:val="1"/>
          <w:iCs w:val="1"/>
          <w:color w:val="auto"/>
        </w:rPr>
        <w:t>Right to Review Certain Combined Tax Returns</w:t>
      </w:r>
      <w:r>
        <w:rPr>
          <w:rFonts w:ascii="Arial" w:cs="Arial" w:eastAsia="Arial" w:hAnsi="Arial"/>
          <w:sz w:val="16"/>
          <w:szCs w:val="16"/>
          <w:color w:val="auto"/>
        </w:rPr>
        <w:t>. If a member of the RCPI Group is required under Applicable Law to file any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Tax Return, RGHL shall submit a draft of such Tax Return to RCPI reasonably in advance of the applicable filing deadline. RCPI shall have the right to review such Tax Return, and to submit to RGHL any reasonable changes to the portions of such Tax Return that relate to the RCPI Group or the Consumer Business promptly, and in no event later than five (5) days prior to the due date for the filing of such Tax Return. RGHL shall modify such portion of such Tax Return to include any reasonable comments, provided that RGHL shall consider RCPI’s comments in good faith but shall not be required to accept any comments with respect to Combined Tax Returns that relate to a Pre-Distribution Period.</w:t>
      </w:r>
    </w:p>
    <w:p>
      <w:pPr>
        <w:spacing w:after="0" w:line="56" w:lineRule="exact"/>
        <w:rPr>
          <w:rFonts w:ascii="Arial" w:cs="Arial" w:eastAsia="Arial" w:hAnsi="Arial"/>
          <w:sz w:val="16"/>
          <w:szCs w:val="16"/>
          <w:color w:val="auto"/>
        </w:rPr>
      </w:pPr>
    </w:p>
    <w:p>
      <w:pPr>
        <w:ind w:left="240" w:hanging="236"/>
        <w:spacing w:after="0"/>
        <w:tabs>
          <w:tab w:leader="none" w:pos="240" w:val="left"/>
        </w:tabs>
        <w:numPr>
          <w:ilvl w:val="0"/>
          <w:numId w:val="485"/>
        </w:numPr>
        <w:rPr>
          <w:rFonts w:ascii="Arial" w:cs="Arial" w:eastAsia="Arial" w:hAnsi="Arial"/>
          <w:sz w:val="18"/>
          <w:szCs w:val="18"/>
          <w:color w:val="auto"/>
        </w:rPr>
      </w:pPr>
      <w:r>
        <w:rPr>
          <w:rFonts w:ascii="Arial" w:cs="Arial" w:eastAsia="Arial" w:hAnsi="Arial"/>
          <w:sz w:val="18"/>
          <w:szCs w:val="18"/>
          <w:i w:val="1"/>
          <w:iCs w:val="1"/>
          <w:color w:val="auto"/>
        </w:rPr>
        <w:t>Special Rules Relating to the Preparation of 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hanging="212"/>
        <w:spacing w:after="0"/>
        <w:tabs>
          <w:tab w:leader="none" w:pos="640" w:val="left"/>
        </w:tabs>
        <w:numPr>
          <w:ilvl w:val="1"/>
          <w:numId w:val="485"/>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Except as provided in this Section 4(c)(i), any Combined Tax Return related to a Pre-Distribution Period shall be prepared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 in accordance with past practices, accounting methods, elections or conventions (“</w:t>
      </w:r>
      <w:r>
        <w:rPr>
          <w:rFonts w:ascii="Arial" w:cs="Arial" w:eastAsia="Arial" w:hAnsi="Arial"/>
          <w:sz w:val="16"/>
          <w:szCs w:val="16"/>
          <w:b w:val="1"/>
          <w:bCs w:val="1"/>
          <w:color w:val="auto"/>
        </w:rPr>
        <w:t>Past Practices</w:t>
      </w:r>
      <w:r>
        <w:rPr>
          <w:rFonts w:ascii="Arial" w:cs="Arial" w:eastAsia="Arial" w:hAnsi="Arial"/>
          <w:sz w:val="16"/>
          <w:szCs w:val="16"/>
          <w:color w:val="auto"/>
        </w:rPr>
        <w:t>”) with respect to such Tax Return, and</w:t>
      </w:r>
    </w:p>
    <w:p>
      <w:pPr>
        <w:spacing w:after="0" w:line="32" w:lineRule="exact"/>
        <w:rPr>
          <w:rFonts w:ascii="Arial" w:cs="Arial" w:eastAsia="Arial" w:hAnsi="Arial"/>
          <w:sz w:val="16"/>
          <w:szCs w:val="16"/>
          <w:color w:val="auto"/>
        </w:rPr>
      </w:pPr>
    </w:p>
    <w:p>
      <w:pPr>
        <w:ind w:right="540"/>
        <w:spacing w:after="0" w:line="261" w:lineRule="auto"/>
        <w:rPr>
          <w:rFonts w:ascii="Arial" w:cs="Arial" w:eastAsia="Arial" w:hAnsi="Arial"/>
          <w:sz w:val="16"/>
          <w:szCs w:val="16"/>
          <w:color w:val="auto"/>
        </w:rPr>
      </w:pPr>
      <w:r>
        <w:rPr>
          <w:rFonts w:ascii="Arial" w:cs="Arial" w:eastAsia="Arial" w:hAnsi="Arial"/>
          <w:sz w:val="18"/>
          <w:szCs w:val="18"/>
          <w:color w:val="auto"/>
        </w:rPr>
        <w:t>(B) to the extent any items, methods or positions are not covered by Past Practices, in accordance with reasonable Tax accounting practices selected by RGHL.</w:t>
      </w:r>
    </w:p>
    <w:p>
      <w:pPr>
        <w:spacing w:after="0" w:line="75" w:lineRule="exact"/>
        <w:rPr>
          <w:rFonts w:ascii="Arial" w:cs="Arial" w:eastAsia="Arial" w:hAnsi="Arial"/>
          <w:sz w:val="16"/>
          <w:szCs w:val="16"/>
          <w:color w:val="auto"/>
        </w:rPr>
      </w:pPr>
    </w:p>
    <w:p>
      <w:pPr>
        <w:ind w:right="340" w:firstLine="428"/>
        <w:spacing w:after="0" w:line="277" w:lineRule="auto"/>
        <w:tabs>
          <w:tab w:leader="none" w:pos="688" w:val="left"/>
        </w:tabs>
        <w:numPr>
          <w:ilvl w:val="1"/>
          <w:numId w:val="485"/>
        </w:numPr>
        <w:rPr>
          <w:rFonts w:ascii="Arial" w:cs="Arial" w:eastAsia="Arial" w:hAnsi="Arial"/>
          <w:sz w:val="18"/>
          <w:szCs w:val="18"/>
          <w:color w:val="auto"/>
        </w:rPr>
      </w:pPr>
      <w:r>
        <w:rPr>
          <w:rFonts w:ascii="Arial" w:cs="Arial" w:eastAsia="Arial" w:hAnsi="Arial"/>
          <w:sz w:val="18"/>
          <w:szCs w:val="18"/>
          <w:i w:val="1"/>
          <w:iCs w:val="1"/>
          <w:color w:val="auto"/>
        </w:rPr>
        <w:t>Consistency with Intended Tax-Free Treatment</w:t>
      </w:r>
      <w:r>
        <w:rPr>
          <w:rFonts w:ascii="Arial" w:cs="Arial" w:eastAsia="Arial" w:hAnsi="Arial"/>
          <w:sz w:val="18"/>
          <w:szCs w:val="18"/>
          <w:color w:val="auto"/>
        </w:rPr>
        <w:t>. All Tax Returns that include any member of the RGHL Group or any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RCPI Group shall be prepared in a manner that is consistent with the Intended Tax-Free Treatment.</w:t>
      </w:r>
    </w:p>
    <w:p>
      <w:pPr>
        <w:spacing w:after="0" w:line="62" w:lineRule="exact"/>
        <w:rPr>
          <w:rFonts w:ascii="Arial" w:cs="Arial" w:eastAsia="Arial" w:hAnsi="Arial"/>
          <w:sz w:val="18"/>
          <w:szCs w:val="18"/>
          <w:color w:val="auto"/>
        </w:rPr>
      </w:pPr>
    </w:p>
    <w:p>
      <w:pPr>
        <w:ind w:right="120" w:firstLine="428"/>
        <w:spacing w:after="0" w:line="259" w:lineRule="auto"/>
        <w:tabs>
          <w:tab w:leader="none" w:pos="738" w:val="left"/>
        </w:tabs>
        <w:numPr>
          <w:ilvl w:val="1"/>
          <w:numId w:val="485"/>
        </w:numPr>
        <w:rPr>
          <w:rFonts w:ascii="Arial" w:cs="Arial" w:eastAsia="Arial" w:hAnsi="Arial"/>
          <w:sz w:val="18"/>
          <w:szCs w:val="18"/>
          <w:color w:val="auto"/>
        </w:rPr>
      </w:pPr>
      <w:r>
        <w:rPr>
          <w:rFonts w:ascii="Arial" w:cs="Arial" w:eastAsia="Arial" w:hAnsi="Arial"/>
          <w:sz w:val="18"/>
          <w:szCs w:val="18"/>
          <w:i w:val="1"/>
          <w:iCs w:val="1"/>
          <w:color w:val="auto"/>
        </w:rPr>
        <w:t>RCPI Separate Tax Returns</w:t>
      </w:r>
      <w:r>
        <w:rPr>
          <w:rFonts w:ascii="Arial" w:cs="Arial" w:eastAsia="Arial" w:hAnsi="Arial"/>
          <w:sz w:val="18"/>
          <w:szCs w:val="18"/>
          <w:color w:val="auto"/>
        </w:rPr>
        <w:t>. With respect to any RCPI Separate Tax Return for which RCPI is responsible pursuant to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RCPI and the other members of the RCPI Group shall include such Tax Items in such RCPI Separate Tax Return in a manner that is consistent with the inclusion of such Tax Items in any related Tax Return for which RGHL is responsible to the extent such Tax Items are allocated in accordance with this Agreement.</w:t>
      </w:r>
    </w:p>
    <w:p>
      <w:pPr>
        <w:spacing w:after="0" w:line="78" w:lineRule="exact"/>
        <w:rPr>
          <w:rFonts w:ascii="Arial" w:cs="Arial" w:eastAsia="Arial" w:hAnsi="Arial"/>
          <w:sz w:val="18"/>
          <w:szCs w:val="18"/>
          <w:color w:val="auto"/>
        </w:rPr>
      </w:pPr>
    </w:p>
    <w:p>
      <w:pPr>
        <w:ind w:right="20" w:firstLine="428"/>
        <w:spacing w:after="0" w:line="259" w:lineRule="auto"/>
        <w:tabs>
          <w:tab w:leader="none" w:pos="728" w:val="left"/>
        </w:tabs>
        <w:numPr>
          <w:ilvl w:val="1"/>
          <w:numId w:val="485"/>
        </w:numPr>
        <w:rPr>
          <w:rFonts w:ascii="Arial" w:cs="Arial" w:eastAsia="Arial" w:hAnsi="Arial"/>
          <w:sz w:val="18"/>
          <w:szCs w:val="18"/>
          <w:color w:val="auto"/>
        </w:rPr>
      </w:pPr>
      <w:r>
        <w:rPr>
          <w:rFonts w:ascii="Arial" w:cs="Arial" w:eastAsia="Arial" w:hAnsi="Arial"/>
          <w:sz w:val="18"/>
          <w:szCs w:val="18"/>
          <w:i w:val="1"/>
          <w:iCs w:val="1"/>
          <w:color w:val="auto"/>
        </w:rPr>
        <w:t>Election to File Combined Tax Returns</w:t>
      </w:r>
      <w:r>
        <w:rPr>
          <w:rFonts w:ascii="Arial" w:cs="Arial" w:eastAsia="Arial" w:hAnsi="Arial"/>
          <w:sz w:val="18"/>
          <w:szCs w:val="18"/>
          <w:color w:val="auto"/>
        </w:rPr>
        <w:t>. RGHL shall have the sole discretion to cause any Combined Tax Return to be filed if the filing</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Tax Return is elective under Applicable Law. Each member of the relevant Combined Group shall execute and file all applicable consents, elections and other documents as may be required, appropriate or otherwise requested by RGHL in connection with the filing of such Combined Tax Returns.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565" w:name="page566"/>
    <w:bookmarkEnd w:id="565"/>
    <w:p>
      <w:pPr>
        <w:ind w:left="-20" w:firstLine="444"/>
        <w:spacing w:after="0" w:line="255" w:lineRule="auto"/>
        <w:tabs>
          <w:tab w:leader="none" w:pos="675"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of Taxes. </w:t>
      </w:r>
      <w:r>
        <w:rPr>
          <w:rFonts w:ascii="Arial" w:cs="Arial" w:eastAsia="Arial" w:hAnsi="Arial"/>
          <w:sz w:val="18"/>
          <w:szCs w:val="18"/>
          <w:color w:val="auto"/>
        </w:rPr>
        <w:t>Each of RGHL, RGHI and RCPI shall pay (or cause to be paid) to the proper Taxing Authority the Tax shown as due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Tax Return which a member of its respective Group is required to file under Applicable Law. If any member of the RGHL Group or the RGHI Group is required to make a payment to a Taxing Authority for Taxes allocated to RCPI under Section 3, RCPI shall pay the amount of such Taxes to such member of the relevant Group in accordance with Section 9 and Section 10. If any member of the RCPI Group is required to make a payment to a Taxing Authority for Taxes allocated to RGHL or RGHI under Section 3, RGHL or RGHI (as the case may be) shall pay the amount of such Taxes to RCPI in accordance with Section 9 and Section 10.</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Apportionment of Earnings and Profits and Tax Attributes</w:t>
      </w:r>
      <w:r>
        <w:rPr>
          <w:rFonts w:ascii="Arial" w:cs="Arial" w:eastAsia="Arial" w:hAnsi="Arial"/>
          <w:sz w:val="18"/>
          <w:szCs w:val="18"/>
          <w:color w:val="auto"/>
        </w:rPr>
        <w:t>.</w:t>
      </w:r>
    </w:p>
    <w:p>
      <w:pPr>
        <w:spacing w:after="0" w:line="117" w:lineRule="exact"/>
        <w:rPr>
          <w:sz w:val="20"/>
          <w:szCs w:val="20"/>
          <w:color w:val="auto"/>
        </w:rPr>
      </w:pPr>
    </w:p>
    <w:p>
      <w:pPr>
        <w:ind w:left="-20" w:right="160" w:firstLine="444"/>
        <w:spacing w:after="0" w:line="259" w:lineRule="auto"/>
        <w:tabs>
          <w:tab w:leader="none" w:pos="66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Tax Attributes arising in a Pre-Distribution Period will be allocated to (and the benefits and burdens of such Tax Attributes will inure to) the members of the RGHL Group and the members of the RCPI Group in accordance with RGHI’s (and, where applicable, RGHL’s) historical practice (including historical methodologies for making corporate allocations), the Code, Treasury Regulations, and any applicable state, local and foreign law, as determined by RGHL in its sole discretion.</w:t>
      </w:r>
    </w:p>
    <w:p>
      <w:pPr>
        <w:spacing w:after="0" w:line="78" w:lineRule="exact"/>
        <w:rPr>
          <w:rFonts w:ascii="Arial" w:cs="Arial" w:eastAsia="Arial" w:hAnsi="Arial"/>
          <w:sz w:val="18"/>
          <w:szCs w:val="18"/>
          <w:color w:val="auto"/>
        </w:rPr>
      </w:pPr>
    </w:p>
    <w:p>
      <w:pPr>
        <w:ind w:left="-20" w:right="120" w:firstLine="444"/>
        <w:spacing w:after="0" w:line="291" w:lineRule="auto"/>
        <w:tabs>
          <w:tab w:leader="none" w:pos="67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RGHL shall in good faith advise RCPI as soon as reasonably practicable after the close of the relevant Taxable period in which the First Distribution occurs in writing of the portion, if any, of any earnings and profits, Tax Attributes, tax basis, overall foreign loss or other consolidated, combined or unitary attribute which RGHL determines shall be allocated or apportioned to the members of the RCPI Group under Applicable Law. All members of the RCPI Group shall prepare all Tax Returns in accordance with such written notice. In the event of an adjustment to the earnings and profits, any Tax Attributes, tax basis, overall foreign loss or other consolidated, combined or unitary attribute determined by RGHL, RGHL shall promptly notify RCPI in writing of such adjustment. For the avoidance of doubt, RGHL shall not be liable to any member of the RCPI Group for any failure of any determination under this Section 5(b) to be accurate under Applicable Law, provided such determination was made in good faith.</w:t>
      </w:r>
    </w:p>
    <w:p>
      <w:pPr>
        <w:spacing w:after="0" w:line="59" w:lineRule="exact"/>
        <w:rPr>
          <w:rFonts w:ascii="Arial" w:cs="Arial" w:eastAsia="Arial" w:hAnsi="Arial"/>
          <w:sz w:val="16"/>
          <w:szCs w:val="16"/>
          <w:color w:val="auto"/>
        </w:rPr>
      </w:pPr>
    </w:p>
    <w:p>
      <w:pPr>
        <w:ind w:left="-20" w:right="60" w:firstLine="444"/>
        <w:spacing w:after="0" w:line="257" w:lineRule="auto"/>
        <w:tabs>
          <w:tab w:leader="none" w:pos="66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to the extent that the amount of any earnings and profits, Tax Attributes, tax basis, overall foreign loss or other consolidated, combined or unitary attribute allocated to members of the RGHL Group or the RCPI Group pursuant to Section 5(b) is later reduced or increased by a Taxing Authority or as a result of a Tax Proceeding, such reduction or increase shall be allocated to the Company to which such earnings and profits, Tax Attributes, tax basis, overall foreign loss or other consolidated, combined or unitary attribute was allocated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as determined by RGHL in good faith.</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Utilization of Tax Attributes</w:t>
      </w:r>
      <w:r>
        <w:rPr>
          <w:rFonts w:ascii="Arial" w:cs="Arial" w:eastAsia="Arial" w:hAnsi="Arial"/>
          <w:sz w:val="18"/>
          <w:szCs w:val="18"/>
          <w:color w:val="auto"/>
        </w:rPr>
        <w:t>.</w:t>
      </w:r>
    </w:p>
    <w:p>
      <w:pPr>
        <w:spacing w:after="0" w:line="117" w:lineRule="exact"/>
        <w:rPr>
          <w:sz w:val="20"/>
          <w:szCs w:val="20"/>
          <w:color w:val="auto"/>
        </w:rPr>
      </w:pPr>
    </w:p>
    <w:p>
      <w:pPr>
        <w:ind w:left="-20" w:right="60" w:firstLine="444"/>
        <w:spacing w:after="0" w:line="277" w:lineRule="auto"/>
        <w:tabs>
          <w:tab w:leader="none" w:pos="665" w:val="left"/>
        </w:tabs>
        <w:numPr>
          <w:ilvl w:val="0"/>
          <w:numId w:val="488"/>
        </w:numPr>
        <w:rPr>
          <w:rFonts w:ascii="Arial" w:cs="Arial" w:eastAsia="Arial" w:hAnsi="Arial"/>
          <w:sz w:val="18"/>
          <w:szCs w:val="18"/>
          <w:color w:val="auto"/>
        </w:rPr>
      </w:pPr>
      <w:r>
        <w:rPr>
          <w:rFonts w:ascii="Arial" w:cs="Arial" w:eastAsia="Arial" w:hAnsi="Arial"/>
          <w:sz w:val="18"/>
          <w:szCs w:val="18"/>
          <w:i w:val="1"/>
          <w:iCs w:val="1"/>
          <w:color w:val="auto"/>
        </w:rPr>
        <w:t xml:space="preserve">Amended Returns. </w:t>
      </w:r>
      <w:r>
        <w:rPr>
          <w:rFonts w:ascii="Arial" w:cs="Arial" w:eastAsia="Arial" w:hAnsi="Arial"/>
          <w:sz w:val="18"/>
          <w:szCs w:val="18"/>
          <w:color w:val="auto"/>
        </w:rPr>
        <w:t>Any amended Tax Return or claim for a refund with respect to any member of the RCPI Group may be made (i) by RCPI if</w:t>
      </w:r>
      <w:r>
        <w:rPr>
          <w:rFonts w:ascii="Arial" w:cs="Arial" w:eastAsia="Arial" w:hAnsi="Arial"/>
          <w:sz w:val="18"/>
          <w:szCs w:val="18"/>
          <w:i w:val="1"/>
          <w:iCs w:val="1"/>
          <w:color w:val="auto"/>
        </w:rPr>
        <w:t xml:space="preserve"> </w:t>
      </w:r>
      <w:r>
        <w:rPr>
          <w:rFonts w:ascii="Arial" w:cs="Arial" w:eastAsia="Arial" w:hAnsi="Arial"/>
          <w:sz w:val="18"/>
          <w:szCs w:val="18"/>
          <w:color w:val="auto"/>
        </w:rPr>
        <w:t>for a Post-Distribution Period and (ii) by RGHL if for a Pre-Distribution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3" w:right="459" w:bottom="1440" w:gutter="0" w:footer="0" w:header="0"/>
        </w:sectPr>
      </w:pPr>
    </w:p>
    <w:bookmarkStart w:id="566" w:name="page567"/>
    <w:bookmarkEnd w:id="566"/>
    <w:p>
      <w:pPr>
        <w:ind w:left="-20" w:right="40" w:firstLine="444"/>
        <w:spacing w:after="0" w:line="255" w:lineRule="auto"/>
        <w:tabs>
          <w:tab w:leader="none" w:pos="675" w:val="left"/>
        </w:tabs>
        <w:numPr>
          <w:ilvl w:val="0"/>
          <w:numId w:val="4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RGHL Discretion</w:t>
      </w:r>
      <w:r>
        <w:rPr>
          <w:rFonts w:ascii="Arial" w:cs="Arial" w:eastAsia="Arial" w:hAnsi="Arial"/>
          <w:sz w:val="18"/>
          <w:szCs w:val="18"/>
          <w:color w:val="auto"/>
        </w:rPr>
        <w:t>. RGHL shall be entitled to determine in its sole discretion whether to (x) file or to cause to be filed any claim for a refund or</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of Taxes with respect to any Combined Tax Return in order to claim in any Pre-Distribution Period any RCPI Carried Item, (y) make or cause to be made any available elections to waive the right to claim in any Pre-Distribution Period, with respect to any Combined Tax Return, any RCPI Carried Item, and (z) make or cause to be made any affirmative election to claim in any Pre-Distribution Period any RCPI Carried Item. Subject to Section 6(c), RCPI shall submit a written request to RGHL in order to seek RGHL’s consent with respect to any of the actions described in this Section 6(b).</w:t>
      </w:r>
    </w:p>
    <w:p>
      <w:pPr>
        <w:spacing w:after="0" w:line="85" w:lineRule="exact"/>
        <w:rPr>
          <w:rFonts w:ascii="Arial" w:cs="Arial" w:eastAsia="Arial" w:hAnsi="Arial"/>
          <w:sz w:val="18"/>
          <w:szCs w:val="18"/>
          <w:color w:val="auto"/>
        </w:rPr>
      </w:pPr>
    </w:p>
    <w:p>
      <w:pPr>
        <w:ind w:left="660" w:hanging="236"/>
        <w:spacing w:after="0"/>
        <w:tabs>
          <w:tab w:leader="none" w:pos="660" w:val="left"/>
        </w:tabs>
        <w:numPr>
          <w:ilvl w:val="0"/>
          <w:numId w:val="489"/>
        </w:numPr>
        <w:rPr>
          <w:rFonts w:ascii="Arial" w:cs="Arial" w:eastAsia="Arial" w:hAnsi="Arial"/>
          <w:sz w:val="18"/>
          <w:szCs w:val="18"/>
          <w:color w:val="auto"/>
        </w:rPr>
      </w:pPr>
      <w:r>
        <w:rPr>
          <w:rFonts w:ascii="Arial" w:cs="Arial" w:eastAsia="Arial" w:hAnsi="Arial"/>
          <w:sz w:val="18"/>
          <w:szCs w:val="18"/>
          <w:i w:val="1"/>
          <w:iCs w:val="1"/>
          <w:color w:val="auto"/>
        </w:rPr>
        <w:t>RCPI Carrybacks to Combined Tax Returns.</w:t>
      </w:r>
    </w:p>
    <w:p>
      <w:pPr>
        <w:spacing w:after="0" w:line="117" w:lineRule="exact"/>
        <w:rPr>
          <w:rFonts w:ascii="Arial" w:cs="Arial" w:eastAsia="Arial" w:hAnsi="Arial"/>
          <w:sz w:val="18"/>
          <w:szCs w:val="18"/>
          <w:color w:val="auto"/>
        </w:rPr>
      </w:pPr>
    </w:p>
    <w:p>
      <w:pPr>
        <w:ind w:left="420" w:firstLine="428"/>
        <w:spacing w:after="0" w:line="270" w:lineRule="auto"/>
        <w:tabs>
          <w:tab w:leader="none" w:pos="1058" w:val="left"/>
        </w:tabs>
        <w:numPr>
          <w:ilvl w:val="1"/>
          <w:numId w:val="489"/>
        </w:numPr>
        <w:rPr>
          <w:rFonts w:ascii="Arial" w:cs="Arial" w:eastAsia="Arial" w:hAnsi="Arial"/>
          <w:sz w:val="17"/>
          <w:szCs w:val="17"/>
          <w:color w:val="auto"/>
        </w:rPr>
      </w:pPr>
      <w:r>
        <w:rPr>
          <w:rFonts w:ascii="Arial" w:cs="Arial" w:eastAsia="Arial" w:hAnsi="Arial"/>
          <w:sz w:val="17"/>
          <w:szCs w:val="17"/>
          <w:color w:val="auto"/>
        </w:rPr>
        <w:t xml:space="preserve">Each member of the RCPI Group shall elect, to the extent permitted by Applicable Law, to forgo the right to carry back any RCPI Carried Item from a Post-Distribution Period to any Combined Tax Return in respect of a Pre-Distribution Period, except to the extent that (i) a member of the RCPI Group determines that it is required by Applicable Law to carry back an RCPI Carried Item to a Tax Return in respect of a Pre-Distribution Period, in which case it shall notify RGHL in writing of such determination at least 90 days prior to filing the Tax Return on which such carryback will be reflected or (ii) RGHL consents to such carryback. If RGHL disagrees with any determination made by a member of the RCPI Group in respect of clause (i) of the preceding sentence, the parties shall resolve their disagreement pursuant to the procedures set forth in Section 16. RGHL shall consider in good faith any request by RCPI to carry back an RCPI Carried Item; </w:t>
      </w:r>
      <w:r>
        <w:rPr>
          <w:rFonts w:ascii="Arial" w:cs="Arial" w:eastAsia="Arial" w:hAnsi="Arial"/>
          <w:sz w:val="17"/>
          <w:szCs w:val="17"/>
          <w:i w:val="1"/>
          <w:iCs w:val="1"/>
          <w:color w:val="auto"/>
        </w:rPr>
        <w:t>provided</w:t>
      </w:r>
      <w:r>
        <w:rPr>
          <w:rFonts w:ascii="Arial" w:cs="Arial" w:eastAsia="Arial" w:hAnsi="Arial"/>
          <w:sz w:val="17"/>
          <w:szCs w:val="17"/>
          <w:color w:val="auto"/>
        </w:rPr>
        <w:t>, that RGHL shall have no obligation to consent to any carryback that would reasonably be expected to result in a Tax refund to the RCPI Group that does not exceed $500,000. If the RGHL Group (or any member thereof) receives (or realizes) a refund as a result of such a carryback, the applicable member of the RGHL Group shall remit the amount of such refund to RCPI in accordance with Section 7.</w:t>
      </w:r>
    </w:p>
    <w:p>
      <w:pPr>
        <w:spacing w:after="0" w:line="69" w:lineRule="exact"/>
        <w:rPr>
          <w:rFonts w:ascii="Arial" w:cs="Arial" w:eastAsia="Arial" w:hAnsi="Arial"/>
          <w:sz w:val="17"/>
          <w:szCs w:val="17"/>
          <w:color w:val="auto"/>
        </w:rPr>
      </w:pPr>
    </w:p>
    <w:p>
      <w:pPr>
        <w:jc w:val="both"/>
        <w:ind w:left="-20" w:right="40" w:firstLine="444"/>
        <w:spacing w:after="0" w:line="302" w:lineRule="auto"/>
        <w:tabs>
          <w:tab w:leader="none" w:pos="675" w:val="left"/>
        </w:tabs>
        <w:numPr>
          <w:ilvl w:val="0"/>
          <w:numId w:val="489"/>
        </w:numPr>
        <w:rPr>
          <w:rFonts w:ascii="Arial" w:cs="Arial" w:eastAsia="Arial" w:hAnsi="Arial"/>
          <w:sz w:val="16"/>
          <w:szCs w:val="16"/>
          <w:color w:val="auto"/>
        </w:rPr>
      </w:pPr>
      <w:r>
        <w:rPr>
          <w:rFonts w:ascii="Arial" w:cs="Arial" w:eastAsia="Arial" w:hAnsi="Arial"/>
          <w:sz w:val="16"/>
          <w:szCs w:val="16"/>
          <w:i w:val="1"/>
          <w:iCs w:val="1"/>
          <w:color w:val="auto"/>
        </w:rPr>
        <w:t xml:space="preserve">Carryforwards to Separate Tax Returns. </w:t>
      </w:r>
      <w:r>
        <w:rPr>
          <w:rFonts w:ascii="Arial" w:cs="Arial" w:eastAsia="Arial" w:hAnsi="Arial"/>
          <w:sz w:val="16"/>
          <w:szCs w:val="16"/>
          <w:color w:val="auto"/>
        </w:rPr>
        <w:t>If a portion or all of any Tax Attribute is allocated to a member of a Combined Group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5, and is carried forward or back to an RCPI Separate Tax Return, any Tax Benefits arising from such carryforward shall be retained by the RCPI Group. If a portion or all of any Tax Attribute is allocated to a member of a Combined Group pursuant to Section 5, and is carried forward or back to an RGHL Separate Tax Return, any Tax Benefits arising from such carryforward or carryback shall be retained by the RGHL Group.</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Tax Benefits</w:t>
      </w:r>
      <w:r>
        <w:rPr>
          <w:rFonts w:ascii="Arial" w:cs="Arial" w:eastAsia="Arial" w:hAnsi="Arial"/>
          <w:sz w:val="18"/>
          <w:szCs w:val="18"/>
          <w:color w:val="auto"/>
        </w:rPr>
        <w:t>.</w:t>
      </w:r>
    </w:p>
    <w:p>
      <w:pPr>
        <w:spacing w:after="0" w:line="117" w:lineRule="exact"/>
        <w:rPr>
          <w:sz w:val="20"/>
          <w:szCs w:val="20"/>
          <w:color w:val="auto"/>
        </w:rPr>
      </w:pPr>
    </w:p>
    <w:p>
      <w:pPr>
        <w:ind w:left="-20" w:right="160" w:firstLine="444"/>
        <w:spacing w:after="0" w:line="259" w:lineRule="auto"/>
        <w:tabs>
          <w:tab w:leader="none" w:pos="665" w:val="left"/>
        </w:tabs>
        <w:numPr>
          <w:ilvl w:val="0"/>
          <w:numId w:val="490"/>
        </w:numPr>
        <w:rPr>
          <w:rFonts w:ascii="Arial" w:cs="Arial" w:eastAsia="Arial" w:hAnsi="Arial"/>
          <w:sz w:val="18"/>
          <w:szCs w:val="18"/>
          <w:color w:val="auto"/>
        </w:rPr>
      </w:pPr>
      <w:r>
        <w:rPr>
          <w:rFonts w:ascii="Arial" w:cs="Arial" w:eastAsia="Arial" w:hAnsi="Arial"/>
          <w:sz w:val="18"/>
          <w:szCs w:val="18"/>
          <w:i w:val="1"/>
          <w:iCs w:val="1"/>
          <w:color w:val="auto"/>
        </w:rPr>
        <w:t>RGHL Group Tax Benefits</w:t>
      </w:r>
      <w:r>
        <w:rPr>
          <w:rFonts w:ascii="Arial" w:cs="Arial" w:eastAsia="Arial" w:hAnsi="Arial"/>
          <w:sz w:val="18"/>
          <w:szCs w:val="18"/>
          <w:color w:val="auto"/>
        </w:rPr>
        <w:t>. The RGHL Group shall be entitled to any Tax Benefits (including, in the case of any refund received, any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thereon actually received) received by any member of the RGHL Group or any member of the RCPI Group, other than any Tax Benefits (or any amounts in respect of Tax Benefits) to which RCPI is entitled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 RCPI shall not be entitled to any Tax Benefits received by any member of the RGHL Group or the RCPI Group, except as set forth in Section 7(b).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567" w:name="page568"/>
    <w:bookmarkEnd w:id="567"/>
    <w:p>
      <w:pPr>
        <w:ind w:right="120" w:firstLine="444"/>
        <w:spacing w:after="0" w:line="312" w:lineRule="auto"/>
        <w:tabs>
          <w:tab w:leader="none" w:pos="695" w:val="left"/>
        </w:tabs>
        <w:numPr>
          <w:ilvl w:val="0"/>
          <w:numId w:val="49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RCPI Tax Benefits. </w:t>
      </w:r>
      <w:r>
        <w:rPr>
          <w:rFonts w:ascii="Arial" w:cs="Arial" w:eastAsia="Arial" w:hAnsi="Arial"/>
          <w:sz w:val="16"/>
          <w:szCs w:val="16"/>
          <w:color w:val="auto"/>
        </w:rPr>
        <w:t>RCPI shall be entitled to any Tax Benefits (including, in the case of any refund received, any interest thereon actually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received by any member of the RGHL Group or any member of the RCPI Group after the Distribution Date with respect to any Tax allocated to a member of the RCPI Group under this Agreement (including, for the avoidance of doubt, any amounts allocated to RCPI pursuant to Section 3(b)).</w:t>
      </w:r>
    </w:p>
    <w:p>
      <w:pPr>
        <w:spacing w:after="0" w:line="34" w:lineRule="exact"/>
        <w:rPr>
          <w:rFonts w:ascii="Arial" w:cs="Arial" w:eastAsia="Arial" w:hAnsi="Arial"/>
          <w:sz w:val="16"/>
          <w:szCs w:val="16"/>
          <w:color w:val="auto"/>
        </w:rPr>
      </w:pPr>
    </w:p>
    <w:p>
      <w:pPr>
        <w:ind w:right="40" w:firstLine="444"/>
        <w:spacing w:after="0" w:line="274" w:lineRule="auto"/>
        <w:tabs>
          <w:tab w:leader="none" w:pos="685" w:val="left"/>
        </w:tabs>
        <w:numPr>
          <w:ilvl w:val="0"/>
          <w:numId w:val="491"/>
        </w:numPr>
        <w:rPr>
          <w:rFonts w:ascii="Arial" w:cs="Arial" w:eastAsia="Arial" w:hAnsi="Arial"/>
          <w:sz w:val="17"/>
          <w:szCs w:val="17"/>
          <w:color w:val="auto"/>
        </w:rPr>
      </w:pPr>
      <w:r>
        <w:rPr>
          <w:rFonts w:ascii="Arial" w:cs="Arial" w:eastAsia="Arial" w:hAnsi="Arial"/>
          <w:sz w:val="17"/>
          <w:szCs w:val="17"/>
          <w:color w:val="auto"/>
        </w:rPr>
        <w:t>A Company receiving (or realizing) a Tax Benefit to which another Company is entitled hereunder (a “</w:t>
      </w:r>
      <w:r>
        <w:rPr>
          <w:rFonts w:ascii="Arial" w:cs="Arial" w:eastAsia="Arial" w:hAnsi="Arial"/>
          <w:sz w:val="17"/>
          <w:szCs w:val="17"/>
          <w:b w:val="1"/>
          <w:bCs w:val="1"/>
          <w:color w:val="auto"/>
        </w:rPr>
        <w:t>Tax Benefit Recipient</w:t>
      </w:r>
      <w:r>
        <w:rPr>
          <w:rFonts w:ascii="Arial" w:cs="Arial" w:eastAsia="Arial" w:hAnsi="Arial"/>
          <w:sz w:val="17"/>
          <w:szCs w:val="17"/>
          <w:color w:val="auto"/>
        </w:rPr>
        <w:t xml:space="preserve">”) shall pay over the amount of such Tax Benefit (including interest received from the relevant Taxing Authority, but net of any Taxes imposed with respect to such Tax Benefit and any other reasonable costs) within thirty (30) days of receipt thereof (or from the due date for payment of any Tax reduced thereby);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other Company, upon the request of such Tax Benefit Recipient, shall repay the amount paid to the other Company (plus any</w:t>
      </w:r>
      <w:r>
        <w:rPr>
          <w:rFonts w:ascii="Arial" w:cs="Arial" w:eastAsia="Arial" w:hAnsi="Arial"/>
          <w:sz w:val="17"/>
          <w:szCs w:val="17"/>
          <w:i w:val="1"/>
          <w:iCs w:val="1"/>
          <w:color w:val="auto"/>
        </w:rPr>
        <w:t xml:space="preserve"> </w:t>
      </w:r>
      <w:r>
        <w:rPr>
          <w:rFonts w:ascii="Arial" w:cs="Arial" w:eastAsia="Arial" w:hAnsi="Arial"/>
          <w:sz w:val="17"/>
          <w:szCs w:val="17"/>
          <w:color w:val="auto"/>
        </w:rPr>
        <w:t>penalties, interest or other charges imposed by the relevant Taxing Authority) in the event that, as a result of a subsequent Final Determination, a Tax Benefit that gave rise to such payment is subsequently disallowed.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Certain Representations and Covenants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492"/>
        </w:numPr>
        <w:rPr>
          <w:rFonts w:ascii="Arial" w:cs="Arial" w:eastAsia="Arial" w:hAnsi="Arial"/>
          <w:sz w:val="18"/>
          <w:szCs w:val="18"/>
          <w:color w:val="auto"/>
        </w:rPr>
      </w:pPr>
      <w:r>
        <w:rPr>
          <w:rFonts w:ascii="Arial" w:cs="Arial" w:eastAsia="Arial" w:hAnsi="Arial"/>
          <w:sz w:val="18"/>
          <w:szCs w:val="18"/>
          <w:i w:val="1"/>
          <w:iCs w:val="1"/>
          <w:color w:val="auto"/>
        </w:rPr>
        <w:t>Representations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492"/>
        </w:numPr>
        <w:rPr>
          <w:rFonts w:ascii="Arial" w:cs="Arial" w:eastAsia="Arial" w:hAnsi="Arial"/>
          <w:sz w:val="16"/>
          <w:szCs w:val="16"/>
          <w:color w:val="auto"/>
        </w:rPr>
      </w:pPr>
      <w:r>
        <w:rPr>
          <w:rFonts w:ascii="Arial" w:cs="Arial" w:eastAsia="Arial" w:hAnsi="Arial"/>
          <w:sz w:val="16"/>
          <w:szCs w:val="16"/>
          <w:color w:val="auto"/>
        </w:rPr>
        <w:t>RCPI represents to RGHI and RGHL that as of the Distribution Date, there is no plan or intention for RCPI or any member of the RCPI</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102" w:lineRule="exact"/>
        <w:rPr>
          <w:rFonts w:ascii="Arial" w:cs="Arial" w:eastAsia="Arial" w:hAnsi="Arial"/>
          <w:sz w:val="16"/>
          <w:szCs w:val="16"/>
          <w:color w:val="auto"/>
        </w:rPr>
      </w:pPr>
    </w:p>
    <w:p>
      <w:pPr>
        <w:ind w:left="1000" w:right="500" w:firstLine="397"/>
        <w:spacing w:after="0" w:line="308" w:lineRule="auto"/>
        <w:tabs>
          <w:tab w:leader="none" w:pos="1696" w:val="left"/>
        </w:tabs>
        <w:numPr>
          <w:ilvl w:val="2"/>
          <w:numId w:val="492"/>
        </w:numPr>
        <w:rPr>
          <w:rFonts w:ascii="Arial" w:cs="Arial" w:eastAsia="Arial" w:hAnsi="Arial"/>
          <w:sz w:val="17"/>
          <w:szCs w:val="17"/>
          <w:color w:val="auto"/>
        </w:rPr>
      </w:pPr>
      <w:r>
        <w:rPr>
          <w:rFonts w:ascii="Arial" w:cs="Arial" w:eastAsia="Arial" w:hAnsi="Arial"/>
          <w:sz w:val="17"/>
          <w:szCs w:val="17"/>
          <w:color w:val="auto"/>
        </w:rPr>
        <w:t>to liquidate, merge or otherwise terminate RCPI or to merge or consolidate any member of the RCPI Group with any other Person subsequent to the Distributions, except for any transaction that is solely among members of the RCPI Group;</w:t>
      </w:r>
    </w:p>
    <w:p>
      <w:pPr>
        <w:spacing w:after="0" w:line="38" w:lineRule="exact"/>
        <w:rPr>
          <w:rFonts w:ascii="Arial" w:cs="Arial" w:eastAsia="Arial" w:hAnsi="Arial"/>
          <w:sz w:val="17"/>
          <w:szCs w:val="17"/>
          <w:color w:val="auto"/>
        </w:rPr>
      </w:pPr>
    </w:p>
    <w:p>
      <w:pPr>
        <w:ind w:left="1000" w:right="400" w:firstLine="397"/>
        <w:spacing w:after="0" w:line="277" w:lineRule="auto"/>
        <w:tabs>
          <w:tab w:leader="none" w:pos="1686" w:val="left"/>
        </w:tabs>
        <w:numPr>
          <w:ilvl w:val="2"/>
          <w:numId w:val="492"/>
        </w:numPr>
        <w:rPr>
          <w:rFonts w:ascii="Arial" w:cs="Arial" w:eastAsia="Arial" w:hAnsi="Arial"/>
          <w:sz w:val="18"/>
          <w:szCs w:val="18"/>
          <w:color w:val="auto"/>
        </w:rPr>
      </w:pPr>
      <w:r>
        <w:rPr>
          <w:rFonts w:ascii="Arial" w:cs="Arial" w:eastAsia="Arial" w:hAnsi="Arial"/>
          <w:sz w:val="18"/>
          <w:szCs w:val="18"/>
          <w:color w:val="auto"/>
        </w:rPr>
        <w:t>to sell, transfer, convey or otherwise dispose of any material asset of any member of the RCPI Group, except in the ordinary course of business;</w:t>
      </w:r>
    </w:p>
    <w:p>
      <w:pPr>
        <w:spacing w:after="0" w:line="62" w:lineRule="exact"/>
        <w:rPr>
          <w:rFonts w:ascii="Arial" w:cs="Arial" w:eastAsia="Arial" w:hAnsi="Arial"/>
          <w:sz w:val="18"/>
          <w:szCs w:val="18"/>
          <w:color w:val="auto"/>
        </w:rPr>
      </w:pPr>
    </w:p>
    <w:p>
      <w:pPr>
        <w:ind w:left="1000" w:right="300" w:firstLine="397"/>
        <w:spacing w:after="0" w:line="277" w:lineRule="auto"/>
        <w:tabs>
          <w:tab w:leader="none" w:pos="1686" w:val="left"/>
        </w:tabs>
        <w:numPr>
          <w:ilvl w:val="2"/>
          <w:numId w:val="492"/>
        </w:numPr>
        <w:rPr>
          <w:rFonts w:ascii="Arial" w:cs="Arial" w:eastAsia="Arial" w:hAnsi="Arial"/>
          <w:sz w:val="18"/>
          <w:szCs w:val="18"/>
          <w:color w:val="auto"/>
        </w:rPr>
      </w:pPr>
      <w:r>
        <w:rPr>
          <w:rFonts w:ascii="Arial" w:cs="Arial" w:eastAsia="Arial" w:hAnsi="Arial"/>
          <w:sz w:val="18"/>
          <w:szCs w:val="18"/>
          <w:color w:val="auto"/>
        </w:rPr>
        <w:t>to take or fail to take any action in a manner that is inconsistent with the written information and representations furnished by RCPI to Tax Counsel in connection with the Tax Representation Letters or Tax Opinion;</w:t>
      </w:r>
    </w:p>
    <w:p>
      <w:pPr>
        <w:spacing w:after="0" w:line="62" w:lineRule="exact"/>
        <w:rPr>
          <w:rFonts w:ascii="Arial" w:cs="Arial" w:eastAsia="Arial" w:hAnsi="Arial"/>
          <w:sz w:val="18"/>
          <w:szCs w:val="18"/>
          <w:color w:val="auto"/>
        </w:rPr>
      </w:pPr>
    </w:p>
    <w:p>
      <w:pPr>
        <w:ind w:left="1700" w:hanging="303"/>
        <w:spacing w:after="0"/>
        <w:tabs>
          <w:tab w:leader="none" w:pos="1700" w:val="left"/>
        </w:tabs>
        <w:numPr>
          <w:ilvl w:val="2"/>
          <w:numId w:val="492"/>
        </w:numPr>
        <w:rPr>
          <w:rFonts w:ascii="Arial" w:cs="Arial" w:eastAsia="Arial" w:hAnsi="Arial"/>
          <w:sz w:val="18"/>
          <w:szCs w:val="18"/>
          <w:color w:val="auto"/>
        </w:rPr>
      </w:pPr>
      <w:r>
        <w:rPr>
          <w:rFonts w:ascii="Arial" w:cs="Arial" w:eastAsia="Arial" w:hAnsi="Arial"/>
          <w:sz w:val="18"/>
          <w:szCs w:val="18"/>
          <w:color w:val="auto"/>
        </w:rPr>
        <w:t>to repurchase stock of RCPI;</w:t>
      </w:r>
    </w:p>
    <w:p>
      <w:pPr>
        <w:spacing w:after="0" w:line="117" w:lineRule="exact"/>
        <w:rPr>
          <w:rFonts w:ascii="Arial" w:cs="Arial" w:eastAsia="Arial" w:hAnsi="Arial"/>
          <w:sz w:val="18"/>
          <w:szCs w:val="18"/>
          <w:color w:val="auto"/>
        </w:rPr>
      </w:pPr>
    </w:p>
    <w:p>
      <w:pPr>
        <w:ind w:left="1000" w:right="20" w:firstLine="397"/>
        <w:spacing w:after="0" w:line="342" w:lineRule="auto"/>
        <w:tabs>
          <w:tab w:leader="none" w:pos="1676" w:val="left"/>
        </w:tabs>
        <w:numPr>
          <w:ilvl w:val="2"/>
          <w:numId w:val="492"/>
        </w:numPr>
        <w:rPr>
          <w:rFonts w:ascii="Arial" w:cs="Arial" w:eastAsia="Arial" w:hAnsi="Arial"/>
          <w:sz w:val="16"/>
          <w:szCs w:val="16"/>
          <w:color w:val="auto"/>
        </w:rPr>
      </w:pPr>
      <w:r>
        <w:rPr>
          <w:rFonts w:ascii="Arial" w:cs="Arial" w:eastAsia="Arial" w:hAnsi="Arial"/>
          <w:sz w:val="16"/>
          <w:szCs w:val="16"/>
          <w:color w:val="auto"/>
        </w:rPr>
        <w:t>to take or fail to take any action in a manner that management of RCPI knows, or should know, is reasonably likely to contravene any agreement with a Taxing Authority entered into prior to the Distribution Date to which any member of the RCPI Group is a party; or</w:t>
      </w:r>
    </w:p>
    <w:p>
      <w:pPr>
        <w:spacing w:after="0" w:line="15" w:lineRule="exact"/>
        <w:rPr>
          <w:rFonts w:ascii="Arial" w:cs="Arial" w:eastAsia="Arial" w:hAnsi="Arial"/>
          <w:sz w:val="16"/>
          <w:szCs w:val="16"/>
          <w:color w:val="auto"/>
        </w:rPr>
      </w:pPr>
    </w:p>
    <w:p>
      <w:pPr>
        <w:ind w:left="1000" w:firstLine="397"/>
        <w:spacing w:after="0" w:line="297" w:lineRule="auto"/>
        <w:tabs>
          <w:tab w:leader="none" w:pos="1666" w:val="left"/>
        </w:tabs>
        <w:numPr>
          <w:ilvl w:val="2"/>
          <w:numId w:val="492"/>
        </w:numPr>
        <w:rPr>
          <w:rFonts w:ascii="Arial" w:cs="Arial" w:eastAsia="Arial" w:hAnsi="Arial"/>
          <w:sz w:val="16"/>
          <w:szCs w:val="16"/>
          <w:color w:val="auto"/>
        </w:rPr>
      </w:pPr>
      <w:r>
        <w:rPr>
          <w:rFonts w:ascii="Arial" w:cs="Arial" w:eastAsia="Arial" w:hAnsi="Arial"/>
          <w:sz w:val="16"/>
          <w:szCs w:val="16"/>
          <w:color w:val="auto"/>
        </w:rPr>
        <w:t>to enter into any negotiations, agreements, or arrangements with respect to transactions or events (including stock issuances, pursuant to the exercise of options or otherwise, option grants, the adoption of, or authorization of shares under, a stock option plan, capital contributions, or acquisitions, but not including the Distributions) that could reasonably be expected to cause either of the Distributions to be treated as part of a plan (within the meaning of Section 355(e) of the Code) pursuant to which one or more Persons acquire directly or indirectly RCPI stock representing a 50% or greater interest within the meaning of Section 355(d)(4) of the Code.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3" w:right="439" w:bottom="1440" w:gutter="0" w:footer="0" w:header="0"/>
        </w:sectPr>
      </w:pPr>
    </w:p>
    <w:bookmarkStart w:id="568" w:name="page569"/>
    <w:bookmarkEnd w:id="568"/>
    <w:p>
      <w:pPr>
        <w:ind w:left="260" w:hanging="256"/>
        <w:spacing w:after="0"/>
        <w:tabs>
          <w:tab w:leader="none" w:pos="260" w:val="left"/>
        </w:tabs>
        <w:numPr>
          <w:ilvl w:val="0"/>
          <w:numId w:val="4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w:t>
      </w:r>
    </w:p>
    <w:p>
      <w:pPr>
        <w:spacing w:after="0" w:line="117" w:lineRule="exact"/>
        <w:rPr>
          <w:rFonts w:ascii="Arial" w:cs="Arial" w:eastAsia="Arial" w:hAnsi="Arial"/>
          <w:sz w:val="18"/>
          <w:szCs w:val="18"/>
          <w:color w:val="auto"/>
        </w:rPr>
      </w:pPr>
    </w:p>
    <w:p>
      <w:pPr>
        <w:ind w:right="400" w:firstLine="428"/>
        <w:spacing w:after="0" w:line="277" w:lineRule="auto"/>
        <w:tabs>
          <w:tab w:leader="none" w:pos="638" w:val="left"/>
        </w:tabs>
        <w:numPr>
          <w:ilvl w:val="1"/>
          <w:numId w:val="493"/>
        </w:numPr>
        <w:rPr>
          <w:rFonts w:ascii="Arial" w:cs="Arial" w:eastAsia="Arial" w:hAnsi="Arial"/>
          <w:sz w:val="18"/>
          <w:szCs w:val="18"/>
          <w:color w:val="auto"/>
        </w:rPr>
      </w:pPr>
      <w:r>
        <w:rPr>
          <w:rFonts w:ascii="Arial" w:cs="Arial" w:eastAsia="Arial" w:hAnsi="Arial"/>
          <w:sz w:val="18"/>
          <w:szCs w:val="18"/>
          <w:color w:val="auto"/>
        </w:rPr>
        <w:t>RCPI shall not, and shall not permit any other member of the RCPI Group to, take or fail to take any action that constitutes an RCPI Disqualifying Action.</w:t>
      </w:r>
    </w:p>
    <w:p>
      <w:pPr>
        <w:spacing w:after="0" w:line="62" w:lineRule="exact"/>
        <w:rPr>
          <w:rFonts w:ascii="Arial" w:cs="Arial" w:eastAsia="Arial" w:hAnsi="Arial"/>
          <w:sz w:val="18"/>
          <w:szCs w:val="18"/>
          <w:color w:val="auto"/>
        </w:rPr>
      </w:pPr>
    </w:p>
    <w:p>
      <w:pPr>
        <w:ind w:right="120" w:firstLine="428"/>
        <w:spacing w:after="0" w:line="342" w:lineRule="auto"/>
        <w:tabs>
          <w:tab w:leader="none" w:pos="688" w:val="left"/>
        </w:tabs>
        <w:numPr>
          <w:ilvl w:val="1"/>
          <w:numId w:val="493"/>
        </w:numPr>
        <w:rPr>
          <w:rFonts w:ascii="Arial" w:cs="Arial" w:eastAsia="Arial" w:hAnsi="Arial"/>
          <w:sz w:val="16"/>
          <w:szCs w:val="16"/>
          <w:color w:val="auto"/>
        </w:rPr>
      </w:pPr>
      <w:r>
        <w:rPr>
          <w:rFonts w:ascii="Arial" w:cs="Arial" w:eastAsia="Arial" w:hAnsi="Arial"/>
          <w:sz w:val="16"/>
          <w:szCs w:val="16"/>
          <w:color w:val="auto"/>
        </w:rPr>
        <w:t>RCPI shall not, and shall not permit any other member of the RCPI Group to, take or fail to take any action that is inconsistent with the information and representations furnished by RCPI to Tax Counsel in connection with the Tax Representation Letters or Tax Opinion;</w:t>
      </w:r>
    </w:p>
    <w:p>
      <w:pPr>
        <w:spacing w:after="0" w:line="15" w:lineRule="exact"/>
        <w:rPr>
          <w:rFonts w:ascii="Arial" w:cs="Arial" w:eastAsia="Arial" w:hAnsi="Arial"/>
          <w:sz w:val="16"/>
          <w:szCs w:val="16"/>
          <w:color w:val="auto"/>
        </w:rPr>
      </w:pPr>
    </w:p>
    <w:p>
      <w:pPr>
        <w:ind w:right="180" w:firstLine="428"/>
        <w:spacing w:after="0" w:line="264" w:lineRule="auto"/>
        <w:tabs>
          <w:tab w:leader="none" w:pos="738" w:val="left"/>
        </w:tabs>
        <w:numPr>
          <w:ilvl w:val="1"/>
          <w:numId w:val="493"/>
        </w:numPr>
        <w:rPr>
          <w:rFonts w:ascii="Arial" w:cs="Arial" w:eastAsia="Arial" w:hAnsi="Arial"/>
          <w:sz w:val="18"/>
          <w:szCs w:val="18"/>
          <w:color w:val="auto"/>
        </w:rPr>
      </w:pPr>
      <w:r>
        <w:rPr>
          <w:rFonts w:ascii="Arial" w:cs="Arial" w:eastAsia="Arial" w:hAnsi="Arial"/>
          <w:sz w:val="18"/>
          <w:szCs w:val="18"/>
          <w:color w:val="auto"/>
        </w:rPr>
        <w:t>RCPI shall not, and shall not permit any other member of the RCPI Group to, take or fail to take any action that management of RCPI knows, or should know, is reasonably likely to contravene any agreement with a Taxing Authority entered into prior to the Distribution Date to which any member of the RCPI Group or the RGHL Group is a party;</w:t>
      </w:r>
    </w:p>
    <w:p>
      <w:pPr>
        <w:spacing w:after="0" w:line="73" w:lineRule="exact"/>
        <w:rPr>
          <w:rFonts w:ascii="Arial" w:cs="Arial" w:eastAsia="Arial" w:hAnsi="Arial"/>
          <w:sz w:val="18"/>
          <w:szCs w:val="18"/>
          <w:color w:val="auto"/>
        </w:rPr>
      </w:pPr>
    </w:p>
    <w:p>
      <w:pPr>
        <w:ind w:right="120" w:firstLine="428"/>
        <w:spacing w:after="0" w:line="259" w:lineRule="auto"/>
        <w:tabs>
          <w:tab w:leader="none" w:pos="728" w:val="left"/>
        </w:tabs>
        <w:numPr>
          <w:ilvl w:val="1"/>
          <w:numId w:val="493"/>
        </w:numPr>
        <w:rPr>
          <w:rFonts w:ascii="Arial" w:cs="Arial" w:eastAsia="Arial" w:hAnsi="Arial"/>
          <w:sz w:val="18"/>
          <w:szCs w:val="18"/>
          <w:color w:val="auto"/>
        </w:rPr>
      </w:pPr>
      <w:r>
        <w:rPr>
          <w:rFonts w:ascii="Arial" w:cs="Arial" w:eastAsia="Arial" w:hAnsi="Arial"/>
          <w:sz w:val="18"/>
          <w:szCs w:val="18"/>
          <w:color w:val="auto"/>
        </w:rPr>
        <w:t>For the one-year period following the Distribution Date, RCPI shall not, and shall not permit (I) any other member of the RCPI Group, (II) any officer or director of a member of the RCPI Group, or (III) any person with the implicit or explicit permission of RCPI or any person described in clauses (I) or (II), to enter into any discussions or other communications with any underwriter or investment bank relating to any secondary offering of shares of RCPI.</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w:t>
      </w:r>
    </w:p>
    <w:p>
      <w:pPr>
        <w:spacing w:after="0" w:line="117" w:lineRule="exact"/>
        <w:rPr>
          <w:rFonts w:ascii="Arial" w:cs="Arial" w:eastAsia="Arial" w:hAnsi="Arial"/>
          <w:sz w:val="18"/>
          <w:szCs w:val="18"/>
          <w:color w:val="auto"/>
        </w:rPr>
      </w:pPr>
    </w:p>
    <w:p>
      <w:pPr>
        <w:ind w:left="560" w:firstLine="397"/>
        <w:spacing w:after="0" w:line="259" w:lineRule="auto"/>
        <w:tabs>
          <w:tab w:leader="none" w:pos="1256" w:val="left"/>
        </w:tabs>
        <w:numPr>
          <w:ilvl w:val="2"/>
          <w:numId w:val="493"/>
        </w:numPr>
        <w:rPr>
          <w:rFonts w:ascii="Arial" w:cs="Arial" w:eastAsia="Arial" w:hAnsi="Arial"/>
          <w:sz w:val="18"/>
          <w:szCs w:val="18"/>
          <w:color w:val="auto"/>
        </w:rPr>
      </w:pPr>
      <w:r>
        <w:rPr>
          <w:rFonts w:ascii="Arial" w:cs="Arial" w:eastAsia="Arial" w:hAnsi="Arial"/>
          <w:sz w:val="18"/>
          <w:szCs w:val="18"/>
          <w:color w:val="auto"/>
        </w:rPr>
        <w:t>RCPI shall (I) continue, independently and with its separate employees, the active conduct of the Consumer Business for purposes of Section 355(b)(2) of the Code and (II) not engage in any transaction that would result in it ceasing to be a company engaged in the Consumer Business for purposes of Section 355(b)(2) of the Code, taking into account Section 355(b)(3) of the Code for purposes of each of clauses (I) and (II);</w:t>
      </w:r>
    </w:p>
    <w:p>
      <w:pPr>
        <w:spacing w:after="0" w:line="78" w:lineRule="exact"/>
        <w:rPr>
          <w:rFonts w:ascii="Arial" w:cs="Arial" w:eastAsia="Arial" w:hAnsi="Arial"/>
          <w:sz w:val="18"/>
          <w:szCs w:val="18"/>
          <w:color w:val="auto"/>
        </w:rPr>
      </w:pPr>
    </w:p>
    <w:p>
      <w:pPr>
        <w:ind w:left="560" w:firstLine="397"/>
        <w:spacing w:after="0" w:line="286" w:lineRule="auto"/>
        <w:tabs>
          <w:tab w:leader="none" w:pos="1246" w:val="left"/>
        </w:tabs>
        <w:numPr>
          <w:ilvl w:val="2"/>
          <w:numId w:val="493"/>
        </w:numPr>
        <w:rPr>
          <w:rFonts w:ascii="Arial" w:cs="Arial" w:eastAsia="Arial" w:hAnsi="Arial"/>
          <w:sz w:val="17"/>
          <w:szCs w:val="17"/>
          <w:color w:val="auto"/>
        </w:rPr>
      </w:pPr>
      <w:r>
        <w:rPr>
          <w:rFonts w:ascii="Arial" w:cs="Arial" w:eastAsia="Arial" w:hAnsi="Arial"/>
          <w:sz w:val="17"/>
          <w:szCs w:val="17"/>
          <w:color w:val="auto"/>
        </w:rPr>
        <w:t>RCPI shall not repurchase stock of RCPI in a manner contrary to the requirements of Section 4.05(1)(b) of IRS Revenue Procedure 96-30 (as in effect prior to the amendment of such Revenue Procedure by IRS Revenue Procedure 2003-48) or inconsistent with any representations made by RCPI to Tax Counsel in connection with the Tax Representation Letters;</w:t>
      </w:r>
    </w:p>
    <w:p>
      <w:pPr>
        <w:spacing w:after="0" w:line="57" w:lineRule="exact"/>
        <w:rPr>
          <w:rFonts w:ascii="Arial" w:cs="Arial" w:eastAsia="Arial" w:hAnsi="Arial"/>
          <w:sz w:val="17"/>
          <w:szCs w:val="17"/>
          <w:color w:val="auto"/>
        </w:rPr>
      </w:pPr>
    </w:p>
    <w:p>
      <w:pPr>
        <w:ind w:left="560" w:right="40" w:firstLine="397"/>
        <w:spacing w:after="0" w:line="264" w:lineRule="auto"/>
        <w:tabs>
          <w:tab w:leader="none" w:pos="1246" w:val="left"/>
        </w:tabs>
        <w:numPr>
          <w:ilvl w:val="2"/>
          <w:numId w:val="493"/>
        </w:numPr>
        <w:rPr>
          <w:rFonts w:ascii="Arial" w:cs="Arial" w:eastAsia="Arial" w:hAnsi="Arial"/>
          <w:sz w:val="18"/>
          <w:szCs w:val="18"/>
          <w:color w:val="auto"/>
        </w:rPr>
      </w:pPr>
      <w:r>
        <w:rPr>
          <w:rFonts w:ascii="Arial" w:cs="Arial" w:eastAsia="Arial" w:hAnsi="Arial"/>
          <w:sz w:val="18"/>
          <w:szCs w:val="18"/>
          <w:color w:val="auto"/>
        </w:rPr>
        <w:t>RCPI shall not, and shall not agree to, merge, consolidate, amalgamate or otherwise participate in an acquisition transaction with any other Person (other than a merger in which RCPI is the surviving entity and in connection with which no Equity Interest is issued by any Person);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569" w:name="page570"/>
    <w:bookmarkEnd w:id="569"/>
    <w:p>
      <w:pPr>
        <w:ind w:left="560" w:right="40" w:firstLine="397"/>
        <w:spacing w:after="0" w:line="273" w:lineRule="auto"/>
        <w:tabs>
          <w:tab w:leader="none" w:pos="1256" w:val="left"/>
        </w:tabs>
        <w:numPr>
          <w:ilvl w:val="2"/>
          <w:numId w:val="4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RCPI shall not, and shall not permit any other member of the RCPI Group to, or to agree to, sell or otherwise issue to any Person any Equity Interests of RCPI or of any other member of the RCPI Group (other than sales or issuances of Equity Interests of a member of the RCPI Group (other than RCPI) to another member of the RCPI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RCPI may issue its common stock in a public offering as described under Section 8(c)(i) below and (II) RCPI may issue Equity Interests to the extent such issuances satisfy Safe Harbor VIII (relating to acquisitions in connection with a person’s performance of services) or Safe Harbor IX (relating to acquisitions by a retirement plan of an employer) of Treasury Regulations Section 1.355-7(d);</w:t>
      </w:r>
    </w:p>
    <w:p>
      <w:pPr>
        <w:spacing w:after="0" w:line="70" w:lineRule="exact"/>
        <w:rPr>
          <w:rFonts w:ascii="Arial" w:cs="Arial" w:eastAsia="Arial" w:hAnsi="Arial"/>
          <w:sz w:val="17"/>
          <w:szCs w:val="17"/>
          <w:color w:val="auto"/>
        </w:rPr>
      </w:pPr>
    </w:p>
    <w:p>
      <w:pPr>
        <w:ind w:left="560" w:right="140" w:firstLine="397"/>
        <w:spacing w:after="0" w:line="259" w:lineRule="auto"/>
        <w:tabs>
          <w:tab w:leader="none" w:pos="1236" w:val="left"/>
        </w:tabs>
        <w:numPr>
          <w:ilvl w:val="2"/>
          <w:numId w:val="494"/>
        </w:numPr>
        <w:rPr>
          <w:rFonts w:ascii="Arial" w:cs="Arial" w:eastAsia="Arial" w:hAnsi="Arial"/>
          <w:sz w:val="18"/>
          <w:szCs w:val="18"/>
          <w:color w:val="auto"/>
        </w:rPr>
      </w:pPr>
      <w:r>
        <w:rPr>
          <w:rFonts w:ascii="Arial" w:cs="Arial" w:eastAsia="Arial" w:hAnsi="Arial"/>
          <w:sz w:val="18"/>
          <w:szCs w:val="18"/>
          <w:color w:val="auto"/>
        </w:rPr>
        <w:t>RCPI shall not, and shall not permit any other member of the RCPI Group to (I) solicit any Person to make a tender offer for, or otherwise acquire or sell, the Equity Interests of RCPI, (II) participate in or support any unsolicited tender offer for, or other acquisition, issuance or disposition of, the Equity Interests of RCPI, or (III) approve or otherwise permit any proposed business combination or any acquisition of RCPI;</w:t>
      </w:r>
    </w:p>
    <w:p>
      <w:pPr>
        <w:spacing w:after="0" w:line="78" w:lineRule="exact"/>
        <w:rPr>
          <w:rFonts w:ascii="Arial" w:cs="Arial" w:eastAsia="Arial" w:hAnsi="Arial"/>
          <w:sz w:val="18"/>
          <w:szCs w:val="18"/>
          <w:color w:val="auto"/>
        </w:rPr>
      </w:pPr>
    </w:p>
    <w:p>
      <w:pPr>
        <w:jc w:val="both"/>
        <w:ind w:left="560" w:right="120" w:firstLine="397"/>
        <w:spacing w:after="0" w:line="259" w:lineRule="auto"/>
        <w:tabs>
          <w:tab w:leader="none" w:pos="1226" w:val="left"/>
        </w:tabs>
        <w:numPr>
          <w:ilvl w:val="2"/>
          <w:numId w:val="494"/>
        </w:numPr>
        <w:rPr>
          <w:rFonts w:ascii="Arial" w:cs="Arial" w:eastAsia="Arial" w:hAnsi="Arial"/>
          <w:sz w:val="18"/>
          <w:szCs w:val="18"/>
          <w:color w:val="auto"/>
        </w:rPr>
      </w:pPr>
      <w:r>
        <w:rPr>
          <w:rFonts w:ascii="Arial" w:cs="Arial" w:eastAsia="Arial" w:hAnsi="Arial"/>
          <w:sz w:val="18"/>
          <w:szCs w:val="18"/>
          <w:color w:val="auto"/>
        </w:rPr>
        <w:t>RCPI shall not, and shall not permit any other member of the RCPI Group to, amend its certificate of incorporation (or other organizational documents), or take any other action, whether through a stockholder vote or otherwise, affecting the voting rights of the Equity Interests of RCPI (including, without limitation, through the conversion of one class of Equity Interests of RCPI into another class of Equity Interests of RCPI).</w:t>
      </w:r>
    </w:p>
    <w:p>
      <w:pPr>
        <w:spacing w:after="0" w:line="78" w:lineRule="exact"/>
        <w:rPr>
          <w:rFonts w:ascii="Arial" w:cs="Arial" w:eastAsia="Arial" w:hAnsi="Arial"/>
          <w:sz w:val="18"/>
          <w:szCs w:val="18"/>
          <w:color w:val="auto"/>
        </w:rPr>
      </w:pPr>
    </w:p>
    <w:p>
      <w:pPr>
        <w:ind w:right="200" w:firstLine="428"/>
        <w:spacing w:after="0" w:line="277" w:lineRule="auto"/>
        <w:tabs>
          <w:tab w:leader="none" w:pos="728" w:val="left"/>
        </w:tabs>
        <w:numPr>
          <w:ilvl w:val="1"/>
          <w:numId w:val="495"/>
        </w:numPr>
        <w:rPr>
          <w:rFonts w:ascii="Arial" w:cs="Arial" w:eastAsia="Arial" w:hAnsi="Arial"/>
          <w:sz w:val="18"/>
          <w:szCs w:val="18"/>
          <w:color w:val="auto"/>
        </w:rPr>
      </w:pPr>
      <w:r>
        <w:rPr>
          <w:rFonts w:ascii="Arial" w:cs="Arial" w:eastAsia="Arial" w:hAnsi="Arial"/>
          <w:sz w:val="18"/>
          <w:szCs w:val="18"/>
          <w:color w:val="auto"/>
        </w:rPr>
        <w:t>RCPI shall not take or fail to take, or permit any other member of the RCPI Group to take or fail to take, any action which prevents or could reasonably be expected to result in Tax treatment that is inconsistent with the Intended Tax-Free Treatment.</w:t>
      </w:r>
    </w:p>
    <w:p>
      <w:pPr>
        <w:spacing w:after="0" w:line="62" w:lineRule="exact"/>
        <w:rPr>
          <w:rFonts w:ascii="Arial" w:cs="Arial" w:eastAsia="Arial" w:hAnsi="Arial"/>
          <w:sz w:val="18"/>
          <w:szCs w:val="18"/>
          <w:color w:val="auto"/>
        </w:rPr>
      </w:pPr>
    </w:p>
    <w:p>
      <w:pPr>
        <w:ind w:left="240" w:hanging="236"/>
        <w:spacing w:after="0"/>
        <w:tabs>
          <w:tab w:leader="none" w:pos="240" w:val="left"/>
        </w:tabs>
        <w:numPr>
          <w:ilvl w:val="0"/>
          <w:numId w:val="496"/>
        </w:numPr>
        <w:rPr>
          <w:rFonts w:ascii="Arial" w:cs="Arial" w:eastAsia="Arial" w:hAnsi="Arial"/>
          <w:sz w:val="17"/>
          <w:szCs w:val="17"/>
          <w:color w:val="auto"/>
        </w:rPr>
      </w:pPr>
      <w:r>
        <w:rPr>
          <w:rFonts w:ascii="Arial" w:cs="Arial" w:eastAsia="Arial" w:hAnsi="Arial"/>
          <w:sz w:val="17"/>
          <w:szCs w:val="17"/>
          <w:i w:val="1"/>
          <w:iCs w:val="1"/>
          <w:color w:val="auto"/>
        </w:rPr>
        <w:t xml:space="preserve">RCPI Covenants Exceptions. </w:t>
      </w:r>
      <w:r>
        <w:rPr>
          <w:rFonts w:ascii="Arial" w:cs="Arial" w:eastAsia="Arial" w:hAnsi="Arial"/>
          <w:sz w:val="17"/>
          <w:szCs w:val="17"/>
          <w:color w:val="auto"/>
        </w:rPr>
        <w:t>Notwithstanding the provisions of Section 8(b), RCPI and the other members of the RCPI Group may:</w:t>
      </w:r>
    </w:p>
    <w:p>
      <w:pPr>
        <w:spacing w:after="0" w:line="128" w:lineRule="exact"/>
        <w:rPr>
          <w:rFonts w:ascii="Arial" w:cs="Arial" w:eastAsia="Arial" w:hAnsi="Arial"/>
          <w:sz w:val="17"/>
          <w:szCs w:val="17"/>
          <w:color w:val="auto"/>
        </w:rPr>
      </w:pPr>
    </w:p>
    <w:p>
      <w:pPr>
        <w:ind w:firstLine="428"/>
        <w:spacing w:after="0" w:line="277" w:lineRule="auto"/>
        <w:tabs>
          <w:tab w:leader="none" w:pos="638" w:val="left"/>
        </w:tabs>
        <w:numPr>
          <w:ilvl w:val="1"/>
          <w:numId w:val="496"/>
        </w:numPr>
        <w:rPr>
          <w:rFonts w:ascii="Arial" w:cs="Arial" w:eastAsia="Arial" w:hAnsi="Arial"/>
          <w:sz w:val="18"/>
          <w:szCs w:val="18"/>
          <w:color w:val="auto"/>
        </w:rPr>
      </w:pPr>
      <w:r>
        <w:rPr>
          <w:rFonts w:ascii="Arial" w:cs="Arial" w:eastAsia="Arial" w:hAnsi="Arial"/>
          <w:sz w:val="18"/>
          <w:szCs w:val="18"/>
          <w:color w:val="auto"/>
        </w:rPr>
        <w:t>effect an issuance of shares of RCPI common stock by RCPI in one or more primary public offerings not to exceed, in the aggregate, 45% of the then-outstanding stock of RCPI;</w:t>
      </w:r>
    </w:p>
    <w:p>
      <w:pPr>
        <w:spacing w:after="0" w:line="62" w:lineRule="exact"/>
        <w:rPr>
          <w:rFonts w:ascii="Arial" w:cs="Arial" w:eastAsia="Arial" w:hAnsi="Arial"/>
          <w:sz w:val="18"/>
          <w:szCs w:val="18"/>
          <w:color w:val="auto"/>
        </w:rPr>
      </w:pPr>
    </w:p>
    <w:p>
      <w:pPr>
        <w:ind w:right="400" w:firstLine="428"/>
        <w:spacing w:after="0" w:line="277" w:lineRule="auto"/>
        <w:tabs>
          <w:tab w:leader="none" w:pos="688" w:val="left"/>
        </w:tabs>
        <w:numPr>
          <w:ilvl w:val="1"/>
          <w:numId w:val="496"/>
        </w:numPr>
        <w:rPr>
          <w:rFonts w:ascii="Arial" w:cs="Arial" w:eastAsia="Arial" w:hAnsi="Arial"/>
          <w:sz w:val="18"/>
          <w:szCs w:val="18"/>
          <w:color w:val="auto"/>
        </w:rPr>
      </w:pPr>
      <w:r>
        <w:rPr>
          <w:rFonts w:ascii="Arial" w:cs="Arial" w:eastAsia="Arial" w:hAnsi="Arial"/>
          <w:sz w:val="18"/>
          <w:szCs w:val="18"/>
          <w:color w:val="auto"/>
        </w:rPr>
        <w:t>pay cash to acquire assets in arm’s length transactions, engage in transactions that are disregarded for U.S. federal tax purposes, and make mandatory or optional repayments or prepayments of indebtedness;</w:t>
      </w:r>
    </w:p>
    <w:p>
      <w:pPr>
        <w:spacing w:after="0" w:line="62" w:lineRule="exact"/>
        <w:rPr>
          <w:rFonts w:ascii="Arial" w:cs="Arial" w:eastAsia="Arial" w:hAnsi="Arial"/>
          <w:sz w:val="18"/>
          <w:szCs w:val="18"/>
          <w:color w:val="auto"/>
        </w:rPr>
      </w:pPr>
    </w:p>
    <w:p>
      <w:pPr>
        <w:ind w:left="740" w:hanging="312"/>
        <w:spacing w:after="0"/>
        <w:tabs>
          <w:tab w:leader="none" w:pos="74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take any action required under the Transaction Documents; and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570" w:name="page571"/>
    <w:bookmarkEnd w:id="570"/>
    <w:p>
      <w:pPr>
        <w:ind w:left="1160" w:hanging="312"/>
        <w:spacing w:after="0"/>
        <w:tabs>
          <w:tab w:leader="none" w:pos="1160" w:val="left"/>
        </w:tabs>
        <w:numPr>
          <w:ilvl w:val="0"/>
          <w:numId w:val="4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other action that would reasonably be expected to be inconsistent with the covenants contained in Section 8(b), if</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either:</w:t>
      </w:r>
    </w:p>
    <w:p>
      <w:pPr>
        <w:spacing w:after="0" w:line="102" w:lineRule="exact"/>
        <w:rPr>
          <w:rFonts w:ascii="Arial" w:cs="Arial" w:eastAsia="Arial" w:hAnsi="Arial"/>
          <w:sz w:val="16"/>
          <w:szCs w:val="16"/>
          <w:color w:val="auto"/>
        </w:rPr>
      </w:pPr>
    </w:p>
    <w:p>
      <w:pPr>
        <w:ind w:left="980" w:right="60" w:firstLine="397"/>
        <w:spacing w:after="0" w:line="259" w:lineRule="auto"/>
        <w:tabs>
          <w:tab w:leader="none" w:pos="1676" w:val="left"/>
        </w:tabs>
        <w:numPr>
          <w:ilvl w:val="1"/>
          <w:numId w:val="497"/>
        </w:numPr>
        <w:rPr>
          <w:rFonts w:ascii="Arial" w:cs="Arial" w:eastAsia="Arial" w:hAnsi="Arial"/>
          <w:sz w:val="18"/>
          <w:szCs w:val="18"/>
          <w:color w:val="auto"/>
        </w:rPr>
      </w:pPr>
      <w:r>
        <w:rPr>
          <w:rFonts w:ascii="Arial" w:cs="Arial" w:eastAsia="Arial" w:hAnsi="Arial"/>
          <w:sz w:val="18"/>
          <w:szCs w:val="18"/>
          <w:color w:val="auto"/>
        </w:rPr>
        <w:t>RCPI notifies RGHL of its proposal to take such action and RCPI and RGHL obtain a ruling from the IRS to the effect that such action will not affect the Intended Tax-Free Treatment; provided, that RCPI agrees in writing to bear any expenses associated with obtaining such a ruling and; provided, further, that the RCPI Group shall not be relieved of any liability under Section 9(a) of this Agreement by reason of seeking or having obtained such a ruling; or</w:t>
      </w:r>
    </w:p>
    <w:p>
      <w:pPr>
        <w:spacing w:after="0" w:line="78" w:lineRule="exact"/>
        <w:rPr>
          <w:rFonts w:ascii="Arial" w:cs="Arial" w:eastAsia="Arial" w:hAnsi="Arial"/>
          <w:sz w:val="18"/>
          <w:szCs w:val="18"/>
          <w:color w:val="auto"/>
        </w:rPr>
      </w:pPr>
    </w:p>
    <w:p>
      <w:pPr>
        <w:ind w:left="980" w:right="80" w:firstLine="397"/>
        <w:spacing w:after="0" w:line="255" w:lineRule="auto"/>
        <w:tabs>
          <w:tab w:leader="none" w:pos="1666" w:val="left"/>
        </w:tabs>
        <w:numPr>
          <w:ilvl w:val="1"/>
          <w:numId w:val="497"/>
        </w:numPr>
        <w:rPr>
          <w:rFonts w:ascii="Arial" w:cs="Arial" w:eastAsia="Arial" w:hAnsi="Arial"/>
          <w:sz w:val="18"/>
          <w:szCs w:val="18"/>
          <w:color w:val="auto"/>
        </w:rPr>
      </w:pPr>
      <w:r>
        <w:rPr>
          <w:rFonts w:ascii="Arial" w:cs="Arial" w:eastAsia="Arial" w:hAnsi="Arial"/>
          <w:sz w:val="18"/>
          <w:szCs w:val="18"/>
          <w:color w:val="auto"/>
        </w:rPr>
        <w:t xml:space="preserve">RCPI notifies RGHL of its proposal to take such action and obtains an opinion of counsel (A) from a Tax advisor recognized as an expert in federal income Tax matters and acceptable to RGHL in its sole discretion, (B) on which RGHL may rely and (C) to the effect that such action “should” not affect the Intended Tax-Free Treatment, unless RCPI obtains the prior written consent of RGHL waiving the requirement that RCPI obtain such tax opinion, such waiver to be provided in RGHL’s sole and absolute discretion; provided, that the RCPI Group shall not be relieved of any liability under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of this Agreement by reason of having obtained such an opinion or receiving such RGHL consent.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Indemnities</w:t>
      </w:r>
      <w:r>
        <w:rPr>
          <w:rFonts w:ascii="Arial" w:cs="Arial" w:eastAsia="Arial" w:hAnsi="Arial"/>
          <w:sz w:val="18"/>
          <w:szCs w:val="18"/>
          <w:color w:val="auto"/>
        </w:rPr>
        <w:t>.</w:t>
      </w:r>
    </w:p>
    <w:p>
      <w:pPr>
        <w:spacing w:after="0" w:line="117" w:lineRule="exact"/>
        <w:rPr>
          <w:sz w:val="20"/>
          <w:szCs w:val="20"/>
          <w:color w:val="auto"/>
        </w:rPr>
      </w:pPr>
    </w:p>
    <w:p>
      <w:pPr>
        <w:ind w:left="-20" w:right="820" w:firstLine="444"/>
        <w:spacing w:after="0" w:line="277" w:lineRule="auto"/>
        <w:tabs>
          <w:tab w:leader="none" w:pos="665" w:val="left"/>
        </w:tabs>
        <w:numPr>
          <w:ilvl w:val="0"/>
          <w:numId w:val="498"/>
        </w:numPr>
        <w:rPr>
          <w:rFonts w:ascii="Arial" w:cs="Arial" w:eastAsia="Arial" w:hAnsi="Arial"/>
          <w:sz w:val="18"/>
          <w:szCs w:val="18"/>
          <w:color w:val="auto"/>
        </w:rPr>
      </w:pPr>
      <w:r>
        <w:rPr>
          <w:rFonts w:ascii="Arial" w:cs="Arial" w:eastAsia="Arial" w:hAnsi="Arial"/>
          <w:sz w:val="18"/>
          <w:szCs w:val="18"/>
          <w:i w:val="1"/>
          <w:iCs w:val="1"/>
          <w:color w:val="auto"/>
        </w:rPr>
        <w:t>RCPI Indemnity to RGHL Group</w:t>
      </w:r>
      <w:r>
        <w:rPr>
          <w:rFonts w:ascii="Arial" w:cs="Arial" w:eastAsia="Arial" w:hAnsi="Arial"/>
          <w:sz w:val="18"/>
          <w:szCs w:val="18"/>
          <w:color w:val="auto"/>
        </w:rPr>
        <w:t>. RCPI will indemnify each member of the RGHL Group against, and hold them harmless,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duplication, from:</w:t>
      </w:r>
    </w:p>
    <w:p>
      <w:pPr>
        <w:spacing w:after="0" w:line="62" w:lineRule="exact"/>
        <w:rPr>
          <w:rFonts w:ascii="Arial" w:cs="Arial" w:eastAsia="Arial" w:hAnsi="Arial"/>
          <w:sz w:val="18"/>
          <w:szCs w:val="18"/>
          <w:color w:val="auto"/>
        </w:rPr>
      </w:pPr>
    </w:p>
    <w:p>
      <w:pPr>
        <w:ind w:left="1060" w:hanging="212"/>
        <w:spacing w:after="0"/>
        <w:tabs>
          <w:tab w:leader="none" w:pos="10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any Taxes allocated to the RCPI Group pursuant to Section 3;</w:t>
      </w:r>
    </w:p>
    <w:p>
      <w:pPr>
        <w:spacing w:after="0" w:line="117" w:lineRule="exact"/>
        <w:rPr>
          <w:rFonts w:ascii="Arial" w:cs="Arial" w:eastAsia="Arial" w:hAnsi="Arial"/>
          <w:sz w:val="18"/>
          <w:szCs w:val="18"/>
          <w:color w:val="auto"/>
        </w:rPr>
      </w:pPr>
    </w:p>
    <w:p>
      <w:pPr>
        <w:ind w:left="420" w:firstLine="428"/>
        <w:spacing w:after="0" w:line="277" w:lineRule="auto"/>
        <w:tabs>
          <w:tab w:leader="none" w:pos="110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any Taxes imposed on a member of the RGHL Group as a result of the deemed income inclusion from a Section 482 Adjustment relating to the payment terms of the Continuing Arrangements;</w:t>
      </w:r>
    </w:p>
    <w:p>
      <w:pPr>
        <w:spacing w:after="0" w:line="62" w:lineRule="exact"/>
        <w:rPr>
          <w:rFonts w:ascii="Arial" w:cs="Arial" w:eastAsia="Arial" w:hAnsi="Arial"/>
          <w:sz w:val="18"/>
          <w:szCs w:val="18"/>
          <w:color w:val="auto"/>
        </w:rPr>
      </w:pPr>
    </w:p>
    <w:p>
      <w:pPr>
        <w:ind w:left="420" w:firstLine="428"/>
        <w:spacing w:after="0" w:line="277" w:lineRule="auto"/>
        <w:tabs>
          <w:tab w:leader="none" w:pos="115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any Taxes (including Distribution Taxes) attributable to a breach, after the Distribution Effective Time, by RCPI or any other member of the RCPI Group of any representation or covenant contained in this Agreement;</w:t>
      </w:r>
    </w:p>
    <w:p>
      <w:pPr>
        <w:spacing w:after="0" w:line="62" w:lineRule="exact"/>
        <w:rPr>
          <w:rFonts w:ascii="Arial" w:cs="Arial" w:eastAsia="Arial" w:hAnsi="Arial"/>
          <w:sz w:val="18"/>
          <w:szCs w:val="18"/>
          <w:color w:val="auto"/>
        </w:rPr>
      </w:pPr>
    </w:p>
    <w:p>
      <w:pPr>
        <w:ind w:left="420" w:firstLine="428"/>
        <w:spacing w:after="0" w:line="277" w:lineRule="auto"/>
        <w:tabs>
          <w:tab w:leader="none" w:pos="114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any Taxes (including Distribution Taxes) attributable to an RCPI Disqualifying Action (including Distribution Taxes) resulting from any action for which the conditions set forth in Section 8(c)(iv) are satisfied; and</w:t>
      </w:r>
    </w:p>
    <w:p>
      <w:pPr>
        <w:spacing w:after="0" w:line="62" w:lineRule="exact"/>
        <w:rPr>
          <w:rFonts w:ascii="Arial" w:cs="Arial" w:eastAsia="Arial" w:hAnsi="Arial"/>
          <w:sz w:val="18"/>
          <w:szCs w:val="18"/>
          <w:color w:val="auto"/>
        </w:rPr>
      </w:pPr>
    </w:p>
    <w:p>
      <w:pPr>
        <w:ind w:left="420" w:right="20" w:firstLine="428"/>
        <w:spacing w:after="0" w:line="259" w:lineRule="auto"/>
        <w:tabs>
          <w:tab w:leader="none" w:pos="109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(ii), (iii), or (iv) including those incurred in the contest in good faith in appropriate proceedings relating to the imposition, assessment or assertion of any such Tax, liability or damage.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571" w:name="page572"/>
    <w:bookmarkEnd w:id="571"/>
    <w:p>
      <w:pPr>
        <w:ind w:left="680" w:hanging="256"/>
        <w:spacing w:after="0"/>
        <w:tabs>
          <w:tab w:leader="none" w:pos="680" w:val="left"/>
        </w:tabs>
        <w:numPr>
          <w:ilvl w:val="0"/>
          <w:numId w:val="49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RGHL and RGHI Indemnities to RCPI Group</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20" w:firstLine="428"/>
        <w:spacing w:after="0" w:line="277" w:lineRule="auto"/>
        <w:tabs>
          <w:tab w:leader="none" w:pos="105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Except in the case of any liabilities described in Section 9(a) or Section 9(b)(ii), RGHL will indemnify each member of the RCPI Group against, and hold them harmless, without duplication, from:</w:t>
      </w:r>
    </w:p>
    <w:p>
      <w:pPr>
        <w:spacing w:after="0" w:line="62" w:lineRule="exact"/>
        <w:rPr>
          <w:rFonts w:ascii="Arial" w:cs="Arial" w:eastAsia="Arial" w:hAnsi="Arial"/>
          <w:sz w:val="18"/>
          <w:szCs w:val="18"/>
          <w:color w:val="auto"/>
        </w:rPr>
      </w:pPr>
    </w:p>
    <w:p>
      <w:pPr>
        <w:ind w:left="1680" w:hanging="303"/>
        <w:spacing w:after="0"/>
        <w:tabs>
          <w:tab w:leader="none" w:pos="1680" w:val="left"/>
        </w:tabs>
        <w:numPr>
          <w:ilvl w:val="2"/>
          <w:numId w:val="499"/>
        </w:numPr>
        <w:rPr>
          <w:rFonts w:ascii="Arial" w:cs="Arial" w:eastAsia="Arial" w:hAnsi="Arial"/>
          <w:sz w:val="18"/>
          <w:szCs w:val="18"/>
          <w:color w:val="auto"/>
        </w:rPr>
      </w:pPr>
      <w:r>
        <w:rPr>
          <w:rFonts w:ascii="Arial" w:cs="Arial" w:eastAsia="Arial" w:hAnsi="Arial"/>
          <w:sz w:val="18"/>
          <w:szCs w:val="18"/>
          <w:color w:val="auto"/>
        </w:rPr>
        <w:t>any Taxes allocated to the RGHL Group pursuant to Section 3; and</w:t>
      </w:r>
    </w:p>
    <w:p>
      <w:pPr>
        <w:spacing w:after="0" w:line="117" w:lineRule="exact"/>
        <w:rPr>
          <w:rFonts w:ascii="Arial" w:cs="Arial" w:eastAsia="Arial" w:hAnsi="Arial"/>
          <w:sz w:val="18"/>
          <w:szCs w:val="18"/>
          <w:color w:val="auto"/>
        </w:rPr>
      </w:pPr>
    </w:p>
    <w:p>
      <w:pPr>
        <w:ind w:left="980" w:right="20" w:firstLine="397"/>
        <w:spacing w:after="0" w:line="259" w:lineRule="auto"/>
        <w:tabs>
          <w:tab w:leader="none" w:pos="1666" w:val="left"/>
        </w:tabs>
        <w:numPr>
          <w:ilvl w:val="2"/>
          <w:numId w:val="499"/>
        </w:numPr>
        <w:rPr>
          <w:rFonts w:ascii="Arial" w:cs="Arial" w:eastAsia="Arial" w:hAnsi="Arial"/>
          <w:sz w:val="18"/>
          <w:szCs w:val="18"/>
          <w:color w:val="auto"/>
        </w:rPr>
      </w:pPr>
      <w:r>
        <w:rPr>
          <w:rFonts w:ascii="Arial" w:cs="Arial" w:eastAsia="Arial" w:hAnsi="Arial"/>
          <w:sz w:val="18"/>
          <w:szCs w:val="18"/>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(A), including those incurred in the contest in good faith in appropriate proceedings relating to the imposition, assessment or assertion of any such Tax, liability or damage;</w:t>
      </w:r>
    </w:p>
    <w:p>
      <w:pPr>
        <w:spacing w:after="0" w:line="78" w:lineRule="exact"/>
        <w:rPr>
          <w:rFonts w:ascii="Arial" w:cs="Arial" w:eastAsia="Arial" w:hAnsi="Arial"/>
          <w:sz w:val="18"/>
          <w:szCs w:val="18"/>
          <w:color w:val="auto"/>
        </w:rPr>
      </w:pPr>
    </w:p>
    <w:p>
      <w:pPr>
        <w:ind w:left="420" w:right="200" w:firstLine="428"/>
        <w:spacing w:after="0" w:line="277" w:lineRule="auto"/>
        <w:tabs>
          <w:tab w:leader="none" w:pos="110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Except in the case of any liabilities described in Section 9(a), RGHI will indemnify each member of the RCPI Group against, and hold them harmless, without duplication, from:</w:t>
      </w:r>
    </w:p>
    <w:p>
      <w:pPr>
        <w:spacing w:after="0" w:line="62" w:lineRule="exact"/>
        <w:rPr>
          <w:rFonts w:ascii="Arial" w:cs="Arial" w:eastAsia="Arial" w:hAnsi="Arial"/>
          <w:sz w:val="18"/>
          <w:szCs w:val="18"/>
          <w:color w:val="auto"/>
        </w:rPr>
      </w:pPr>
    </w:p>
    <w:p>
      <w:pPr>
        <w:ind w:left="1680" w:hanging="303"/>
        <w:spacing w:after="0"/>
        <w:tabs>
          <w:tab w:leader="none" w:pos="1680" w:val="left"/>
        </w:tabs>
        <w:numPr>
          <w:ilvl w:val="2"/>
          <w:numId w:val="499"/>
        </w:numPr>
        <w:rPr>
          <w:rFonts w:ascii="Arial" w:cs="Arial" w:eastAsia="Arial" w:hAnsi="Arial"/>
          <w:sz w:val="18"/>
          <w:szCs w:val="18"/>
          <w:color w:val="auto"/>
        </w:rPr>
      </w:pPr>
      <w:r>
        <w:rPr>
          <w:rFonts w:ascii="Arial" w:cs="Arial" w:eastAsia="Arial" w:hAnsi="Arial"/>
          <w:sz w:val="18"/>
          <w:szCs w:val="18"/>
          <w:color w:val="auto"/>
        </w:rPr>
        <w:t>any Taxes allocated to the RGHI Group pursuant to Section 3; and</w:t>
      </w:r>
    </w:p>
    <w:p>
      <w:pPr>
        <w:spacing w:after="0" w:line="117" w:lineRule="exact"/>
        <w:rPr>
          <w:rFonts w:ascii="Arial" w:cs="Arial" w:eastAsia="Arial" w:hAnsi="Arial"/>
          <w:sz w:val="18"/>
          <w:szCs w:val="18"/>
          <w:color w:val="auto"/>
        </w:rPr>
      </w:pPr>
    </w:p>
    <w:p>
      <w:pPr>
        <w:ind w:left="980" w:right="160" w:firstLine="397"/>
        <w:spacing w:after="0" w:line="277" w:lineRule="auto"/>
        <w:tabs>
          <w:tab w:leader="none" w:pos="1666" w:val="left"/>
        </w:tabs>
        <w:numPr>
          <w:ilvl w:val="2"/>
          <w:numId w:val="499"/>
        </w:numPr>
        <w:rPr>
          <w:rFonts w:ascii="Arial" w:cs="Arial" w:eastAsia="Arial" w:hAnsi="Arial"/>
          <w:sz w:val="18"/>
          <w:szCs w:val="18"/>
          <w:color w:val="auto"/>
        </w:rPr>
      </w:pPr>
      <w:r>
        <w:rPr>
          <w:rFonts w:ascii="Arial" w:cs="Arial" w:eastAsia="Arial" w:hAnsi="Arial"/>
          <w:sz w:val="18"/>
          <w:szCs w:val="18"/>
          <w:color w:val="auto"/>
        </w:rPr>
        <w:t>any Taxes imposed on a member of the RCPI Group as a result of the deemed income inclusion from a Section 482 Adjustment relating to the payment terms of the Continuing Arrangements;</w:t>
      </w:r>
    </w:p>
    <w:p>
      <w:pPr>
        <w:spacing w:after="0" w:line="62" w:lineRule="exact"/>
        <w:rPr>
          <w:rFonts w:ascii="Arial" w:cs="Arial" w:eastAsia="Arial" w:hAnsi="Arial"/>
          <w:sz w:val="18"/>
          <w:szCs w:val="18"/>
          <w:color w:val="auto"/>
        </w:rPr>
      </w:pPr>
    </w:p>
    <w:p>
      <w:pPr>
        <w:ind w:left="980" w:right="180" w:firstLine="397"/>
        <w:spacing w:after="0" w:line="279" w:lineRule="auto"/>
        <w:tabs>
          <w:tab w:leader="none" w:pos="1666" w:val="left"/>
        </w:tabs>
        <w:numPr>
          <w:ilvl w:val="2"/>
          <w:numId w:val="499"/>
        </w:numPr>
        <w:rPr>
          <w:rFonts w:ascii="Arial" w:cs="Arial" w:eastAsia="Arial" w:hAnsi="Arial"/>
          <w:sz w:val="17"/>
          <w:szCs w:val="17"/>
          <w:color w:val="auto"/>
        </w:rPr>
      </w:pPr>
      <w:r>
        <w:rPr>
          <w:rFonts w:ascii="Arial" w:cs="Arial" w:eastAsia="Arial" w:hAnsi="Arial"/>
          <w:sz w:val="17"/>
          <w:szCs w:val="17"/>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(A) or (B), including those incurred in the contest in good faith in appropriate proceedings relating to the imposition, assessment or assertion of any such Tax, liability or damage.</w:t>
      </w:r>
    </w:p>
    <w:p>
      <w:pPr>
        <w:spacing w:after="0" w:line="63" w:lineRule="exact"/>
        <w:rPr>
          <w:rFonts w:ascii="Arial" w:cs="Arial" w:eastAsia="Arial" w:hAnsi="Arial"/>
          <w:sz w:val="17"/>
          <w:szCs w:val="17"/>
          <w:color w:val="auto"/>
        </w:rPr>
      </w:pPr>
    </w:p>
    <w:p>
      <w:pPr>
        <w:ind w:left="-20" w:firstLine="444"/>
        <w:spacing w:after="0" w:line="271" w:lineRule="auto"/>
        <w:tabs>
          <w:tab w:leader="none" w:pos="665" w:val="left"/>
        </w:tabs>
        <w:numPr>
          <w:ilvl w:val="0"/>
          <w:numId w:val="499"/>
        </w:numPr>
        <w:rPr>
          <w:rFonts w:ascii="Arial" w:cs="Arial" w:eastAsia="Arial" w:hAnsi="Arial"/>
          <w:sz w:val="17"/>
          <w:szCs w:val="17"/>
          <w:color w:val="auto"/>
        </w:rPr>
      </w:pPr>
      <w:r>
        <w:rPr>
          <w:rFonts w:ascii="Arial" w:cs="Arial" w:eastAsia="Arial" w:hAnsi="Arial"/>
          <w:sz w:val="17"/>
          <w:szCs w:val="17"/>
          <w:i w:val="1"/>
          <w:iCs w:val="1"/>
          <w:color w:val="auto"/>
        </w:rPr>
        <w:t>Discharge of Indemnity</w:t>
      </w:r>
      <w:r>
        <w:rPr>
          <w:rFonts w:ascii="Arial" w:cs="Arial" w:eastAsia="Arial" w:hAnsi="Arial"/>
          <w:sz w:val="17"/>
          <w:szCs w:val="17"/>
          <w:color w:val="auto"/>
        </w:rPr>
        <w:t>. RCPI, RGHL, RGHI and the members of their respective Groups shall discharge their obligations under Section 9(a)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Section 9(b) hereof, respectively, by paying the relevant amount in accordance with Section 10, within five Business Days of demand therefor or, to the extent such amount is required to be paid to a Taxing Authority prior to the expiration of such five Business Days, at least two Business Days prior to the date by which the demanding party is required to pay the related Tax liability. Any such demand shall include a statement showing the amount due under Section 9(a) or Section 9(b), as the case may be. Notwithstanding the foregoing, if any member of the RCPI Group or any member of the RGHL Group disputes in good faith the fact or the amount of its obligation under Section 9(a) or Section 9(b), then no payment of the amount in dispute shall be required until any such good faith dispute is resolved in accordance with Section 16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amount not paid within five Business Days of demand therefor shall bear interest as provided in Section 10.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3" w:right="439" w:bottom="1440" w:gutter="0" w:footer="0" w:header="0"/>
        </w:sectPr>
      </w:pPr>
    </w:p>
    <w:bookmarkStart w:id="572" w:name="page573"/>
    <w:bookmarkEnd w:id="572"/>
    <w:p>
      <w:pPr>
        <w:ind w:left="-40" w:right="60" w:firstLine="444"/>
        <w:spacing w:after="0" w:line="279" w:lineRule="auto"/>
        <w:tabs>
          <w:tab w:leader="none" w:pos="655" w:val="left"/>
        </w:tabs>
        <w:numPr>
          <w:ilvl w:val="0"/>
          <w:numId w:val="50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Benefits</w:t>
      </w:r>
      <w:r>
        <w:rPr>
          <w:rFonts w:ascii="Arial" w:cs="Arial" w:eastAsia="Arial" w:hAnsi="Arial"/>
          <w:sz w:val="17"/>
          <w:szCs w:val="17"/>
          <w:color w:val="auto"/>
        </w:rPr>
        <w:t>. If an indemnification obligation of any Indemnifying Party under this Section 9 arises in respect of an adjustment that makes</w:t>
      </w:r>
      <w:r>
        <w:rPr>
          <w:rFonts w:ascii="Arial" w:cs="Arial" w:eastAsia="Arial" w:hAnsi="Arial"/>
          <w:sz w:val="17"/>
          <w:szCs w:val="17"/>
          <w:i w:val="1"/>
          <w:iCs w:val="1"/>
          <w:color w:val="auto"/>
        </w:rPr>
        <w:t xml:space="preserve"> </w:t>
      </w:r>
      <w:r>
        <w:rPr>
          <w:rFonts w:ascii="Arial" w:cs="Arial" w:eastAsia="Arial" w:hAnsi="Arial"/>
          <w:sz w:val="17"/>
          <w:szCs w:val="17"/>
          <w:color w:val="auto"/>
        </w:rPr>
        <w:t>allowable to an Indemnitee any Tax Benefit which would not, but for such adjustment, be allowable, then any such indemnification obligation shall be an amount equal to (i) the amount otherwise due but for this Section 9(d), minus (ii) the reduction in actual cash Taxes payable by the Indemnitee in the taxable year such indemnification obligation arises, determined on a “with and without” basis.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117" w:lineRule="exact"/>
        <w:rPr>
          <w:sz w:val="20"/>
          <w:szCs w:val="20"/>
          <w:color w:val="auto"/>
        </w:rPr>
      </w:pPr>
    </w:p>
    <w:p>
      <w:pPr>
        <w:ind w:left="-40" w:right="20" w:firstLine="444"/>
        <w:spacing w:after="0" w:line="255" w:lineRule="auto"/>
        <w:tabs>
          <w:tab w:leader="none" w:pos="645" w:val="left"/>
        </w:tabs>
        <w:numPr>
          <w:ilvl w:val="0"/>
          <w:numId w:val="501"/>
        </w:numPr>
        <w:rPr>
          <w:rFonts w:ascii="Arial" w:cs="Arial" w:eastAsia="Arial" w:hAnsi="Arial"/>
          <w:sz w:val="18"/>
          <w:szCs w:val="18"/>
          <w:color w:val="auto"/>
        </w:rPr>
      </w:pPr>
      <w:r>
        <w:rPr>
          <w:rFonts w:ascii="Arial" w:cs="Arial" w:eastAsia="Arial" w:hAnsi="Arial"/>
          <w:sz w:val="18"/>
          <w:szCs w:val="18"/>
          <w:i w:val="1"/>
          <w:iCs w:val="1"/>
          <w:color w:val="auto"/>
        </w:rPr>
        <w:t>Timing</w:t>
      </w:r>
      <w:r>
        <w:rPr>
          <w:rFonts w:ascii="Arial" w:cs="Arial" w:eastAsia="Arial" w:hAnsi="Arial"/>
          <w:sz w:val="18"/>
          <w:szCs w:val="18"/>
          <w:color w:val="auto"/>
        </w:rPr>
        <w:t>. All payments to be made under this Agreement (excluding, for the avoidance of doubt, any payments to a Taxing Authority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shall be made in immediately available funds. Except as otherwise provided, all such payments will be due five Business Days after the receipt of notice of such payment or, where no notice is required, five Business Days after the fixing of liability or the resolution of a dispute (the “</w:t>
      </w:r>
      <w:r>
        <w:rPr>
          <w:rFonts w:ascii="Arial" w:cs="Arial" w:eastAsia="Arial" w:hAnsi="Arial"/>
          <w:sz w:val="18"/>
          <w:szCs w:val="18"/>
          <w:b w:val="1"/>
          <w:bCs w:val="1"/>
          <w:color w:val="auto"/>
        </w:rPr>
        <w:t>Due Date</w:t>
      </w:r>
      <w:r>
        <w:rPr>
          <w:rFonts w:ascii="Arial" w:cs="Arial" w:eastAsia="Arial" w:hAnsi="Arial"/>
          <w:sz w:val="18"/>
          <w:szCs w:val="18"/>
          <w:color w:val="auto"/>
        </w:rPr>
        <w:t>”). Payments shall be deemed made when received. Any payment that is not made on or before the Due Date shall bear interest at the rate equal to the “prime” rate as published on such Due Date in the Wall Street Journal, Eastern Edition, for the period from and including the date immediately following the Due Date through and including the date of payment.</w:t>
      </w:r>
    </w:p>
    <w:p>
      <w:pPr>
        <w:spacing w:after="0" w:line="85" w:lineRule="exact"/>
        <w:rPr>
          <w:rFonts w:ascii="Arial" w:cs="Arial" w:eastAsia="Arial" w:hAnsi="Arial"/>
          <w:sz w:val="18"/>
          <w:szCs w:val="18"/>
          <w:color w:val="auto"/>
        </w:rPr>
      </w:pPr>
    </w:p>
    <w:p>
      <w:pPr>
        <w:jc w:val="both"/>
        <w:ind w:left="-40" w:right="160" w:firstLine="444"/>
        <w:spacing w:after="0" w:line="259" w:lineRule="auto"/>
        <w:tabs>
          <w:tab w:leader="none" w:pos="655" w:val="left"/>
        </w:tabs>
        <w:numPr>
          <w:ilvl w:val="0"/>
          <w:numId w:val="501"/>
        </w:numPr>
        <w:rPr>
          <w:rFonts w:ascii="Arial" w:cs="Arial" w:eastAsia="Arial" w:hAnsi="Arial"/>
          <w:sz w:val="18"/>
          <w:szCs w:val="18"/>
          <w:color w:val="auto"/>
        </w:rPr>
      </w:pPr>
      <w:r>
        <w:rPr>
          <w:rFonts w:ascii="Arial" w:cs="Arial" w:eastAsia="Arial" w:hAnsi="Arial"/>
          <w:sz w:val="18"/>
          <w:szCs w:val="18"/>
          <w:i w:val="1"/>
          <w:iCs w:val="1"/>
          <w:color w:val="auto"/>
        </w:rPr>
        <w:t>Payors and Payees</w:t>
      </w:r>
      <w:r>
        <w:rPr>
          <w:rFonts w:ascii="Arial" w:cs="Arial" w:eastAsia="Arial" w:hAnsi="Arial"/>
          <w:sz w:val="18"/>
          <w:szCs w:val="18"/>
          <w:color w:val="auto"/>
        </w:rPr>
        <w:t>. With respect to any payment required to be made under this Agreement, (i) if such payment is required to be made by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RCPI Group, such payment shall be made to RGHI (or a member of the RGHI Group designated, by written notice to RCPI, by RGHI) and (ii) if such payment is required to be made by a member of the RGHL Group, RGHL shall have the right to designate, by written notice to RCPI, which member of the RGHL Group will make such payment.</w:t>
      </w:r>
    </w:p>
    <w:p>
      <w:pPr>
        <w:spacing w:after="0" w:line="78" w:lineRule="exact"/>
        <w:rPr>
          <w:rFonts w:ascii="Arial" w:cs="Arial" w:eastAsia="Arial" w:hAnsi="Arial"/>
          <w:sz w:val="18"/>
          <w:szCs w:val="18"/>
          <w:color w:val="auto"/>
        </w:rPr>
      </w:pPr>
    </w:p>
    <w:p>
      <w:pPr>
        <w:ind w:left="640" w:hanging="236"/>
        <w:spacing w:after="0"/>
        <w:tabs>
          <w:tab w:leader="none" w:pos="640" w:val="left"/>
        </w:tabs>
        <w:numPr>
          <w:ilvl w:val="0"/>
          <w:numId w:val="501"/>
        </w:numPr>
        <w:rPr>
          <w:rFonts w:ascii="Arial" w:cs="Arial" w:eastAsia="Arial" w:hAnsi="Arial"/>
          <w:sz w:val="18"/>
          <w:szCs w:val="18"/>
          <w:color w:val="auto"/>
        </w:rPr>
      </w:pPr>
      <w:r>
        <w:rPr>
          <w:rFonts w:ascii="Arial" w:cs="Arial" w:eastAsia="Arial" w:hAnsi="Arial"/>
          <w:sz w:val="18"/>
          <w:szCs w:val="18"/>
          <w:i w:val="1"/>
          <w:iCs w:val="1"/>
          <w:color w:val="auto"/>
        </w:rPr>
        <w:t>Treatment of Payments</w:t>
      </w:r>
      <w:r>
        <w:rPr>
          <w:rFonts w:ascii="Arial" w:cs="Arial" w:eastAsia="Arial" w:hAnsi="Arial"/>
          <w:sz w:val="18"/>
          <w:szCs w:val="18"/>
          <w:color w:val="auto"/>
        </w:rPr>
        <w:t>. To the extent permitted by Applicable Law,</w:t>
      </w:r>
    </w:p>
    <w:p>
      <w:pPr>
        <w:spacing w:after="0" w:line="117" w:lineRule="exact"/>
        <w:rPr>
          <w:rFonts w:ascii="Arial" w:cs="Arial" w:eastAsia="Arial" w:hAnsi="Arial"/>
          <w:sz w:val="18"/>
          <w:szCs w:val="18"/>
          <w:color w:val="auto"/>
        </w:rPr>
      </w:pPr>
    </w:p>
    <w:p>
      <w:pPr>
        <w:ind w:left="400" w:right="60" w:firstLine="428"/>
        <w:spacing w:after="0" w:line="264" w:lineRule="auto"/>
        <w:tabs>
          <w:tab w:leader="none" w:pos="1038"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any payment made by RCPI or any member of the RCPI Group to RGHI or any member of the RGHI Group pursuant to this Agreement (other than in respect of Taxes allocated to RGHI in respect of a Post-Distribution Period) shall be treated by the parties hereto for all Tax purposes as a distribution by RCPI to RGHI, immediately prior to the First Distribution;</w:t>
      </w:r>
    </w:p>
    <w:p>
      <w:pPr>
        <w:spacing w:after="0" w:line="73" w:lineRule="exact"/>
        <w:rPr>
          <w:rFonts w:ascii="Arial" w:cs="Arial" w:eastAsia="Arial" w:hAnsi="Arial"/>
          <w:sz w:val="18"/>
          <w:szCs w:val="18"/>
          <w:color w:val="auto"/>
        </w:rPr>
      </w:pPr>
    </w:p>
    <w:p>
      <w:pPr>
        <w:ind w:left="400" w:right="20" w:firstLine="428"/>
        <w:spacing w:after="0" w:line="312" w:lineRule="auto"/>
        <w:tabs>
          <w:tab w:leader="none" w:pos="1088" w:val="left"/>
        </w:tabs>
        <w:numPr>
          <w:ilvl w:val="1"/>
          <w:numId w:val="501"/>
        </w:numPr>
        <w:rPr>
          <w:rFonts w:ascii="Arial" w:cs="Arial" w:eastAsia="Arial" w:hAnsi="Arial"/>
          <w:sz w:val="16"/>
          <w:szCs w:val="16"/>
          <w:color w:val="auto"/>
        </w:rPr>
      </w:pPr>
      <w:r>
        <w:rPr>
          <w:rFonts w:ascii="Arial" w:cs="Arial" w:eastAsia="Arial" w:hAnsi="Arial"/>
          <w:sz w:val="16"/>
          <w:szCs w:val="16"/>
          <w:color w:val="auto"/>
        </w:rPr>
        <w:t>any payment made by RGHI or any member of the RGHI Group to RCPI or any member of the RCPI Group pursuant to this Agreement (other than in respect of Taxes allocated to RGHI in respect of a Post-Distribution Period) or the Transaction Implementation Agreement shall be treated by the parties hereto for all Tax purposes as a capital contribution from RGHI to RCPI, immediately prior to the First Distribution;</w:t>
      </w:r>
    </w:p>
    <w:p>
      <w:pPr>
        <w:spacing w:after="0" w:line="38" w:lineRule="exact"/>
        <w:rPr>
          <w:rFonts w:ascii="Arial" w:cs="Arial" w:eastAsia="Arial" w:hAnsi="Arial"/>
          <w:sz w:val="16"/>
          <w:szCs w:val="16"/>
          <w:color w:val="auto"/>
        </w:rPr>
      </w:pPr>
    </w:p>
    <w:p>
      <w:pPr>
        <w:jc w:val="both"/>
        <w:ind w:left="400" w:firstLine="428"/>
        <w:spacing w:after="0" w:line="312" w:lineRule="auto"/>
        <w:tabs>
          <w:tab w:leader="none" w:pos="1138" w:val="left"/>
        </w:tabs>
        <w:numPr>
          <w:ilvl w:val="1"/>
          <w:numId w:val="501"/>
        </w:numPr>
        <w:rPr>
          <w:rFonts w:ascii="Arial" w:cs="Arial" w:eastAsia="Arial" w:hAnsi="Arial"/>
          <w:sz w:val="16"/>
          <w:szCs w:val="16"/>
          <w:color w:val="auto"/>
        </w:rPr>
      </w:pPr>
      <w:r>
        <w:rPr>
          <w:rFonts w:ascii="Arial" w:cs="Arial" w:eastAsia="Arial" w:hAnsi="Arial"/>
          <w:sz w:val="16"/>
          <w:szCs w:val="16"/>
          <w:color w:val="auto"/>
        </w:rPr>
        <w:t>any payment made by RGHL or any member of the RGHL Group (other than any member of the RGHI Group) to RCPI or any member of the RCPI Group pursuant to this Agreement (other than in respect of Taxes allocated to RGHL in respect of a Post-Distribution Period) shall be treated by the parties hereto for all Tax purposes as a contribution by RGHL to RCPI immediately prior to the Second Distribution;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573" w:name="page574"/>
    <w:bookmarkEnd w:id="573"/>
    <w:p>
      <w:pPr>
        <w:ind w:left="440" w:right="80" w:firstLine="428"/>
        <w:spacing w:after="0" w:line="342" w:lineRule="auto"/>
        <w:tabs>
          <w:tab w:leader="none" w:pos="1168" w:val="left"/>
        </w:tabs>
        <w:numPr>
          <w:ilvl w:val="1"/>
          <w:numId w:val="5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forgoing, any payment made pursuant to Section [3] of the Transaction Implementation Agreement shall instead be treated as if the party required to make a payment of received amounts had received such amounts as agent for the other party; and</w:t>
      </w:r>
    </w:p>
    <w:p>
      <w:pPr>
        <w:spacing w:after="0" w:line="15" w:lineRule="exact"/>
        <w:rPr>
          <w:rFonts w:ascii="Arial" w:cs="Arial" w:eastAsia="Arial" w:hAnsi="Arial"/>
          <w:sz w:val="16"/>
          <w:szCs w:val="16"/>
          <w:color w:val="auto"/>
        </w:rPr>
      </w:pPr>
    </w:p>
    <w:p>
      <w:pPr>
        <w:ind w:left="440" w:right="80" w:firstLine="428"/>
        <w:spacing w:after="0" w:line="342" w:lineRule="auto"/>
        <w:tabs>
          <w:tab w:leader="none" w:pos="1118" w:val="left"/>
        </w:tabs>
        <w:numPr>
          <w:ilvl w:val="1"/>
          <w:numId w:val="502"/>
        </w:numPr>
        <w:rPr>
          <w:rFonts w:ascii="Arial" w:cs="Arial" w:eastAsia="Arial" w:hAnsi="Arial"/>
          <w:sz w:val="16"/>
          <w:szCs w:val="16"/>
          <w:color w:val="auto"/>
        </w:rPr>
      </w:pPr>
      <w:r>
        <w:rPr>
          <w:rFonts w:ascii="Arial" w:cs="Arial" w:eastAsia="Arial" w:hAnsi="Arial"/>
          <w:sz w:val="16"/>
          <w:szCs w:val="16"/>
          <w:color w:val="auto"/>
        </w:rPr>
        <w:t>in the event that a Taxing Authority asserts that a party’s treatment of a payment described in this Section 10(b) should be other than as required herein, such party shall use its reasonable best efforts to contest such assertion in a manner consistent with Section 13 of this Agreement.</w:t>
      </w:r>
    </w:p>
    <w:p>
      <w:pPr>
        <w:spacing w:after="0" w:line="15" w:lineRule="exact"/>
        <w:rPr>
          <w:rFonts w:ascii="Arial" w:cs="Arial" w:eastAsia="Arial" w:hAnsi="Arial"/>
          <w:sz w:val="16"/>
          <w:szCs w:val="16"/>
          <w:color w:val="auto"/>
        </w:rPr>
      </w:pPr>
    </w:p>
    <w:p>
      <w:pPr>
        <w:ind w:right="140" w:firstLine="444"/>
        <w:spacing w:after="0" w:line="342" w:lineRule="auto"/>
        <w:tabs>
          <w:tab w:leader="none" w:pos="695" w:val="left"/>
        </w:tabs>
        <w:numPr>
          <w:ilvl w:val="0"/>
          <w:numId w:val="503"/>
        </w:numPr>
        <w:rPr>
          <w:rFonts w:ascii="Arial" w:cs="Arial" w:eastAsia="Arial" w:hAnsi="Arial"/>
          <w:sz w:val="16"/>
          <w:szCs w:val="16"/>
          <w:color w:val="auto"/>
        </w:rPr>
      </w:pPr>
      <w:r>
        <w:rPr>
          <w:rFonts w:ascii="Arial" w:cs="Arial" w:eastAsia="Arial" w:hAnsi="Arial"/>
          <w:sz w:val="16"/>
          <w:szCs w:val="16"/>
          <w:i w:val="1"/>
          <w:iCs w:val="1"/>
          <w:color w:val="auto"/>
        </w:rPr>
        <w:t xml:space="preserve">No Duplicative Payment. </w:t>
      </w:r>
      <w:r>
        <w:rPr>
          <w:rFonts w:ascii="Arial" w:cs="Arial" w:eastAsia="Arial" w:hAnsi="Arial"/>
          <w:sz w:val="16"/>
          <w:szCs w:val="16"/>
          <w:color w:val="auto"/>
        </w:rPr>
        <w:t>It is intended that the provisions of this Agreement shall not result in a duplicative payment of any amount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paid under the Transaction Implementation Agreement or any other Transaction Document, and this Agreement shall be construed accordingly.</w:t>
      </w:r>
    </w:p>
    <w:p>
      <w:pPr>
        <w:spacing w:after="0" w:line="124"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Actions by the Group</w:t>
      </w:r>
      <w:r>
        <w:rPr>
          <w:rFonts w:ascii="Arial" w:cs="Arial" w:eastAsia="Arial" w:hAnsi="Arial"/>
          <w:sz w:val="18"/>
          <w:szCs w:val="18"/>
          <w:color w:val="auto"/>
        </w:rPr>
        <w:t>. RGHL or RCPI, as the case may be, shall cause each member of the RGHL Group or the RCPI Group, respectively, to perform the obligations required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Communication and Cooperation</w:t>
      </w:r>
      <w:r>
        <w:rPr>
          <w:rFonts w:ascii="Arial" w:cs="Arial" w:eastAsia="Arial" w:hAnsi="Arial"/>
          <w:sz w:val="18"/>
          <w:szCs w:val="18"/>
          <w:color w:val="auto"/>
        </w:rPr>
        <w:t>.</w:t>
      </w:r>
    </w:p>
    <w:p>
      <w:pPr>
        <w:spacing w:after="0" w:line="117" w:lineRule="exact"/>
        <w:rPr>
          <w:sz w:val="20"/>
          <w:szCs w:val="20"/>
          <w:color w:val="auto"/>
        </w:rPr>
      </w:pPr>
    </w:p>
    <w:p>
      <w:pPr>
        <w:jc w:val="both"/>
        <w:ind w:firstLine="444"/>
        <w:spacing w:after="0" w:line="264" w:lineRule="auto"/>
        <w:tabs>
          <w:tab w:leader="none" w:pos="685" w:val="left"/>
        </w:tabs>
        <w:numPr>
          <w:ilvl w:val="0"/>
          <w:numId w:val="504"/>
        </w:numPr>
        <w:rPr>
          <w:rFonts w:ascii="Arial" w:cs="Arial" w:eastAsia="Arial" w:hAnsi="Arial"/>
          <w:sz w:val="18"/>
          <w:szCs w:val="18"/>
          <w:color w:val="auto"/>
        </w:rPr>
      </w:pPr>
      <w:r>
        <w:rPr>
          <w:rFonts w:ascii="Arial" w:cs="Arial" w:eastAsia="Arial" w:hAnsi="Arial"/>
          <w:sz w:val="18"/>
          <w:szCs w:val="18"/>
          <w:i w:val="1"/>
          <w:iCs w:val="1"/>
          <w:color w:val="auto"/>
        </w:rPr>
        <w:t xml:space="preserve">Consult and Cooperate. </w:t>
      </w:r>
      <w:r>
        <w:rPr>
          <w:rFonts w:ascii="Arial" w:cs="Arial" w:eastAsia="Arial" w:hAnsi="Arial"/>
          <w:sz w:val="18"/>
          <w:szCs w:val="18"/>
          <w:color w:val="auto"/>
        </w:rPr>
        <w:t>RGHL and RCPI shall consult and cooperate (and shall cause each other member of their respective Groups to consult</w:t>
      </w:r>
      <w:r>
        <w:rPr>
          <w:rFonts w:ascii="Arial" w:cs="Arial" w:eastAsia="Arial" w:hAnsi="Arial"/>
          <w:sz w:val="18"/>
          <w:szCs w:val="18"/>
          <w:i w:val="1"/>
          <w:iCs w:val="1"/>
          <w:color w:val="auto"/>
        </w:rPr>
        <w:t xml:space="preserve"> </w:t>
      </w:r>
      <w:r>
        <w:rPr>
          <w:rFonts w:ascii="Arial" w:cs="Arial" w:eastAsia="Arial" w:hAnsi="Arial"/>
          <w:sz w:val="18"/>
          <w:szCs w:val="18"/>
          <w:color w:val="auto"/>
        </w:rPr>
        <w:t>and cooperate) fully at such time and to the extent reasonably requested by the other party in connection with all matters subject to this Agreement. Such cooperation shall include, without limitation:</w:t>
      </w:r>
    </w:p>
    <w:p>
      <w:pPr>
        <w:spacing w:after="0" w:line="73" w:lineRule="exact"/>
        <w:rPr>
          <w:rFonts w:ascii="Arial" w:cs="Arial" w:eastAsia="Arial" w:hAnsi="Arial"/>
          <w:sz w:val="18"/>
          <w:szCs w:val="18"/>
          <w:color w:val="auto"/>
        </w:rPr>
      </w:pPr>
    </w:p>
    <w:p>
      <w:pPr>
        <w:ind w:left="440" w:right="20" w:firstLine="428"/>
        <w:spacing w:after="0" w:line="302" w:lineRule="auto"/>
        <w:tabs>
          <w:tab w:leader="none" w:pos="1078" w:val="left"/>
        </w:tabs>
        <w:numPr>
          <w:ilvl w:val="1"/>
          <w:numId w:val="504"/>
        </w:numPr>
        <w:rPr>
          <w:rFonts w:ascii="Arial" w:cs="Arial" w:eastAsia="Arial" w:hAnsi="Arial"/>
          <w:sz w:val="16"/>
          <w:szCs w:val="16"/>
          <w:color w:val="auto"/>
        </w:rPr>
      </w:pPr>
      <w:r>
        <w:rPr>
          <w:rFonts w:ascii="Arial" w:cs="Arial" w:eastAsia="Arial" w:hAnsi="Arial"/>
          <w:sz w:val="16"/>
          <w:szCs w:val="16"/>
          <w:color w:val="auto"/>
        </w:rPr>
        <w:t>the retention, and provision on reasonable request, of any and all information including all books, records, documentation or other information pertaining to Tax matters relating to the RCPI Group (or, in the case of any Tax Return of the RGHL Group, the portion of such return that relates to Taxes for which the RCPI Group may be liable pursuant to this Agreement), any necessary explanations of information, and access to personnel, until one year after the expiration of the applicable statute of limitation (giving effect to any extension, waiver or mitigation thereof);</w:t>
      </w:r>
    </w:p>
    <w:p>
      <w:pPr>
        <w:spacing w:after="0" w:line="46" w:lineRule="exact"/>
        <w:rPr>
          <w:rFonts w:ascii="Arial" w:cs="Arial" w:eastAsia="Arial" w:hAnsi="Arial"/>
          <w:sz w:val="16"/>
          <w:szCs w:val="16"/>
          <w:color w:val="auto"/>
        </w:rPr>
      </w:pPr>
    </w:p>
    <w:p>
      <w:pPr>
        <w:ind w:left="440" w:right="120" w:firstLine="428"/>
        <w:spacing w:after="0" w:line="277" w:lineRule="auto"/>
        <w:tabs>
          <w:tab w:leader="none" w:pos="112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execution of any document that may be necessary (including to give effect to Section 13) or helpful in connection with any required Tax Return or in connection with any audit, proceeding, suit or action; and</w:t>
      </w:r>
    </w:p>
    <w:p>
      <w:pPr>
        <w:spacing w:after="0" w:line="62" w:lineRule="exact"/>
        <w:rPr>
          <w:rFonts w:ascii="Arial" w:cs="Arial" w:eastAsia="Arial" w:hAnsi="Arial"/>
          <w:sz w:val="18"/>
          <w:szCs w:val="18"/>
          <w:color w:val="auto"/>
        </w:rPr>
      </w:pPr>
    </w:p>
    <w:p>
      <w:pPr>
        <w:ind w:left="440" w:right="60" w:firstLine="428"/>
        <w:spacing w:after="0" w:line="277" w:lineRule="auto"/>
        <w:tabs>
          <w:tab w:leader="none" w:pos="117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use of the parties’ commercially reasonable efforts to obtain any documentation from a Governmental Authority or a third party that may be necessary or helpful in connection with the foregoing.</w:t>
      </w:r>
    </w:p>
    <w:p>
      <w:pPr>
        <w:spacing w:after="0" w:line="62" w:lineRule="exact"/>
        <w:rPr>
          <w:rFonts w:ascii="Arial" w:cs="Arial" w:eastAsia="Arial" w:hAnsi="Arial"/>
          <w:sz w:val="18"/>
          <w:szCs w:val="18"/>
          <w:color w:val="auto"/>
        </w:rPr>
      </w:pPr>
    </w:p>
    <w:p>
      <w:pPr>
        <w:ind w:right="600" w:firstLine="444"/>
        <w:spacing w:after="0" w:line="277" w:lineRule="auto"/>
        <w:tabs>
          <w:tab w:leader="none" w:pos="695" w:val="left"/>
        </w:tabs>
        <w:numPr>
          <w:ilvl w:val="0"/>
          <w:numId w:val="504"/>
        </w:numPr>
        <w:rPr>
          <w:rFonts w:ascii="Arial" w:cs="Arial" w:eastAsia="Arial" w:hAnsi="Arial"/>
          <w:sz w:val="18"/>
          <w:szCs w:val="18"/>
          <w:color w:val="auto"/>
        </w:rPr>
      </w:pPr>
      <w:r>
        <w:rPr>
          <w:rFonts w:ascii="Arial" w:cs="Arial" w:eastAsia="Arial" w:hAnsi="Arial"/>
          <w:sz w:val="18"/>
          <w:szCs w:val="18"/>
          <w:i w:val="1"/>
          <w:iCs w:val="1"/>
          <w:color w:val="auto"/>
        </w:rPr>
        <w:t xml:space="preserve">Provide Information. </w:t>
      </w:r>
      <w:r>
        <w:rPr>
          <w:rFonts w:ascii="Arial" w:cs="Arial" w:eastAsia="Arial" w:hAnsi="Arial"/>
          <w:sz w:val="18"/>
          <w:szCs w:val="18"/>
          <w:color w:val="auto"/>
        </w:rPr>
        <w:t>Except as set forth in Section 13, RGHL and RCPI shall keep each other reasonably informed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development relating to the matters subject to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574" w:name="page575"/>
    <w:bookmarkEnd w:id="574"/>
    <w:p>
      <w:pPr>
        <w:jc w:val="both"/>
        <w:ind w:right="140" w:firstLine="444"/>
        <w:spacing w:after="0" w:line="312" w:lineRule="auto"/>
        <w:tabs>
          <w:tab w:leader="none" w:pos="685" w:val="left"/>
        </w:tabs>
        <w:numPr>
          <w:ilvl w:val="0"/>
          <w:numId w:val="50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 Attribute Matters. </w:t>
      </w:r>
      <w:r>
        <w:rPr>
          <w:rFonts w:ascii="Arial" w:cs="Arial" w:eastAsia="Arial" w:hAnsi="Arial"/>
          <w:sz w:val="16"/>
          <w:szCs w:val="16"/>
          <w:color w:val="auto"/>
        </w:rPr>
        <w:t>RGHL and RCPI shall promptly advise each other with respect to any proposed Tax adjustments that are the subject of</w:t>
      </w:r>
      <w:r>
        <w:rPr>
          <w:rFonts w:ascii="Arial" w:cs="Arial" w:eastAsia="Arial" w:hAnsi="Arial"/>
          <w:sz w:val="16"/>
          <w:szCs w:val="16"/>
          <w:i w:val="1"/>
          <w:iCs w:val="1"/>
          <w:color w:val="auto"/>
        </w:rPr>
        <w:t xml:space="preserve"> </w:t>
      </w:r>
      <w:r>
        <w:rPr>
          <w:rFonts w:ascii="Arial" w:cs="Arial" w:eastAsia="Arial" w:hAnsi="Arial"/>
          <w:sz w:val="16"/>
          <w:szCs w:val="16"/>
          <w:color w:val="auto"/>
        </w:rPr>
        <w:t>an audit or investigation, or are the subject of any proceeding or litigation, and that may affect any Tax liability or any Tax Attribute (including, but not limited to, basis in an asset or the amount of earnings and profits) of any member of the RCPI Group or any member of the RGHL Group, respectively.</w:t>
      </w:r>
    </w:p>
    <w:p>
      <w:pPr>
        <w:spacing w:after="0" w:line="38" w:lineRule="exact"/>
        <w:rPr>
          <w:rFonts w:ascii="Arial" w:cs="Arial" w:eastAsia="Arial" w:hAnsi="Arial"/>
          <w:sz w:val="16"/>
          <w:szCs w:val="16"/>
          <w:color w:val="auto"/>
        </w:rPr>
      </w:pPr>
    </w:p>
    <w:p>
      <w:pPr>
        <w:ind w:firstLine="444"/>
        <w:spacing w:after="0" w:line="268" w:lineRule="auto"/>
        <w:tabs>
          <w:tab w:leader="none" w:pos="695" w:val="left"/>
        </w:tabs>
        <w:numPr>
          <w:ilvl w:val="0"/>
          <w:numId w:val="505"/>
        </w:numPr>
        <w:rPr>
          <w:rFonts w:ascii="Arial" w:cs="Arial" w:eastAsia="Arial" w:hAnsi="Arial"/>
          <w:sz w:val="17"/>
          <w:szCs w:val="17"/>
          <w:color w:val="auto"/>
        </w:rPr>
      </w:pPr>
      <w:r>
        <w:rPr>
          <w:rFonts w:ascii="Arial" w:cs="Arial" w:eastAsia="Arial" w:hAnsi="Arial"/>
          <w:sz w:val="17"/>
          <w:szCs w:val="17"/>
          <w:i w:val="1"/>
          <w:iCs w:val="1"/>
          <w:color w:val="auto"/>
        </w:rPr>
        <w:t>Confidentiality and Privileged Information</w:t>
      </w:r>
      <w:r>
        <w:rPr>
          <w:rFonts w:ascii="Arial" w:cs="Arial" w:eastAsia="Arial" w:hAnsi="Arial"/>
          <w:sz w:val="17"/>
          <w:szCs w:val="17"/>
          <w:color w:val="auto"/>
        </w:rPr>
        <w:t>. Any information or documents provided under this Agreement shall be kept confidential by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party receiving the information or documents, except as may otherwise be necessary in connection with the filing of required Tax Returns or in connection with any audit, proceeding, suit or action. Without limiting the foregoing (and notwithstanding any other provision of this Agreement or any other agreement), (i) no member of the RGHL Group or RCPI Group, respectively, shall be required to provide any member of the RCPI Group or RGHL Group, respectively, or any other Person access to or copies of any information or procedures other than information or procedures that relate solely to RCPI, the business or assets of any member of the RCPI Group, or matters for which RCPI or RGHL Group, respectively, has an obligation to indemnify under this Agreement, and (ii) in no event shall any member of the RGHL Group or the RCPI Group, respectively, be required to provide any member of the RCPI Group or RGHL Group, respectively, or any other Person access to or copies of any information if such action could reasonably be expected to result in the waiver of any privilege. Notwithstanding the foregoing, in the event that RGHL or RCPI, respectively, determines that the provision of any information to any member of the RCPI Group or RGHL Group, respectively, could be commercially detrimental or violate any law or agreement to which RGHL or RCPI, respectively, is bound, RGHL or RCPI, respectively, shall not be required to comply with the foregoing terms of this Section 12(d) except to the extent that it is able, using commercially reasonable efforts, to do so while avoiding such harm or consequence (and shall promptly provide notice to RGHL or RCPI, to the extent such access to or copies of any information is provided to a Person other than a member of the RGHL Group or RCPI Group (as applicable)).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Audits and Contest</w:t>
      </w:r>
      <w:r>
        <w:rPr>
          <w:rFonts w:ascii="Arial" w:cs="Arial" w:eastAsia="Arial" w:hAnsi="Arial"/>
          <w:sz w:val="18"/>
          <w:szCs w:val="18"/>
          <w:color w:val="auto"/>
        </w:rPr>
        <w:t>.</w:t>
      </w:r>
    </w:p>
    <w:p>
      <w:pPr>
        <w:spacing w:after="0" w:line="117" w:lineRule="exact"/>
        <w:rPr>
          <w:sz w:val="20"/>
          <w:szCs w:val="20"/>
          <w:color w:val="auto"/>
        </w:rPr>
      </w:pPr>
    </w:p>
    <w:p>
      <w:pPr>
        <w:jc w:val="both"/>
        <w:ind w:right="80" w:firstLine="444"/>
        <w:spacing w:after="0" w:line="259" w:lineRule="auto"/>
        <w:tabs>
          <w:tab w:leader="none" w:pos="685" w:val="left"/>
        </w:tabs>
        <w:numPr>
          <w:ilvl w:val="0"/>
          <w:numId w:val="506"/>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Each of RGHL or RCPI shall promptly notify the other in writing upon the receipt of any notice of Tax Proceeding from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Taxing Authority that may affect the liability of any member of the RCPI Group or the RGHL Group, respectively, for Taxes under Applicable Law or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that a party’s right to indemnification under this Agreement shall not be limited in any way by a failure to so notify, except to the extent that the indemnifying party is prejudiced by such failure</w:t>
      </w:r>
    </w:p>
    <w:p>
      <w:pPr>
        <w:spacing w:after="0" w:line="78" w:lineRule="exact"/>
        <w:rPr>
          <w:rFonts w:ascii="Arial" w:cs="Arial" w:eastAsia="Arial" w:hAnsi="Arial"/>
          <w:sz w:val="18"/>
          <w:szCs w:val="18"/>
          <w:color w:val="auto"/>
        </w:rPr>
      </w:pPr>
    </w:p>
    <w:p>
      <w:pPr>
        <w:ind w:right="40" w:firstLine="444"/>
        <w:spacing w:after="0" w:line="273" w:lineRule="auto"/>
        <w:tabs>
          <w:tab w:leader="none" w:pos="695" w:val="left"/>
        </w:tabs>
        <w:numPr>
          <w:ilvl w:val="0"/>
          <w:numId w:val="506"/>
        </w:numPr>
        <w:rPr>
          <w:rFonts w:ascii="Arial" w:cs="Arial" w:eastAsia="Arial" w:hAnsi="Arial"/>
          <w:sz w:val="17"/>
          <w:szCs w:val="17"/>
          <w:color w:val="auto"/>
        </w:rPr>
      </w:pPr>
      <w:r>
        <w:rPr>
          <w:rFonts w:ascii="Arial" w:cs="Arial" w:eastAsia="Arial" w:hAnsi="Arial"/>
          <w:sz w:val="17"/>
          <w:szCs w:val="17"/>
          <w:i w:val="1"/>
          <w:iCs w:val="1"/>
          <w:color w:val="auto"/>
        </w:rPr>
        <w:t>Control</w:t>
      </w:r>
      <w:r>
        <w:rPr>
          <w:rFonts w:ascii="Arial" w:cs="Arial" w:eastAsia="Arial" w:hAnsi="Arial"/>
          <w:sz w:val="17"/>
          <w:szCs w:val="17"/>
          <w:color w:val="auto"/>
        </w:rPr>
        <w:t>. In the case of any Tax Proceeding with respect to a Tax Return other than a Combined Tax Return, the Party having the liability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Tax pursuant to Section 3 hereof shall have the sole responsibility and right to control the prosecution of such Tax Proceeding, including the exclusive right to communicate with agents of the applicable Taxing Authority and to control, resolve, settle, or agree to any deficiency, claim, or adjustment proposed, asserted, or assessed in connection with or as a result of such Tax Proceeding. Notwithstanding anything in this Agreement to the contrary but subject to Section 13(d), RGHL shall have the right to control all matters relating to any Tax Return, or any Tax Proceeding, with respect to any Tax matters of a Combined Group or any member of a Combined Group (as such). RGHL shall have absolute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3" w:right="439" w:bottom="1440" w:gutter="0" w:footer="0" w:header="0"/>
        </w:sectPr>
      </w:pPr>
    </w:p>
    <w:bookmarkStart w:id="575" w:name="page576"/>
    <w:bookmarkEnd w:id="575"/>
    <w:p>
      <w:pPr>
        <w:ind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discretion with respect to any decisions to be made, or the nature of any action to be taken, with respect to any Tax matter described in the preceding sentence;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that any Tax Proceeding relating to such a Tax matter is reasonably likely to give rise to an indemnity obligation of RCPI under Section 9 hereof, (i) RGHL shall keep RCPI informed of all material developments and events relating to any such Tax Proceeding described in this proviso and (ii) at its own cost and expense, RCPI shall have the right to participate in (but not to control) the defense of any such Tax Proceeding.</w:t>
      </w:r>
    </w:p>
    <w:p>
      <w:pPr>
        <w:spacing w:after="0" w:line="80" w:lineRule="exact"/>
        <w:rPr>
          <w:sz w:val="20"/>
          <w:szCs w:val="20"/>
          <w:color w:val="auto"/>
        </w:rPr>
      </w:pPr>
    </w:p>
    <w:p>
      <w:pPr>
        <w:ind w:firstLine="444"/>
        <w:spacing w:after="0" w:line="273" w:lineRule="auto"/>
        <w:tabs>
          <w:tab w:leader="none" w:pos="685" w:val="left"/>
        </w:tabs>
        <w:numPr>
          <w:ilvl w:val="0"/>
          <w:numId w:val="507"/>
        </w:numPr>
        <w:rPr>
          <w:rFonts w:ascii="Arial" w:cs="Arial" w:eastAsia="Arial" w:hAnsi="Arial"/>
          <w:sz w:val="17"/>
          <w:szCs w:val="17"/>
          <w:color w:val="auto"/>
        </w:rPr>
      </w:pPr>
      <w:r>
        <w:rPr>
          <w:rFonts w:ascii="Arial" w:cs="Arial" w:eastAsia="Arial" w:hAnsi="Arial"/>
          <w:sz w:val="17"/>
          <w:szCs w:val="17"/>
          <w:i w:val="1"/>
          <w:iCs w:val="1"/>
          <w:color w:val="auto"/>
        </w:rPr>
        <w:t>RCPI Assumption of Control; Non-Distribution Taxes</w:t>
      </w:r>
      <w:r>
        <w:rPr>
          <w:rFonts w:ascii="Arial" w:cs="Arial" w:eastAsia="Arial" w:hAnsi="Arial"/>
          <w:sz w:val="17"/>
          <w:szCs w:val="17"/>
          <w:color w:val="auto"/>
        </w:rPr>
        <w:t>. If RGHL determines that the resolution of any matter pursuant to a Tax Proceeding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a Tax Proceeding relating to Distribution Taxes) is reasonably likely to have an adverse effect on the RCPI Group with respect to any Post-Distribution Period, RGHL, in its sole discretion, may permit RCPI to elect to assume control over the disposition of such matter at RCPI’s sole cost and expense;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RCPI so elects, it will (i) be responsible for the payment of any liability arising from the disposition of such matter notwithstanding any other provision of this Agreement to the contrary and (ii) indemnify each member of the RGHL Group for any increase in a liability and any reduction of a Tax asset of such member of the RGHL Group arising from such matter.</w:t>
      </w:r>
    </w:p>
    <w:p>
      <w:pPr>
        <w:spacing w:after="0" w:line="70" w:lineRule="exact"/>
        <w:rPr>
          <w:rFonts w:ascii="Arial" w:cs="Arial" w:eastAsia="Arial" w:hAnsi="Arial"/>
          <w:sz w:val="17"/>
          <w:szCs w:val="17"/>
          <w:color w:val="auto"/>
        </w:rPr>
      </w:pPr>
    </w:p>
    <w:p>
      <w:pPr>
        <w:ind w:right="20" w:firstLine="444"/>
        <w:spacing w:after="0" w:line="264" w:lineRule="auto"/>
        <w:tabs>
          <w:tab w:leader="none" w:pos="695" w:val="left"/>
        </w:tabs>
        <w:numPr>
          <w:ilvl w:val="0"/>
          <w:numId w:val="507"/>
        </w:numPr>
        <w:rPr>
          <w:rFonts w:ascii="Arial" w:cs="Arial" w:eastAsia="Arial" w:hAnsi="Arial"/>
          <w:sz w:val="18"/>
          <w:szCs w:val="18"/>
          <w:color w:val="auto"/>
        </w:rPr>
      </w:pPr>
      <w:r>
        <w:rPr>
          <w:rFonts w:ascii="Arial" w:cs="Arial" w:eastAsia="Arial" w:hAnsi="Arial"/>
          <w:sz w:val="18"/>
          <w:szCs w:val="18"/>
          <w:i w:val="1"/>
          <w:iCs w:val="1"/>
          <w:color w:val="auto"/>
        </w:rPr>
        <w:t>RCPI Participation; Distribution Taxes</w:t>
      </w:r>
      <w:r>
        <w:rPr>
          <w:rFonts w:ascii="Arial" w:cs="Arial" w:eastAsia="Arial" w:hAnsi="Arial"/>
          <w:sz w:val="18"/>
          <w:szCs w:val="18"/>
          <w:color w:val="auto"/>
        </w:rPr>
        <w:t>. RGHL shall have the right to control any Tax Proceeding relating to Distribution Taxes;</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 that</w:t>
      </w:r>
      <w:r>
        <w:rPr>
          <w:rFonts w:ascii="Arial" w:cs="Arial" w:eastAsia="Arial" w:hAnsi="Arial"/>
          <w:sz w:val="18"/>
          <w:szCs w:val="18"/>
          <w:i w:val="1"/>
          <w:iCs w:val="1"/>
          <w:color w:val="auto"/>
        </w:rPr>
        <w:t xml:space="preserve"> </w:t>
      </w:r>
      <w:r>
        <w:rPr>
          <w:rFonts w:ascii="Arial" w:cs="Arial" w:eastAsia="Arial" w:hAnsi="Arial"/>
          <w:sz w:val="18"/>
          <w:szCs w:val="18"/>
          <w:color w:val="auto"/>
        </w:rPr>
        <w:t>RGHL shall keep RCPI fully informed of all material developments and shall permit RCPI (at its own cost and expense) a reasonable opportunity to participate in (but not to control) the defense of the matter.</w:t>
      </w:r>
    </w:p>
    <w:p>
      <w:pPr>
        <w:spacing w:after="0" w:line="181" w:lineRule="exact"/>
        <w:rPr>
          <w:sz w:val="20"/>
          <w:szCs w:val="20"/>
          <w:color w:val="auto"/>
        </w:rPr>
      </w:pPr>
    </w:p>
    <w:p>
      <w:pPr>
        <w:ind w:right="320" w:firstLine="441"/>
        <w:spacing w:after="0" w:line="29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i w:val="1"/>
          <w:iCs w:val="1"/>
          <w:color w:val="auto"/>
        </w:rPr>
        <w:t>Costs and Expenses.</w:t>
      </w:r>
      <w:r>
        <w:rPr>
          <w:rFonts w:ascii="Arial" w:cs="Arial" w:eastAsia="Arial" w:hAnsi="Arial"/>
          <w:sz w:val="16"/>
          <w:szCs w:val="16"/>
          <w:color w:val="auto"/>
        </w:rPr>
        <w:t xml:space="preserve"> Except as expressly set forth in this Agreement, each party shall bear its own costs and expenses incurred pursuant to this Agreement. For purposes of this Agreement, costs and expenses shall include, but not be limited to, reasonable attorneys’ fees, accountants’ fees and other related professional fees and disbursements. For the avoidance of doubt, unless otherwise specifically provided in the Transaction Documents, all liabilities, costs and expenses incurred in connection with this Agreement by or on behalf of RCPI or any member of the RCPI Group in any Pre-Distribution Period shall be the responsibility of RGHI and shall be assumed in full by RGHI.</w:t>
      </w:r>
    </w:p>
    <w:p>
      <w:pPr>
        <w:spacing w:after="0" w:line="15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Effectiveness; Termination and Survival.</w:t>
      </w:r>
      <w:r>
        <w:rPr>
          <w:rFonts w:ascii="Arial" w:cs="Arial" w:eastAsia="Arial" w:hAnsi="Arial"/>
          <w:sz w:val="16"/>
          <w:szCs w:val="16"/>
          <w:color w:val="auto"/>
        </w:rPr>
        <w:t xml:space="preserve"> Except as expressly set forth in this Agreement, as between RGHI and RCPI, this Agreement shall become effective upon the consummation of the First Distribution, and as between RGHL and RCPI, this Agreement shall become effective upon the consummation of the Second Distribution. All rights and obligations arising hereunder shall survive until they are fully effectuated or performed;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notwithstanding anything in this Agreement to the contrary, this Agreement shall remain in effect and its provisions shall survive for one</w:t>
      </w:r>
      <w:r>
        <w:rPr>
          <w:rFonts w:ascii="Arial" w:cs="Arial" w:eastAsia="Arial" w:hAnsi="Arial"/>
          <w:sz w:val="16"/>
          <w:szCs w:val="16"/>
          <w:i w:val="1"/>
          <w:iCs w:val="1"/>
          <w:color w:val="auto"/>
        </w:rPr>
        <w:t xml:space="preserve"> </w:t>
      </w:r>
      <w:r>
        <w:rPr>
          <w:rFonts w:ascii="Arial" w:cs="Arial" w:eastAsia="Arial" w:hAnsi="Arial"/>
          <w:sz w:val="16"/>
          <w:szCs w:val="16"/>
          <w:color w:val="auto"/>
        </w:rPr>
        <w:t>year after the full period of all applicable statutes of limitation (giving effect to any extension, waiver or mitigation thereof) and, with respect to any claim hereunder initiated prior to the end of such period, until such claim has been satisfied or otherwise resolved.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576" w:name="page577"/>
    <w:bookmarkEnd w:id="576"/>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7"/>
          <w:szCs w:val="17"/>
          <w:i w:val="1"/>
          <w:iCs w:val="1"/>
          <w:color w:val="auto"/>
        </w:rPr>
        <w:t>Dispute Resolution.</w:t>
      </w:r>
      <w:r>
        <w:rPr>
          <w:rFonts w:ascii="Arial" w:cs="Arial" w:eastAsia="Arial" w:hAnsi="Arial"/>
          <w:sz w:val="17"/>
          <w:szCs w:val="17"/>
          <w:color w:val="auto"/>
        </w:rPr>
        <w:t xml:space="preserve"> In the event of any dispute relating to this Agreement, the parties shall work together in good faith to resolve such dispute within 30 days. In the event that such dispute is not resolved, upon written notice by a party after such 30-day period, the matter shall be referred to a U.S. Tax counsel or other Tax advisor of recognized national standing (the “</w:t>
      </w:r>
      <w:r>
        <w:rPr>
          <w:rFonts w:ascii="Arial" w:cs="Arial" w:eastAsia="Arial" w:hAnsi="Arial"/>
          <w:sz w:val="17"/>
          <w:szCs w:val="17"/>
          <w:b w:val="1"/>
          <w:bCs w:val="1"/>
          <w:color w:val="auto"/>
        </w:rPr>
        <w:t>Tax Arbiter</w:t>
      </w:r>
      <w:r>
        <w:rPr>
          <w:rFonts w:ascii="Arial" w:cs="Arial" w:eastAsia="Arial" w:hAnsi="Arial"/>
          <w:sz w:val="17"/>
          <w:szCs w:val="17"/>
          <w:color w:val="auto"/>
        </w:rPr>
        <w:t xml:space="preserve">”) that will be jointly chosen by the disputing parties;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parties do not agree on the selection of the Tax Arbiter after five (5) days of good faith negotiation, the Tax Arbiter shall</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a panel of three U.S. Tax counsel or other Tax advisor of recognized national standing with one member chosen by RGHL, one member chosen by RCPI, and a third member chosen by mutual agreement of the other members within the following ten (10)-day period. Each decision of a panel Tax Arbiter shall be made by majority vote of the members. The Tax Arbiter may, in its discretion, obtain the services of any third party necessary to assist it in resolving the dispute. The Tax Arbiter shall furnish written notice to the parties to the dispute of its resolution of the dispute as soon as practicable, but in any event no later than ninety (90) days after acceptance of the matter for resolution. Any such resolution by the Tax Arbiter shall be binding on the parties, and the parties shall take, or cause to be taken, any action necessary to implement such resolution. All fees and expenses of the Tax Arbiter shall be shared equally by the parties to the dispute.</w:t>
      </w:r>
    </w:p>
    <w:p>
      <w:pPr>
        <w:spacing w:after="0" w:line="18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i w:val="1"/>
          <w:iCs w:val="1"/>
          <w:color w:val="auto"/>
        </w:rPr>
        <w:t>Authorization, Etc.</w:t>
      </w:r>
      <w:r>
        <w:rPr>
          <w:rFonts w:ascii="Arial" w:cs="Arial" w:eastAsia="Arial" w:hAnsi="Arial"/>
          <w:sz w:val="16"/>
          <w:szCs w:val="16"/>
          <w:color w:val="auto"/>
        </w:rPr>
        <w:t xml:space="preserve"> Each of the parties hereto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or law or of its charter or bylaws or any agreement, instrument or order binding on such party.</w:t>
      </w:r>
    </w:p>
    <w:p>
      <w:pPr>
        <w:spacing w:after="0" w:line="15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Change in Tax Law.</w:t>
      </w:r>
      <w:r>
        <w:rPr>
          <w:rFonts w:ascii="Arial" w:cs="Arial" w:eastAsia="Arial" w:hAnsi="Arial"/>
          <w:sz w:val="18"/>
          <w:szCs w:val="18"/>
          <w:color w:val="auto"/>
        </w:rPr>
        <w:t xml:space="preserve"> Any reference to a provision of the Code, Treasury Regulations or any other Applicable Law shall include a reference to any applicable successor provision of the Code, Treasury Regulations or other Applicable Law.</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i w:val="1"/>
          <w:iCs w:val="1"/>
          <w:color w:val="auto"/>
        </w:rPr>
        <w:t>Principles.</w:t>
      </w:r>
      <w:r>
        <w:rPr>
          <w:rFonts w:ascii="Arial" w:cs="Arial" w:eastAsia="Arial" w:hAnsi="Arial"/>
          <w:sz w:val="18"/>
          <w:szCs w:val="18"/>
          <w:color w:val="auto"/>
        </w:rPr>
        <w:t xml:space="preserve"> This Agreement is intended to calculate and allocate certain Tax liabilities of the members of the RCPI Group and the members of the RGHL Group to RCPI and RGHL (and their respective Groups), and any situation or circumstance concerning such calculation and allocation that is not specifically contemplated by this Agreement shall be dealt with in a manner consistent with the underlying principles of calculation and allocation in this Agreement.</w:t>
      </w:r>
    </w:p>
    <w:p>
      <w:pPr>
        <w:spacing w:after="0" w:line="18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claim, suit, action or proceeding in any way arising out of or relating to this Agreement, the negotiation, execution or performance of this Agreement, or the transactions contemplated hereby (whether in law or in equity, and whether in contract or in tort or otherwise), shall be governed by and enforced pursuant to the laws of the State of Delaware.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3" w:right="459" w:bottom="1440" w:gutter="0" w:footer="0" w:header="0"/>
        </w:sectPr>
      </w:pPr>
    </w:p>
    <w:bookmarkStart w:id="577" w:name="page578"/>
    <w:bookmarkEnd w:id="57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and delivered this Agreement as of the day and year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REYNOLDS GROUP HOLDINGS LIMITED</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-130810</wp:posOffset>
            </wp:positionV>
            <wp:extent cx="259842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REYNOLDS GROUP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-130810</wp:posOffset>
            </wp:positionV>
            <wp:extent cx="259842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-130810</wp:posOffset>
            </wp:positionV>
            <wp:extent cx="25984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TAX MATTERS AGREEMENT]</w:t>
      </w:r>
    </w:p>
    <w:p>
      <w:pPr>
        <w:sectPr>
          <w:pgSz w:w="11900" w:h="16838" w:orient="portrait"/>
          <w:cols w:equalWidth="0" w:num="1">
            <w:col w:w="9580"/>
          </w:cols>
          <w:pgMar w:left="880" w:top="274" w:right="1439" w:bottom="1440" w:gutter="0" w:footer="0" w:header="0"/>
        </w:sectPr>
      </w:pPr>
    </w:p>
    <w:bookmarkStart w:id="578" w:name="page579"/>
    <w:bookmarkEnd w:id="578"/>
    <w:p>
      <w:pPr>
        <w:ind w:left="88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ectPr>
          <w:pgSz w:w="11900" w:h="16838" w:orient="portrait"/>
          <w:cols w:equalWidth="0" w:num="1">
            <w:col w:w="10020"/>
          </w:cols>
          <w:pgMar w:left="1440" w:top="269" w:right="439" w:bottom="1440" w:gutter="0" w:footer="0" w:header="0"/>
        </w:sectPr>
      </w:pPr>
    </w:p>
    <w:bookmarkStart w:id="579" w:name="page580"/>
    <w:bookmarkEnd w:id="579"/>
    <w:p>
      <w:pPr>
        <w:ind w:left="88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ectPr>
          <w:pgSz w:w="11900" w:h="16838" w:orient="portrait"/>
          <w:cols w:equalWidth="0" w:num="1">
            <w:col w:w="10020"/>
          </w:cols>
          <w:pgMar w:left="1440" w:top="270" w:right="439" w:bottom="1440" w:gutter="0" w:footer="0" w:header="0"/>
        </w:sectPr>
      </w:pPr>
    </w:p>
    <w:bookmarkStart w:id="580" w:name="page581"/>
    <w:bookmarkEnd w:id="580"/>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4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REGISTRATION RIGHTS AGREEMENT</w:t>
      </w:r>
    </w:p>
    <w:p>
      <w:pPr>
        <w:sectPr>
          <w:pgSz w:w="11900" w:h="16838" w:orient="portrait"/>
          <w:cols w:equalWidth="0" w:num="1">
            <w:col w:w="10020"/>
          </w:cols>
          <w:pgMar w:left="1440" w:top="121" w:right="439" w:bottom="1440" w:gutter="0" w:footer="0" w:header="0"/>
        </w:sectPr>
      </w:pPr>
    </w:p>
    <w:bookmarkStart w:id="581" w:name="page582"/>
    <w:bookmarkEnd w:id="581"/>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300" w:type="dxa"/>
            <w:vAlign w:val="bottom"/>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426"/>
        </w:trPr>
        <w:tc>
          <w:tcPr>
            <w:tcW w:w="4360" w:type="dxa"/>
            <w:vAlign w:val="bottom"/>
          </w:tcPr>
          <w:p>
            <w:pPr>
              <w:spacing w:after="0"/>
              <w:rPr>
                <w:sz w:val="24"/>
                <w:szCs w:val="24"/>
                <w:color w:val="auto"/>
              </w:rPr>
            </w:pPr>
          </w:p>
        </w:tc>
        <w:tc>
          <w:tcPr>
            <w:tcW w:w="2300" w:type="dxa"/>
            <w:vAlign w:val="bottom"/>
            <w:vMerge w:val="restart"/>
          </w:tcPr>
          <w:p>
            <w:pPr>
              <w:jc w:val="center"/>
              <w:ind w:right="510"/>
              <w:spacing w:after="0"/>
              <w:rPr>
                <w:sz w:val="20"/>
                <w:szCs w:val="20"/>
                <w:color w:val="auto"/>
              </w:rPr>
            </w:pPr>
            <w:r>
              <w:rPr>
                <w:rFonts w:ascii="Arial" w:cs="Arial" w:eastAsia="Arial" w:hAnsi="Arial"/>
                <w:sz w:val="18"/>
                <w:szCs w:val="18"/>
                <w:color w:val="auto"/>
                <w:w w:val="98"/>
              </w:rPr>
              <w:t>ARTICLE 1</w:t>
            </w:r>
          </w:p>
        </w:tc>
        <w:tc>
          <w:tcPr>
            <w:tcW w:w="4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39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w w:val="98"/>
              </w:rPr>
              <w:t>DEFINITIONS</w:t>
            </w: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General Interpretive Principles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4360" w:type="dxa"/>
            <w:vAlign w:val="bottom"/>
          </w:tcPr>
          <w:p>
            <w:pPr>
              <w:spacing w:after="0"/>
              <w:rPr>
                <w:sz w:val="24"/>
                <w:szCs w:val="24"/>
                <w:color w:val="auto"/>
              </w:rPr>
            </w:pPr>
          </w:p>
        </w:tc>
        <w:tc>
          <w:tcPr>
            <w:tcW w:w="2300" w:type="dxa"/>
            <w:vAlign w:val="bottom"/>
          </w:tcPr>
          <w:p>
            <w:pPr>
              <w:jc w:val="center"/>
              <w:ind w:right="510"/>
              <w:spacing w:after="0"/>
              <w:rPr>
                <w:sz w:val="20"/>
                <w:szCs w:val="20"/>
                <w:color w:val="auto"/>
              </w:rPr>
            </w:pPr>
            <w:r>
              <w:rPr>
                <w:rFonts w:ascii="Arial" w:cs="Arial" w:eastAsia="Arial" w:hAnsi="Arial"/>
                <w:sz w:val="18"/>
                <w:szCs w:val="18"/>
                <w:color w:val="auto"/>
                <w:w w:val="98"/>
              </w:rPr>
              <w:t>ARTICLE 2</w:t>
            </w: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jc w:val="center"/>
              <w:ind w:left="3670"/>
              <w:spacing w:after="0"/>
              <w:rPr>
                <w:sz w:val="20"/>
                <w:szCs w:val="20"/>
                <w:color w:val="auto"/>
              </w:rPr>
            </w:pPr>
            <w:r>
              <w:rPr>
                <w:rFonts w:ascii="Arial" w:cs="Arial" w:eastAsia="Arial" w:hAnsi="Arial"/>
                <w:sz w:val="18"/>
                <w:szCs w:val="18"/>
                <w:color w:val="auto"/>
                <w:w w:val="95"/>
              </w:rPr>
              <w:t>REGISTRATION RIGHTS</w:t>
            </w: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Registration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Piggyback Registrations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Selection of Underwriter(s), etc.</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Registration Procedures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Holdback Agreements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Underwriting Agreement in Underwritten Offerings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Registration Expenses Paid By Company</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Indemnification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Reporting Requirements; Rule 144</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4360" w:type="dxa"/>
            <w:vAlign w:val="bottom"/>
          </w:tcPr>
          <w:p>
            <w:pPr>
              <w:spacing w:after="0"/>
              <w:rPr>
                <w:sz w:val="24"/>
                <w:szCs w:val="24"/>
                <w:color w:val="auto"/>
              </w:rPr>
            </w:pPr>
          </w:p>
        </w:tc>
        <w:tc>
          <w:tcPr>
            <w:tcW w:w="2300" w:type="dxa"/>
            <w:vAlign w:val="bottom"/>
          </w:tcPr>
          <w:p>
            <w:pPr>
              <w:jc w:val="center"/>
              <w:ind w:right="510"/>
              <w:spacing w:after="0"/>
              <w:rPr>
                <w:sz w:val="20"/>
                <w:szCs w:val="20"/>
                <w:color w:val="auto"/>
              </w:rPr>
            </w:pPr>
            <w:r>
              <w:rPr>
                <w:rFonts w:ascii="Arial" w:cs="Arial" w:eastAsia="Arial" w:hAnsi="Arial"/>
                <w:sz w:val="18"/>
                <w:szCs w:val="18"/>
                <w:color w:val="auto"/>
                <w:w w:val="98"/>
              </w:rPr>
              <w:t>ARTICLE 3</w:t>
            </w: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300" w:type="dxa"/>
            <w:vAlign w:val="bottom"/>
          </w:tcPr>
          <w:p>
            <w:pPr>
              <w:jc w:val="center"/>
              <w:ind w:right="510"/>
              <w:spacing w:after="0"/>
              <w:rPr>
                <w:sz w:val="20"/>
                <w:szCs w:val="20"/>
                <w:color w:val="auto"/>
              </w:rPr>
            </w:pPr>
            <w:r>
              <w:rPr>
                <w:rFonts w:ascii="Arial" w:cs="Arial" w:eastAsia="Arial" w:hAnsi="Arial"/>
                <w:sz w:val="18"/>
                <w:szCs w:val="18"/>
                <w:color w:val="auto"/>
                <w:w w:val="97"/>
              </w:rPr>
              <w:t>MISCELLANEOUS</w:t>
            </w: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Term</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Notices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Successors, Assigns and Transferees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Governing Law; No Jury Trial</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Specific Performance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Headings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Severability</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Amendment; Waiver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Further Assurances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Counterparts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582" w:name="page583"/>
    <w:bookmarkEnd w:id="5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5" w:lineRule="exact"/>
        <w:rPr>
          <w:sz w:val="20"/>
          <w:szCs w:val="20"/>
          <w:color w:val="auto"/>
        </w:rPr>
      </w:pPr>
    </w:p>
    <w:p>
      <w:pPr>
        <w:jc w:val="both"/>
        <w:ind w:right="20" w:firstLine="441"/>
        <w:spacing w:after="0" w:line="313" w:lineRule="auto"/>
        <w:rPr>
          <w:sz w:val="20"/>
          <w:szCs w:val="20"/>
          <w:color w:val="auto"/>
        </w:rPr>
      </w:pPr>
      <w:r>
        <w:rPr>
          <w:rFonts w:ascii="Arial" w:cs="Arial" w:eastAsia="Arial" w:hAnsi="Arial"/>
          <w:sz w:val="17"/>
          <w:szCs w:val="17"/>
          <w:color w:val="auto"/>
        </w:rPr>
        <w:t>This REGISTRATION RIGHTS AGREEMENT, dated as of [ ] (this “</w:t>
      </w:r>
      <w:r>
        <w:rPr>
          <w:rFonts w:ascii="Arial" w:cs="Arial" w:eastAsia="Arial" w:hAnsi="Arial"/>
          <w:sz w:val="17"/>
          <w:szCs w:val="17"/>
          <w:b w:val="1"/>
          <w:bCs w:val="1"/>
          <w:color w:val="auto"/>
        </w:rPr>
        <w:t>Agreement</w:t>
      </w:r>
      <w:r>
        <w:rPr>
          <w:rFonts w:ascii="Arial" w:cs="Arial" w:eastAsia="Arial" w:hAnsi="Arial"/>
          <w:sz w:val="17"/>
          <w:szCs w:val="17"/>
          <w:color w:val="auto"/>
        </w:rPr>
        <w:t>”), is by and between Reynolds Consumer Products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Packaging Finance Limited, a company incorporated pursuant to the laws of New Zealand (“</w:t>
      </w:r>
      <w:r>
        <w:rPr>
          <w:rFonts w:ascii="Arial" w:cs="Arial" w:eastAsia="Arial" w:hAnsi="Arial"/>
          <w:sz w:val="17"/>
          <w:szCs w:val="17"/>
          <w:b w:val="1"/>
          <w:bCs w:val="1"/>
          <w:color w:val="auto"/>
        </w:rPr>
        <w:t>PFL</w:t>
      </w:r>
      <w:r>
        <w:rPr>
          <w:rFonts w:ascii="Arial" w:cs="Arial" w:eastAsia="Arial" w:hAnsi="Arial"/>
          <w:sz w:val="17"/>
          <w:szCs w:val="17"/>
          <w:color w:val="auto"/>
        </w:rPr>
        <w:t>”).</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is currently contemplating an underwritten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of its Common Stock (as defined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grant registration rights to PFL on the terms and conditions set out in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As used in this Agreement, the following terms shall have the following meanings:</w:t>
      </w:r>
    </w:p>
    <w:p>
      <w:pPr>
        <w:spacing w:after="0" w:line="221"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demand, action, suit, countersuit, arbitration, inquiry, proceeding or investigation by or before any Governmental Authority or any federal, state, local, foreign or international arbitration or mediation tribunal.</w:t>
      </w:r>
    </w:p>
    <w:p>
      <w:pPr>
        <w:spacing w:after="0" w:line="162"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in respect of a Person, means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(ii) in the case of an entity, shall include a partnership, a corporation or any natural person or entity which directly, or indirectly through one or more intermediaries, controls, is controlled by, or is under common control with, such entity. As used herein, “</w:t>
      </w:r>
      <w:r>
        <w:rPr>
          <w:rFonts w:ascii="Arial" w:cs="Arial" w:eastAsia="Arial" w:hAnsi="Arial"/>
          <w:sz w:val="17"/>
          <w:szCs w:val="17"/>
          <w:b w:val="1"/>
          <w:bCs w:val="1"/>
          <w:color w:val="auto"/>
        </w:rPr>
        <w:t>control</w:t>
      </w:r>
      <w:r>
        <w:rPr>
          <w:rFonts w:ascii="Arial" w:cs="Arial" w:eastAsia="Arial" w:hAnsi="Arial"/>
          <w:sz w:val="17"/>
          <w:szCs w:val="17"/>
          <w:color w:val="auto"/>
        </w:rPr>
        <w:t>” means the possession, directly or indirectly, of the power to direct or cause the direction of the management and policies of such entity, whether through ownership of voting securities or other interests, by contract or otherwise.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 day on which banking institutions are authorized or obligated by law to be closed in New York, New York.</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shares, par value $0.001 per share, of the Company and any shares into which such common stock may be converted.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Notice</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Takedown Notice</w:t>
      </w:r>
      <w:r>
        <w:rPr>
          <w:rFonts w:ascii="Arial" w:cs="Arial" w:eastAsia="Arial" w:hAnsi="Arial"/>
          <w:sz w:val="18"/>
          <w:szCs w:val="18"/>
          <w:color w:val="auto"/>
        </w:rPr>
        <w:t>” has the meaning set forth in Section 2.01(f).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Holders</w:t>
      </w:r>
      <w:r>
        <w:rPr>
          <w:rFonts w:ascii="Arial" w:cs="Arial" w:eastAsia="Arial" w:hAnsi="Arial"/>
          <w:sz w:val="18"/>
          <w:szCs w:val="18"/>
          <w:color w:val="auto"/>
        </w:rPr>
        <w:t>” has the meaning set forth in Section 2.01(a).</w:t>
      </w:r>
    </w:p>
    <w:p>
      <w:pPr>
        <w:sectPr>
          <w:pgSz w:w="11900" w:h="16838" w:orient="portrait"/>
          <w:cols w:equalWidth="0" w:num="1">
            <w:col w:w="10980"/>
          </w:cols>
          <w:pgMar w:left="440" w:top="270" w:right="479" w:bottom="1440" w:gutter="0" w:footer="0" w:header="0"/>
        </w:sectPr>
      </w:pPr>
    </w:p>
    <w:bookmarkStart w:id="583" w:name="page584"/>
    <w:bookmarkEnd w:id="5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jc w:val="both"/>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80"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shall mean PFL or any of its Affiliates, so long as such Person holds any Registrable Securities, and any Person owning Registrable Securities who is a permitted transferee of rights under Section 3.03.</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Holder</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or “</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2.08(a).</w:t>
      </w:r>
    </w:p>
    <w:p>
      <w:pPr>
        <w:spacing w:after="0" w:line="225"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has the meaning set forth in Section 2.02(a).</w:t>
      </w:r>
    </w:p>
    <w:p>
      <w:pPr>
        <w:spacing w:after="0" w:line="225"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prospectus included in any Registration Statement, all amendments and supplements to such prospectus, including post-effective amendments, and all other material incorporated by reference in such prospectus.</w:t>
      </w:r>
    </w:p>
    <w:p>
      <w:pPr>
        <w:spacing w:after="0" w:line="162"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any Shares and any securities issued or issuable directly or indirectly with respect to, in exchange for, upon the conversion of or in replacement of the Shares, whether by way of a dividend or distribution or stock split or in connection with a combination of shares, recapitalization, merger, consolidation, exchange or other reorganization;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shall cease to be Registrable Securities if</w:t>
      </w:r>
    </w:p>
    <w:p>
      <w:pPr>
        <w:spacing w:after="0" w:line="2" w:lineRule="exact"/>
        <w:rPr>
          <w:sz w:val="20"/>
          <w:szCs w:val="20"/>
          <w:color w:val="auto"/>
        </w:rPr>
      </w:pPr>
    </w:p>
    <w:p>
      <w:pPr>
        <w:jc w:val="both"/>
        <w:ind w:firstLine="4"/>
        <w:spacing w:after="0" w:line="254" w:lineRule="auto"/>
        <w:tabs>
          <w:tab w:leader="none" w:pos="21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they have been registered and sold pursuant to an effective Registration Statement, (ii) they have been transferred by a Holder in a transaction in which the Holder’s rights under this Agreement are not, or cannot be, assigned, (iii) they may be sold pursuant to Rule 144 under the Securities Act without limitation thereunder on volume or manner of sale and the Holder of such securities does not then beneficially own more than 2% of outstanding Common Stock, or (iv) they have ceased to be outstanding.</w:t>
      </w:r>
    </w:p>
    <w:p>
      <w:pPr>
        <w:spacing w:after="0" w:line="186"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w:t>
      </w:r>
      <w:r>
        <w:rPr>
          <w:rFonts w:ascii="Arial" w:cs="Arial" w:eastAsia="Arial" w:hAnsi="Arial"/>
          <w:sz w:val="18"/>
          <w:szCs w:val="18"/>
          <w:color w:val="auto"/>
        </w:rPr>
        <w:t>” means a registration with the SEC of the offer and sale to the public of Common Stock under a Registration Statement. The terms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Registering</w:t>
      </w:r>
      <w:r>
        <w:rPr>
          <w:rFonts w:ascii="Arial" w:cs="Arial" w:eastAsia="Arial" w:hAnsi="Arial"/>
          <w:sz w:val="18"/>
          <w:szCs w:val="18"/>
          <w:color w:val="auto"/>
        </w:rPr>
        <w:t>” shall have a correlative meaning.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Expenses</w:t>
      </w:r>
      <w:r>
        <w:rPr>
          <w:rFonts w:ascii="Arial" w:cs="Arial" w:eastAsia="Arial" w:hAnsi="Arial"/>
          <w:sz w:val="16"/>
          <w:szCs w:val="16"/>
          <w:color w:val="auto"/>
        </w:rPr>
        <w:t>” shall mean all expenses incident to the Company’s performance of or compliance with this Agreement, including all</w:t>
      </w:r>
    </w:p>
    <w:p>
      <w:pPr>
        <w:spacing w:after="0" w:line="50" w:lineRule="exact"/>
        <w:rPr>
          <w:sz w:val="20"/>
          <w:szCs w:val="20"/>
          <w:color w:val="auto"/>
        </w:rPr>
      </w:pPr>
    </w:p>
    <w:p>
      <w:pPr>
        <w:ind w:firstLine="4"/>
        <w:spacing w:after="0" w:line="281" w:lineRule="auto"/>
        <w:tabs>
          <w:tab w:leader="none" w:pos="215" w:val="left"/>
        </w:tabs>
        <w:numPr>
          <w:ilvl w:val="0"/>
          <w:numId w:val="509"/>
        </w:numPr>
        <w:rPr>
          <w:rFonts w:ascii="Arial" w:cs="Arial" w:eastAsia="Arial" w:hAnsi="Arial"/>
          <w:sz w:val="16"/>
          <w:szCs w:val="16"/>
          <w:color w:val="auto"/>
        </w:rPr>
      </w:pPr>
      <w:r>
        <w:rPr>
          <w:rFonts w:ascii="Arial" w:cs="Arial" w:eastAsia="Arial" w:hAnsi="Arial"/>
          <w:sz w:val="16"/>
          <w:szCs w:val="16"/>
          <w:color w:val="auto"/>
        </w:rPr>
        <w:t>registration, qualification and filing fees; (ii) expenses incurred in connection with the preparation, printing and filing under the Securities Act of the Registration Statement, any Prospectus and any issuer free writing prospectus and the distribution thereof; (iii) the fees and expenses of the Company’s counsel and independent accountants; (iv) the fees and expenses incurred in connection with the registration or qualification and determination of eligibility for investment of the Shares under the state or foreign securities or blue sky laws and the preparation, printing and distribution of a blue sky or legal investment memorandum (including the related fees and expenses of counsel); (v) the costs and charges of any transfer agent and any registrar;</w:t>
      </w:r>
    </w:p>
    <w:p>
      <w:pPr>
        <w:spacing w:after="0" w:line="3" w:lineRule="exact"/>
        <w:rPr>
          <w:rFonts w:ascii="Arial" w:cs="Arial" w:eastAsia="Arial" w:hAnsi="Arial"/>
          <w:sz w:val="16"/>
          <w:szCs w:val="16"/>
          <w:color w:val="auto"/>
        </w:rPr>
      </w:pPr>
    </w:p>
    <w:p>
      <w:pPr>
        <w:ind w:right="280" w:firstLine="4"/>
        <w:spacing w:after="0" w:line="261" w:lineRule="auto"/>
        <w:tabs>
          <w:tab w:leader="none" w:pos="35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all expenses and application fees incurred in connection with any filing with, and clearance of an offering by, FINRA; (vii) expenses incurred in connection with any “</w:t>
      </w:r>
      <w:r>
        <w:rPr>
          <w:rFonts w:ascii="Arial" w:cs="Arial" w:eastAsia="Arial" w:hAnsi="Arial"/>
          <w:sz w:val="18"/>
          <w:szCs w:val="18"/>
          <w:b w:val="1"/>
          <w:bCs w:val="1"/>
          <w:color w:val="auto"/>
        </w:rPr>
        <w:t>road show</w:t>
      </w:r>
      <w:r>
        <w:rPr>
          <w:rFonts w:ascii="Arial" w:cs="Arial" w:eastAsia="Arial" w:hAnsi="Arial"/>
          <w:sz w:val="18"/>
          <w:szCs w:val="18"/>
          <w:color w:val="auto"/>
        </w:rPr>
        <w:t>” presentation to potential investors; (viii) printing expenses, messenger,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84" w:name="page585"/>
    <w:bookmarkEnd w:id="58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 and delivery expenses; (ix) internal expenses of the Company (including all salaries and expenses of employees of the Company performing legal or accounting duties); and (x) fees and expenses of listing any Registrable Securities on any securities exchange on which Common Stock are then listed; but excluding any Selling Expenses.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Period</w:t>
      </w:r>
      <w:r>
        <w:rPr>
          <w:rFonts w:ascii="Arial" w:cs="Arial" w:eastAsia="Arial" w:hAnsi="Arial"/>
          <w:sz w:val="18"/>
          <w:szCs w:val="18"/>
          <w:color w:val="auto"/>
        </w:rPr>
        <w:t>” has the meaning set forth in Section 2.01(c).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w:t>
      </w:r>
      <w:r>
        <w:rPr>
          <w:rFonts w:ascii="Arial" w:cs="Arial" w:eastAsia="Arial" w:hAnsi="Arial"/>
          <w:sz w:val="16"/>
          <w:szCs w:val="16"/>
          <w:color w:val="auto"/>
        </w:rPr>
        <w:t>” shall mean the rights of the Holders to cause the Company to Register Registrable Securities pursuant to this Agreement.</w:t>
      </w:r>
    </w:p>
    <w:p>
      <w:pPr>
        <w:spacing w:after="0" w:line="248" w:lineRule="exact"/>
        <w:rPr>
          <w:sz w:val="20"/>
          <w:szCs w:val="20"/>
          <w:color w:val="auto"/>
        </w:rPr>
      </w:pPr>
    </w:p>
    <w:p>
      <w:pPr>
        <w:ind w:right="64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any registration statement of the Company filed with, or to be filed with, the SEC under the rules and regulations promulgated under the Securities Act, including the related Prospectus, amendments and supplements to such registration statement, including post-effective amendments, and all exhibits and all material incorporated by reference in such registration statement.</w:t>
      </w:r>
    </w:p>
    <w:p>
      <w:pPr>
        <w:spacing w:after="0" w:line="142" w:lineRule="exact"/>
        <w:rPr>
          <w:sz w:val="20"/>
          <w:szCs w:val="20"/>
          <w:color w:val="auto"/>
        </w:rPr>
      </w:pPr>
    </w:p>
    <w:p>
      <w:pPr>
        <w:ind w:right="6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PFL</w:t>
      </w:r>
      <w:r>
        <w:rPr>
          <w:rFonts w:ascii="Arial" w:cs="Arial" w:eastAsia="Arial" w:hAnsi="Arial"/>
          <w:sz w:val="18"/>
          <w:szCs w:val="18"/>
          <w:color w:val="auto"/>
        </w:rPr>
        <w:t>” has the meaning set forth in the recitals to this Agreement and shall include its successors by merger, acquisition, reorganization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transfer taxes applicable to the sale of Registrable Securities hereunder.</w:t>
      </w:r>
    </w:p>
    <w:p>
      <w:pPr>
        <w:spacing w:after="0" w:line="162"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all shares of Common Stock that are beneficially owned by PFL or, any of its Affiliates or any permitted transferee of rights under Section 3.03 from time to time, whether or not held immediately following the IPO.</w:t>
      </w:r>
    </w:p>
    <w:p>
      <w:pPr>
        <w:spacing w:after="0" w:line="162"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means a Registration Statement of the Company for an offering to be made on a delayed or continuous basis of Common Stock pursuant to Rule 415 under the Securities Act (or similar provisions then in effect).</w:t>
      </w:r>
    </w:p>
    <w:p>
      <w:pPr>
        <w:spacing w:after="0" w:line="162" w:lineRule="exact"/>
        <w:rPr>
          <w:sz w:val="20"/>
          <w:szCs w:val="20"/>
          <w:color w:val="auto"/>
        </w:rPr>
      </w:pPr>
    </w:p>
    <w:p>
      <w:pPr>
        <w:ind w:right="6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when used with respect to any Person, (a) a corporation in which such Person or one or more Subsidiaries of such Person, directly or indirectly, owns capital stock having a majority of the total voting power in the election of directors of all outstanding shares of all classes and series of capital stock of such corporation entitled generally to vote in such election; and (b) any other Person (other than a corporation) in which such Person or one or more Subsidiaries of such Person, directly or indirectly, has (i) a majority ownership interest or (ii) the power to elect or direct the election of a majority of the members of the governing body of such first-named Person.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Takedown Notice</w:t>
      </w:r>
      <w:r>
        <w:rPr>
          <w:rFonts w:ascii="Arial" w:cs="Arial" w:eastAsia="Arial" w:hAnsi="Arial"/>
          <w:sz w:val="18"/>
          <w:szCs w:val="18"/>
          <w:color w:val="auto"/>
        </w:rPr>
        <w:t>” has the meaning set forth in Section 2.01(f).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Holder</w:t>
      </w:r>
      <w:r>
        <w:rPr>
          <w:rFonts w:ascii="Arial" w:cs="Arial" w:eastAsia="Arial" w:hAnsi="Arial"/>
          <w:sz w:val="18"/>
          <w:szCs w:val="18"/>
          <w:color w:val="auto"/>
        </w:rPr>
        <w:t>” has the meaning set forth in Section 3.03.</w:t>
      </w:r>
    </w:p>
    <w:p>
      <w:pPr>
        <w:spacing w:after="0" w:line="225" w:lineRule="exact"/>
        <w:rPr>
          <w:sz w:val="20"/>
          <w:szCs w:val="20"/>
          <w:color w:val="auto"/>
        </w:rPr>
      </w:pPr>
    </w:p>
    <w:p>
      <w:pPr>
        <w:ind w:right="7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means a Registration in which securities of the Company are sold to an underwriter or underwriters on a firm commitment basis for reoffering to the public.</w:t>
      </w:r>
    </w:p>
    <w:p>
      <w:pPr>
        <w:spacing w:after="0" w:line="166"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General Interpretive Principles</w:t>
      </w:r>
      <w:r>
        <w:rPr>
          <w:rFonts w:ascii="Arial" w:cs="Arial" w:eastAsia="Arial" w:hAnsi="Arial"/>
          <w:sz w:val="16"/>
          <w:szCs w:val="16"/>
          <w:color w:val="auto"/>
        </w:rPr>
        <w:t>. Whenever used in this Agreement, except as otherwise expressly provided or unless the context otherwise requires, any noun or pronoun shall be deemed to include the plural as well as the singular and to cover all genders. Whenever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used in this Agreement, they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Unless otherwise specified, the terms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similar terms refer to this Agreement as a whole (including the exhibits hereto), and references herein to Articles and Sections refer to Articles and Sections of this Agreement. Except as otherwise indicated, all periods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585" w:name="page586"/>
    <w:bookmarkEnd w:id="5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referred to herein shall include all Saturdays, Sundays and holidays;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date to perform the act or give any notice with respect to this Agreement shall fall on a day other than a Business Day, such act or notice may be performed or given timely if performed or given on the next succeeding Business Day. References to a Person are also to its permitted successors and assigns.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Registration</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87" w:lineRule="auto"/>
        <w:tabs>
          <w:tab w:leader="none" w:pos="685" w:val="left"/>
        </w:tabs>
        <w:numPr>
          <w:ilvl w:val="0"/>
          <w:numId w:val="511"/>
        </w:numPr>
        <w:rPr>
          <w:rFonts w:ascii="Arial" w:cs="Arial" w:eastAsia="Arial" w:hAnsi="Arial"/>
          <w:sz w:val="16"/>
          <w:szCs w:val="16"/>
          <w:color w:val="auto"/>
        </w:rPr>
      </w:pPr>
      <w:r>
        <w:rPr>
          <w:rFonts w:ascii="Arial" w:cs="Arial" w:eastAsia="Arial" w:hAnsi="Arial"/>
          <w:sz w:val="16"/>
          <w:szCs w:val="16"/>
          <w:i w:val="1"/>
          <w:iCs w:val="1"/>
          <w:color w:val="auto"/>
        </w:rPr>
        <w:t>Request</w:t>
      </w:r>
      <w:r>
        <w:rPr>
          <w:rFonts w:ascii="Arial" w:cs="Arial" w:eastAsia="Arial" w:hAnsi="Arial"/>
          <w:sz w:val="16"/>
          <w:szCs w:val="16"/>
          <w:color w:val="auto"/>
        </w:rPr>
        <w:t>. Each of (1) PFL and any permitted transferee of rights pursuant to clauses (i), (iii) and (iv) of Section 3.03 and (2) Third Party</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at least 5% of outstanding Common Stock, shall have the right to request that the Company file a Registration Statement with the SEC on the appropriate registration form for all or part of the Registrable Securities held by such Holder once such Holder is no longer subject to the lock-up applicable to it entered into in connection with the IPO (which may be due to the expiration or waiver of such lock-up with respect to such Registrable Securities) by delivering a written request to the Company specifying the kind and number of shares of Registrable Securities such Holder wishes to Register and the intended method of distribution thereof (a “</w:t>
      </w:r>
      <w:r>
        <w:rPr>
          <w:rFonts w:ascii="Arial" w:cs="Arial" w:eastAsia="Arial" w:hAnsi="Arial"/>
          <w:sz w:val="16"/>
          <w:szCs w:val="16"/>
          <w:b w:val="1"/>
          <w:bCs w:val="1"/>
          <w:color w:val="auto"/>
        </w:rPr>
        <w:t>Demand Registration</w:t>
      </w:r>
      <w:r>
        <w:rPr>
          <w:rFonts w:ascii="Arial" w:cs="Arial" w:eastAsia="Arial" w:hAnsi="Arial"/>
          <w:sz w:val="16"/>
          <w:szCs w:val="16"/>
          <w:color w:val="auto"/>
        </w:rPr>
        <w:t>” and the Holder submitting such Demand Registration, the “</w:t>
      </w:r>
      <w:r>
        <w:rPr>
          <w:rFonts w:ascii="Arial" w:cs="Arial" w:eastAsia="Arial" w:hAnsi="Arial"/>
          <w:sz w:val="16"/>
          <w:szCs w:val="16"/>
          <w:b w:val="1"/>
          <w:bCs w:val="1"/>
          <w:color w:val="auto"/>
        </w:rPr>
        <w:t>Initiating Holder</w:t>
      </w:r>
      <w:r>
        <w:rPr>
          <w:rFonts w:ascii="Arial" w:cs="Arial" w:eastAsia="Arial" w:hAnsi="Arial"/>
          <w:sz w:val="16"/>
          <w:szCs w:val="16"/>
          <w:color w:val="auto"/>
        </w:rPr>
        <w:t>”). The Company shall (i) within 10 days of the receipt of such request, give written notice of such Demand Registration (the “</w:t>
      </w:r>
      <w:r>
        <w:rPr>
          <w:rFonts w:ascii="Arial" w:cs="Arial" w:eastAsia="Arial" w:hAnsi="Arial"/>
          <w:sz w:val="16"/>
          <w:szCs w:val="16"/>
          <w:b w:val="1"/>
          <w:bCs w:val="1"/>
          <w:color w:val="auto"/>
        </w:rPr>
        <w:t>Company Notice</w:t>
      </w:r>
      <w:r>
        <w:rPr>
          <w:rFonts w:ascii="Arial" w:cs="Arial" w:eastAsia="Arial" w:hAnsi="Arial"/>
          <w:sz w:val="16"/>
          <w:szCs w:val="16"/>
          <w:color w:val="auto"/>
        </w:rPr>
        <w:t>”) to all Holders other than the relevant Initiating Holder (the “</w:t>
      </w:r>
      <w:r>
        <w:rPr>
          <w:rFonts w:ascii="Arial" w:cs="Arial" w:eastAsia="Arial" w:hAnsi="Arial"/>
          <w:sz w:val="16"/>
          <w:szCs w:val="16"/>
          <w:b w:val="1"/>
          <w:bCs w:val="1"/>
          <w:color w:val="auto"/>
        </w:rPr>
        <w:t>Eligible Holders</w:t>
      </w:r>
      <w:r>
        <w:rPr>
          <w:rFonts w:ascii="Arial" w:cs="Arial" w:eastAsia="Arial" w:hAnsi="Arial"/>
          <w:sz w:val="16"/>
          <w:szCs w:val="16"/>
          <w:color w:val="auto"/>
        </w:rPr>
        <w:t>”), (ii) use its reasonable best efforts to file a Registration Statement in respect of such Demand Registration within 45 days of receipt of the request, and (iii) use its reasonable best efforts to cause such Registration Statement to become effective as soon as reasonably practicable thereafter. The Company shall include in such Registration all Registrable Securities that the Eligible Holders request to be included within the 10 Business Days following their receipt of the Company Notice.</w:t>
      </w:r>
    </w:p>
    <w:p>
      <w:pPr>
        <w:spacing w:after="0" w:line="64" w:lineRule="exact"/>
        <w:rPr>
          <w:rFonts w:ascii="Arial" w:cs="Arial" w:eastAsia="Arial" w:hAnsi="Arial"/>
          <w:sz w:val="16"/>
          <w:szCs w:val="16"/>
          <w:color w:val="auto"/>
        </w:rPr>
      </w:pPr>
    </w:p>
    <w:p>
      <w:pPr>
        <w:ind w:right="200" w:firstLine="444"/>
        <w:spacing w:after="0" w:line="297" w:lineRule="auto"/>
        <w:tabs>
          <w:tab w:leader="none" w:pos="695" w:val="left"/>
        </w:tabs>
        <w:numPr>
          <w:ilvl w:val="0"/>
          <w:numId w:val="511"/>
        </w:numPr>
        <w:rPr>
          <w:rFonts w:ascii="Arial" w:cs="Arial" w:eastAsia="Arial" w:hAnsi="Arial"/>
          <w:sz w:val="16"/>
          <w:szCs w:val="16"/>
          <w:color w:val="auto"/>
        </w:rPr>
      </w:pPr>
      <w:r>
        <w:rPr>
          <w:rFonts w:ascii="Arial" w:cs="Arial" w:eastAsia="Arial" w:hAnsi="Arial"/>
          <w:sz w:val="16"/>
          <w:szCs w:val="16"/>
          <w:i w:val="1"/>
          <w:iCs w:val="1"/>
          <w:color w:val="auto"/>
        </w:rPr>
        <w:t>Limitations of Demand Registrations</w:t>
      </w:r>
      <w:r>
        <w:rPr>
          <w:rFonts w:ascii="Arial" w:cs="Arial" w:eastAsia="Arial" w:hAnsi="Arial"/>
          <w:sz w:val="16"/>
          <w:szCs w:val="16"/>
          <w:color w:val="auto"/>
        </w:rPr>
        <w:t>. There shall be no limitation on the number of Demand Registrations pursuant to Section 2.01(a);</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Third Party Holders shall not require the Company to effect more than three Demand Registrations collectively in a 12-month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Registrable Securities requested to be Registered pursuant to Section 2.01(a) (including, for the avoidance of doubt, the Registrable Securities of Eligible Holders requested to be registered) must represent (i) an aggregate offering price of Registrable Securities that is reasonably expected to equal at least $50,000,000 or (ii) all of the remaining Registrable Securities owned by the Initiating Holder and its Affiliates.</w:t>
      </w:r>
    </w:p>
    <w:p>
      <w:pPr>
        <w:spacing w:after="0" w:line="50" w:lineRule="exact"/>
        <w:rPr>
          <w:rFonts w:ascii="Arial" w:cs="Arial" w:eastAsia="Arial" w:hAnsi="Arial"/>
          <w:sz w:val="16"/>
          <w:szCs w:val="16"/>
          <w:color w:val="auto"/>
        </w:rPr>
      </w:pPr>
    </w:p>
    <w:p>
      <w:pPr>
        <w:ind w:right="80" w:firstLine="444"/>
        <w:spacing w:after="0" w:line="270" w:lineRule="auto"/>
        <w:tabs>
          <w:tab w:leader="none" w:pos="685" w:val="left"/>
        </w:tabs>
        <w:numPr>
          <w:ilvl w:val="0"/>
          <w:numId w:val="511"/>
        </w:numPr>
        <w:rPr>
          <w:rFonts w:ascii="Arial" w:cs="Arial" w:eastAsia="Arial" w:hAnsi="Arial"/>
          <w:sz w:val="17"/>
          <w:szCs w:val="17"/>
          <w:color w:val="auto"/>
        </w:rPr>
      </w:pPr>
      <w:r>
        <w:rPr>
          <w:rFonts w:ascii="Arial" w:cs="Arial" w:eastAsia="Arial" w:hAnsi="Arial"/>
          <w:sz w:val="17"/>
          <w:szCs w:val="17"/>
          <w:i w:val="1"/>
          <w:iCs w:val="1"/>
          <w:color w:val="auto"/>
        </w:rPr>
        <w:t>Effective Registration</w:t>
      </w:r>
      <w:r>
        <w:rPr>
          <w:rFonts w:ascii="Arial" w:cs="Arial" w:eastAsia="Arial" w:hAnsi="Arial"/>
          <w:sz w:val="17"/>
          <w:szCs w:val="17"/>
          <w:color w:val="auto"/>
        </w:rPr>
        <w:t>. The Company shall be deemed to have effected a Registration for purposes of Section 2.01(b) if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is declared effective by the SEC or becomes effective upon filing with the SEC, and remains effective until the earlier of (i) the date when all Registrable Securities thereunder have been sold and (ii) 60 days from the effective date of the Registration Statement (the “</w:t>
      </w:r>
      <w:r>
        <w:rPr>
          <w:rFonts w:ascii="Arial" w:cs="Arial" w:eastAsia="Arial" w:hAnsi="Arial"/>
          <w:sz w:val="17"/>
          <w:szCs w:val="17"/>
          <w:b w:val="1"/>
          <w:bCs w:val="1"/>
          <w:color w:val="auto"/>
        </w:rPr>
        <w:t>Registration Period</w:t>
      </w:r>
      <w:r>
        <w:rPr>
          <w:rFonts w:ascii="Arial" w:cs="Arial" w:eastAsia="Arial" w:hAnsi="Arial"/>
          <w:sz w:val="17"/>
          <w:szCs w:val="17"/>
          <w:color w:val="auto"/>
        </w:rPr>
        <w:t>”). No Registration shall be deemed to have been effective if (i) the conditions to closing specified in the underwriting agreement, if any, entered into in connection with such Registration are not satisfied by reason of the Company or (ii) the number of Registrable Securities included in any such Registration Statement is reduced in accordance with Section 2.01(e) such that less than 25% of the aggregate number of Registrable Securities requested to be Registered pursuant to Section 2.01(a) are included. If, during the Registration Period, such Registration is interfered with by any stop order, injunction or other order or requirement of the SEC or other Governmental Authority, the Registration Period shall be extended on a day-for-day basis for any period the Holder is unable to complete an offering as a result of such stop order, injunction or other order or requirement of the SEC or other Governmental Authority.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86" w:name="page587"/>
    <w:bookmarkEnd w:id="586"/>
    <w:p>
      <w:pPr>
        <w:ind w:firstLine="444"/>
        <w:spacing w:after="0" w:line="290" w:lineRule="auto"/>
        <w:tabs>
          <w:tab w:leader="none" w:pos="695" w:val="left"/>
        </w:tabs>
        <w:numPr>
          <w:ilvl w:val="0"/>
          <w:numId w:val="5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Underwritten Offering</w:t>
      </w:r>
      <w:r>
        <w:rPr>
          <w:rFonts w:ascii="Arial" w:cs="Arial" w:eastAsia="Arial" w:hAnsi="Arial"/>
          <w:sz w:val="16"/>
          <w:szCs w:val="16"/>
          <w:color w:val="auto"/>
        </w:rPr>
        <w:t>. If the Initiating Holder so indicates at the time of its request pursuant to Section 2.01(a), such offering of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shall be in the form of an Underwritten Offering and the Company shall include such information in the Company Notice. In the event that the Initiating Holder intends to distribute the Registrable Securities by means of an Underwritten Offering, no Holder may include Registrable Securities in such Registration unless such Holder, subject to the limitations set forth in Section 2.06, (i) agrees to sell its Registrable Securities on the basis provided in the applicable underwriting arrangements; (ii) completes and executes all questionnaires, powers of attorney, indemnities, underwriting agreements and other documents reasonably required under the terms of such underwriting arrangements and (iii) cooperates with the Company’s reasonable requests in connection with such Registration (it being understood that the Company’s failure to perform its obligations hereunder, which failure is caused by such Holder’s failure to cooperate, will not constitute a breach by the Company of this Agreement).</w:t>
      </w:r>
    </w:p>
    <w:p>
      <w:pPr>
        <w:spacing w:after="0" w:line="58" w:lineRule="exact"/>
        <w:rPr>
          <w:rFonts w:ascii="Arial" w:cs="Arial" w:eastAsia="Arial" w:hAnsi="Arial"/>
          <w:sz w:val="16"/>
          <w:szCs w:val="16"/>
          <w:color w:val="auto"/>
        </w:rPr>
      </w:pPr>
    </w:p>
    <w:p>
      <w:pPr>
        <w:ind w:right="20" w:firstLine="444"/>
        <w:spacing w:after="0" w:line="287" w:lineRule="auto"/>
        <w:tabs>
          <w:tab w:leader="none" w:pos="685" w:val="left"/>
        </w:tabs>
        <w:numPr>
          <w:ilvl w:val="0"/>
          <w:numId w:val="512"/>
        </w:numPr>
        <w:rPr>
          <w:rFonts w:ascii="Arial" w:cs="Arial" w:eastAsia="Arial" w:hAnsi="Arial"/>
          <w:sz w:val="16"/>
          <w:szCs w:val="16"/>
          <w:color w:val="auto"/>
        </w:rPr>
      </w:pPr>
      <w:r>
        <w:rPr>
          <w:rFonts w:ascii="Arial" w:cs="Arial" w:eastAsia="Arial" w:hAnsi="Arial"/>
          <w:sz w:val="16"/>
          <w:szCs w:val="16"/>
          <w:i w:val="1"/>
          <w:iCs w:val="1"/>
          <w:color w:val="auto"/>
        </w:rPr>
        <w:t>Priority of Securities in an Underwritten Offering</w:t>
      </w:r>
      <w:r>
        <w:rPr>
          <w:rFonts w:ascii="Arial" w:cs="Arial" w:eastAsia="Arial" w:hAnsi="Arial"/>
          <w:sz w:val="16"/>
          <w:szCs w:val="16"/>
          <w:color w:val="auto"/>
        </w:rPr>
        <w:t>. If the Company, after consultation with the managing underwriter or underwriters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proposed Underwritten Offering, including an Underwritten Offering from a Shelf Registration, pursuant to this Section 2.01, determines in its sole discretion that the number of securities requested to be included in such Underwritten Offering exceeds the number that can be sold in such Underwritten Offering without being likely to have a significant adverse effect on the price, timing or distribution of the securities offered or the market for the securities offered, then the number of securities to be included in such Underwritten Offering shall be reduced in the following order of priority: </w:t>
      </w:r>
      <w:r>
        <w:rPr>
          <w:rFonts w:ascii="Arial" w:cs="Arial" w:eastAsia="Arial" w:hAnsi="Arial"/>
          <w:sz w:val="16"/>
          <w:szCs w:val="16"/>
          <w:i w:val="1"/>
          <w:iCs w:val="1"/>
          <w:color w:val="auto"/>
        </w:rPr>
        <w:t>first</w:t>
      </w:r>
      <w:r>
        <w:rPr>
          <w:rFonts w:ascii="Arial" w:cs="Arial" w:eastAsia="Arial" w:hAnsi="Arial"/>
          <w:sz w:val="16"/>
          <w:szCs w:val="16"/>
          <w:color w:val="auto"/>
        </w:rPr>
        <w:t>, there shall be excluded from the Underwritten Offering any securities to be sold for the account of any selling securityholder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Initiating Holder and the Eligible Holders;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there shall be excluded from the Underwritten Offering any securities to be sold for the account of the Company; </w:t>
      </w:r>
      <w:r>
        <w:rPr>
          <w:rFonts w:ascii="Arial" w:cs="Arial" w:eastAsia="Arial" w:hAnsi="Arial"/>
          <w:sz w:val="16"/>
          <w:szCs w:val="16"/>
          <w:i w:val="1"/>
          <w:iCs w:val="1"/>
          <w:color w:val="auto"/>
        </w:rPr>
        <w:t>third</w:t>
      </w:r>
      <w:r>
        <w:rPr>
          <w:rFonts w:ascii="Arial" w:cs="Arial" w:eastAsia="Arial" w:hAnsi="Arial"/>
          <w:sz w:val="16"/>
          <w:szCs w:val="16"/>
          <w:color w:val="auto"/>
        </w:rPr>
        <w:t xml:space="preserve">, there shall be excluded from the Underwritten Offering any securities to be sold for the account of the Eligible Holders and their Affiliates that have been requested to be included therein,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number of Registrable Securities owned by each such Eligible Holder; and </w:t>
      </w:r>
      <w:r>
        <w:rPr>
          <w:rFonts w:ascii="Arial" w:cs="Arial" w:eastAsia="Arial" w:hAnsi="Arial"/>
          <w:sz w:val="16"/>
          <w:szCs w:val="16"/>
          <w:i w:val="1"/>
          <w:iCs w:val="1"/>
          <w:color w:val="auto"/>
        </w:rPr>
        <w:t>finally</w:t>
      </w:r>
      <w:r>
        <w:rPr>
          <w:rFonts w:ascii="Arial" w:cs="Arial" w:eastAsia="Arial" w:hAnsi="Arial"/>
          <w:sz w:val="16"/>
          <w:szCs w:val="16"/>
          <w:color w:val="auto"/>
        </w:rPr>
        <w:t>, there shall be excluded from the Underwritten Offering any securities to be sold for the account of the Initiating Holder and its Affiliates that have been requested to be included therein, in each case to the extent necessary to reduce the total number of securities to be included in such offering to the number determined by the Company after consultation with the managing underwriter or underwriters.</w:t>
      </w:r>
    </w:p>
    <w:p>
      <w:pPr>
        <w:spacing w:after="0" w:line="60" w:lineRule="exact"/>
        <w:rPr>
          <w:rFonts w:ascii="Arial" w:cs="Arial" w:eastAsia="Arial" w:hAnsi="Arial"/>
          <w:sz w:val="16"/>
          <w:szCs w:val="16"/>
          <w:color w:val="auto"/>
        </w:rPr>
      </w:pPr>
    </w:p>
    <w:p>
      <w:pPr>
        <w:ind w:left="660" w:hanging="216"/>
        <w:spacing w:after="0"/>
        <w:tabs>
          <w:tab w:leader="none" w:pos="660" w:val="left"/>
        </w:tabs>
        <w:numPr>
          <w:ilvl w:val="0"/>
          <w:numId w:val="512"/>
        </w:numPr>
        <w:rPr>
          <w:rFonts w:ascii="Arial" w:cs="Arial" w:eastAsia="Arial" w:hAnsi="Arial"/>
          <w:sz w:val="16"/>
          <w:szCs w:val="16"/>
          <w:color w:val="auto"/>
        </w:rPr>
      </w:pPr>
      <w:r>
        <w:rPr>
          <w:rFonts w:ascii="Arial" w:cs="Arial" w:eastAsia="Arial" w:hAnsi="Arial"/>
          <w:sz w:val="16"/>
          <w:szCs w:val="16"/>
          <w:i w:val="1"/>
          <w:iCs w:val="1"/>
          <w:color w:val="auto"/>
        </w:rPr>
        <w:t>Shelf Registration</w:t>
      </w:r>
      <w:r>
        <w:rPr>
          <w:rFonts w:ascii="Arial" w:cs="Arial" w:eastAsia="Arial" w:hAnsi="Arial"/>
          <w:sz w:val="16"/>
          <w:szCs w:val="16"/>
          <w:color w:val="auto"/>
        </w:rPr>
        <w:t>. At any time after the date hereof when the Company is eligible to Register the applicable Registrable Securities on Form</w:t>
      </w:r>
    </w:p>
    <w:p>
      <w:pPr>
        <w:spacing w:after="0" w:line="4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S-3 (or a successor form) and an Initiating Holder is entitled to request Demand Registrations, such Initiating Holder may request the Company to effect a Demand Registration as a Shelf Registration. For the avoidance of doubt, the requirement that (i) the Company deliver a Company Notice in connection with a Demand Registration and (ii) the right of Eligible Holders to request that their Registrable Securities be included in a Registration Statement filed in connection with a Demand Registration, each as set forth in Section 2.01(a), shall apply to a Demand Registration that is effected as Shelf Registration. There shall be no limitations on the number of Underwritten Offerings pursuant to a Shelf Registration;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Third Party Holders may not require the Company to effect more than three Underwritten Offerings collectively in a 12-month period. If any Initiating Holder holds Registrable Securities included on a Shelf Registration, it shall have the right to request that the Company cooperate in a shelf takedown at any time, including an Underwritten Offering, by delivering a written request thereof to the Company specifying the kind and number of shares of Registrable Securities such Initiating Holder wishes to include in the shelf takedown (“</w:t>
      </w:r>
      <w:r>
        <w:rPr>
          <w:rFonts w:ascii="Arial" w:cs="Arial" w:eastAsia="Arial" w:hAnsi="Arial"/>
          <w:sz w:val="17"/>
          <w:szCs w:val="17"/>
          <w:b w:val="1"/>
          <w:bCs w:val="1"/>
          <w:color w:val="auto"/>
        </w:rPr>
        <w:t>Takedown Notice</w:t>
      </w:r>
      <w:r>
        <w:rPr>
          <w:rFonts w:ascii="Arial" w:cs="Arial" w:eastAsia="Arial" w:hAnsi="Arial"/>
          <w:sz w:val="17"/>
          <w:szCs w:val="17"/>
          <w:color w:val="auto"/>
        </w:rPr>
        <w:t>”). The Company shall (i) within five days of the receipt of a Takedown Notice, give written notice of such Takedown Notice to all Holders of Registrable Securities included on such Shelf Registration (the “</w:t>
      </w:r>
      <w:r>
        <w:rPr>
          <w:rFonts w:ascii="Arial" w:cs="Arial" w:eastAsia="Arial" w:hAnsi="Arial"/>
          <w:sz w:val="17"/>
          <w:szCs w:val="17"/>
          <w:b w:val="1"/>
          <w:bCs w:val="1"/>
          <w:color w:val="auto"/>
        </w:rPr>
        <w:t>Company Takedown Notice</w:t>
      </w:r>
      <w:r>
        <w:rPr>
          <w:rFonts w:ascii="Arial" w:cs="Arial" w:eastAsia="Arial" w:hAnsi="Arial"/>
          <w:sz w:val="17"/>
          <w:szCs w:val="17"/>
          <w:color w:val="auto"/>
        </w:rPr>
        <w:t>”), and (ii) shall take all actions reasonably requested by the Initiating Holder who submitted the Takedown Notice, including the filing of a Prospectus supplement and the other actions described in Section 2.04, in accordance with the intended method of distribution set forth in the Takedown Notice as expeditiously as practicable. If the takedown is an Underwritten Offering, the Company shall include in such Underwritten Offering all Registrable Securities that the Holders of Registrable Securities included in the Registration Statement for such Shelf Registration, request be included within the five Business Days following such Holders’ receipt of the Company Takedown Notice. If the takedown is an Underwritten Offering, the Registrable Securities requested to be included in a shelf takedown must represent (i) an aggregate offering price of Registrable Securities that is reasonably expected to equal at least $50,000,000 or (ii) all of the remaining Registrable Securities owned by the requesting Initiating Holder and its Affiliates.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87" w:name="page588"/>
    <w:bookmarkEnd w:id="587"/>
    <w:p>
      <w:pPr>
        <w:ind w:firstLine="444"/>
        <w:spacing w:after="0" w:line="255" w:lineRule="auto"/>
        <w:tabs>
          <w:tab w:leader="none" w:pos="695" w:val="left"/>
        </w:tabs>
        <w:numPr>
          <w:ilvl w:val="0"/>
          <w:numId w:val="5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 Form</w:t>
      </w:r>
      <w:r>
        <w:rPr>
          <w:rFonts w:ascii="Arial" w:cs="Arial" w:eastAsia="Arial" w:hAnsi="Arial"/>
          <w:sz w:val="18"/>
          <w:szCs w:val="18"/>
          <w:color w:val="auto"/>
        </w:rPr>
        <w:t>. Except as set forth in the next sentence, the Company shall use its reasonable best efforts to cause Demand Registrations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on Form S-3 (or any successor form), and if the Company is not then eligible under the Securities Act to use Form S-3, Demand Registrations shall be Registered on Form S-1 (or any successor form). The Company shall use its reasonable best efforts to become eligible to use Form S-3 and, after becoming eligible to use Form S-3, shall use its reasonable best efforts to remain so eligible. All Demand Registrations shall comply with applicable requirements of the Securities Act and, together with each Prospectus included, filed or otherwise furnished by the Company in connection therewith, shall not contain any untrue statement of material fact or omit to state a material fact required to be stated therein or necessary to make the statements therein not misleading.</w:t>
      </w:r>
    </w:p>
    <w:p>
      <w:pPr>
        <w:spacing w:after="0" w:line="81" w:lineRule="exact"/>
        <w:rPr>
          <w:rFonts w:ascii="Arial" w:cs="Arial" w:eastAsia="Arial" w:hAnsi="Arial"/>
          <w:sz w:val="18"/>
          <w:szCs w:val="18"/>
          <w:color w:val="auto"/>
        </w:rPr>
      </w:pPr>
    </w:p>
    <w:p>
      <w:pPr>
        <w:ind w:right="60" w:firstLine="444"/>
        <w:spacing w:after="0" w:line="270" w:lineRule="auto"/>
        <w:tabs>
          <w:tab w:leader="none" w:pos="695" w:val="left"/>
        </w:tabs>
        <w:numPr>
          <w:ilvl w:val="0"/>
          <w:numId w:val="513"/>
        </w:numPr>
        <w:rPr>
          <w:rFonts w:ascii="Arial" w:cs="Arial" w:eastAsia="Arial" w:hAnsi="Arial"/>
          <w:sz w:val="17"/>
          <w:szCs w:val="17"/>
          <w:color w:val="auto"/>
        </w:rPr>
      </w:pPr>
      <w:r>
        <w:rPr>
          <w:rFonts w:ascii="Arial" w:cs="Arial" w:eastAsia="Arial" w:hAnsi="Arial"/>
          <w:sz w:val="17"/>
          <w:szCs w:val="17"/>
          <w:i w:val="1"/>
          <w:iCs w:val="1"/>
          <w:color w:val="auto"/>
        </w:rPr>
        <w:t>Postponement</w:t>
      </w:r>
      <w:r>
        <w:rPr>
          <w:rFonts w:ascii="Arial" w:cs="Arial" w:eastAsia="Arial" w:hAnsi="Arial"/>
          <w:sz w:val="17"/>
          <w:szCs w:val="17"/>
          <w:color w:val="auto"/>
        </w:rPr>
        <w:t>. Upon notice to, in the case of a Demand Registration, the Initiating Holder for such Demand Registration and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Holders or, in the case of a shelf takedown, the Initiating Holder or Holders requesting such shelf takedown and any other Holders to which a Company Takedown Notice has been delivered with respect to such shelf takedown, the Company may postpone effecting a Registration or shelf takedown, as applicable, pursuant to this Section 2.01 on two occasions during any period of twelve consecutive months for a reasonable time specified in the notice but not exceeding 120 days (which period may not be extended or renewed), if (i) the Company reasonably believes that effecting the Registration or shelf takedown, as applicable, would materially and adversely affect a proposal or plan by the Company to engage in (directly or indirectly through any of its Subsidiaries): (x) a material acquisition or divestiture of assets; (y) a merger, consolidation, tender offer, reorganization, primary offering of the Company’s securities or similar material transaction; or (z) a material financing or any other material business transaction with a third party or (ii) the Company is in possession of material non-public information the disclosure of which during the period specified in such notice the Company reasonably believes would not be in the best interests of the Company.</w:t>
      </w:r>
    </w:p>
    <w:p>
      <w:pPr>
        <w:spacing w:after="0" w:line="69" w:lineRule="exact"/>
        <w:rPr>
          <w:rFonts w:ascii="Arial" w:cs="Arial" w:eastAsia="Arial" w:hAnsi="Arial"/>
          <w:sz w:val="17"/>
          <w:szCs w:val="17"/>
          <w:color w:val="auto"/>
        </w:rPr>
      </w:pPr>
    </w:p>
    <w:p>
      <w:pPr>
        <w:ind w:right="60" w:firstLine="444"/>
        <w:spacing w:after="0" w:line="302" w:lineRule="auto"/>
        <w:tabs>
          <w:tab w:leader="none" w:pos="655" w:val="left"/>
        </w:tabs>
        <w:numPr>
          <w:ilvl w:val="0"/>
          <w:numId w:val="513"/>
        </w:numPr>
        <w:rPr>
          <w:rFonts w:ascii="Arial" w:cs="Arial" w:eastAsia="Arial" w:hAnsi="Arial"/>
          <w:sz w:val="16"/>
          <w:szCs w:val="16"/>
          <w:color w:val="auto"/>
        </w:rPr>
      </w:pPr>
      <w:r>
        <w:rPr>
          <w:rFonts w:ascii="Arial" w:cs="Arial" w:eastAsia="Arial" w:hAnsi="Arial"/>
          <w:sz w:val="16"/>
          <w:szCs w:val="16"/>
          <w:i w:val="1"/>
          <w:iCs w:val="1"/>
          <w:color w:val="auto"/>
        </w:rPr>
        <w:t>Right to Withdraw</w:t>
      </w:r>
      <w:r>
        <w:rPr>
          <w:rFonts w:ascii="Arial" w:cs="Arial" w:eastAsia="Arial" w:hAnsi="Arial"/>
          <w:sz w:val="16"/>
          <w:szCs w:val="16"/>
          <w:color w:val="auto"/>
        </w:rPr>
        <w:t>. Unless otherwise agreed, each Holder shall have the right to withdraw such Holder’s request for inclusion of its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 any Underwritten Offering pursuant to this Section 2.01 at any time prior to the execution of an underwriting agreement with respect thereto by giving written notice to the Company of such Holder’s request to withdrawn and, subject to the preceding clause, each Holder shall be permitted to withdraw all or part of such Holder’s Registrable Securities from a Demand Registration at any time prior to the effective date thereof.</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Piggyback Registrations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6" w:lineRule="auto"/>
        <w:tabs>
          <w:tab w:leader="none" w:pos="685" w:val="left"/>
        </w:tabs>
        <w:numPr>
          <w:ilvl w:val="1"/>
          <w:numId w:val="514"/>
        </w:numPr>
        <w:rPr>
          <w:rFonts w:ascii="Arial" w:cs="Arial" w:eastAsia="Arial" w:hAnsi="Arial"/>
          <w:sz w:val="16"/>
          <w:szCs w:val="16"/>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If the Company proposes to file a Registration Statement under the Securities Act with respect to any offering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for its own account and/or for the account of any other Persons (other than a Registration (i) under Section 2.01 hereof, (ii) pursuant to a Registration Statement on Form S-8 (or other registration solely relating to an offering or sale to employees or directors of the Company pursuant to any employee stock plan or other employee benefit arrangement) or Form S-4 or similar form that relates to a transaction subject to Rule 145 under the Securities Act,</w:t>
      </w:r>
    </w:p>
    <w:p>
      <w:pPr>
        <w:spacing w:after="0" w:line="1" w:lineRule="exact"/>
        <w:rPr>
          <w:rFonts w:ascii="Arial" w:cs="Arial" w:eastAsia="Arial" w:hAnsi="Arial"/>
          <w:sz w:val="16"/>
          <w:szCs w:val="16"/>
          <w:color w:val="auto"/>
        </w:rPr>
      </w:pPr>
    </w:p>
    <w:p>
      <w:pPr>
        <w:ind w:left="320" w:hanging="316"/>
        <w:spacing w:after="0"/>
        <w:tabs>
          <w:tab w:leader="none" w:pos="3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in connection with any dividend reinvestment or similar plan or (iv) for the sole purpose of offering securities to another entity or its security</w:t>
      </w:r>
    </w:p>
    <w:p>
      <w:pPr>
        <w:spacing w:after="0" w:line="20" w:lineRule="exact"/>
        <w:rPr>
          <w:rFonts w:ascii="Arial" w:cs="Arial" w:eastAsia="Arial" w:hAnsi="Arial"/>
          <w:sz w:val="17"/>
          <w:szCs w:val="17"/>
          <w:color w:val="auto"/>
        </w:rPr>
      </w:pPr>
    </w:p>
    <w:p>
      <w:pPr>
        <w:ind w:right="60"/>
        <w:spacing w:after="0" w:line="268" w:lineRule="auto"/>
        <w:rPr>
          <w:rFonts w:ascii="Arial" w:cs="Arial" w:eastAsia="Arial" w:hAnsi="Arial"/>
          <w:sz w:val="17"/>
          <w:szCs w:val="17"/>
          <w:color w:val="auto"/>
        </w:rPr>
      </w:pPr>
      <w:r>
        <w:rPr>
          <w:rFonts w:ascii="Arial" w:cs="Arial" w:eastAsia="Arial" w:hAnsi="Arial"/>
          <w:sz w:val="17"/>
          <w:szCs w:val="17"/>
          <w:color w:val="auto"/>
        </w:rPr>
        <w:t>holders in connection with the acquisition of assets or securities of such entity or any similar transaction), then, as soon as practicable (but in no event less than 5 days prior to the proposed date of filing such Registration Statement), the Company shall give written notice of such proposed filing to each Holder, and such notice shall offer such Holders the opportunity to Register under such Registration Statement such number of Registrable Securities as each such Holder may request in writing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xml:space="preserve">”). Subject to Section 2.02(a) and Section 2.02(c), the Company shall include in such Registration Statement all such Registrable Securities that are requested to be included therein within seven Business Days after the receipt of any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any time after giving written notice of its intention to Register any securities pursuant to this Section 2.02(a) and prior to the effective date of the Registration Statement filed in connection with such Registration, the Company shall determine for any reason not to Register or to delay Registration of such securities, the Company may, at its election, give written notice of such determination to each such Holder and, thereupon, (i) in the case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588" w:name="page589"/>
    <w:bookmarkEnd w:id="58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determination not to Register, shall be relieved of its obligation to Register any Registrable Securities in connection with such Registration and shall have no liability to any Holder in connection with such termination, and (ii) in the case of a determination to delay Registration, shall be permitted to delay Registering any Registrable Securities for the same period as the delay in Registering such other shares of Common Stock, in each case without prejudice, however, to the rights of any Holder to request that such Registration be effected as a Demand Registration under Section 2.01. For the avoidance of doubt. no Registration effected under this Section 2.02 shall relieve the Company of its obligation to effect any Demand Registration under Section 2.01. If the offering pursuant to a Registration Statement pursuant to this Section 2.02 is to be an Underwritten Offering, then each Holder making a request for a Piggyback Registration pursuant to this Section 2.02(a) shall, and the Company shall use reasonable best efforts to coordinate arrangements with the underwriters so that each such Holder may, participate in such Underwritten Offering. If the offering pursuant to such Registration Statement is to be on any other basis, then each Holder making a request for a Piggyback Registration pursuant to this Section 2.02(a) shall, and the Company shall use reasonable best efforts to coordinate arrangements so that each such Holder may, participate in such offering on such basis. If the Company files a Shelf Registration for its own account and/or for the account of any other Persons, the Company agrees that it shall use its reasonable best efforts to include in such Registration Statement such disclosures as may be required by Rule 430B under the Securities Act in order to ensure that the Holders may be added to such Shelf Registration at a later time through the filing of a Prospectus supplement rather than a post-effective amendment.</w:t>
      </w:r>
    </w:p>
    <w:p>
      <w:pPr>
        <w:spacing w:after="0" w:line="77" w:lineRule="exact"/>
        <w:rPr>
          <w:sz w:val="20"/>
          <w:szCs w:val="20"/>
          <w:color w:val="auto"/>
        </w:rPr>
      </w:pPr>
    </w:p>
    <w:p>
      <w:pPr>
        <w:ind w:right="20" w:firstLine="444"/>
        <w:spacing w:after="0" w:line="302" w:lineRule="auto"/>
        <w:tabs>
          <w:tab w:leader="none" w:pos="695" w:val="left"/>
        </w:tabs>
        <w:numPr>
          <w:ilvl w:val="0"/>
          <w:numId w:val="516"/>
        </w:numPr>
        <w:rPr>
          <w:rFonts w:ascii="Arial" w:cs="Arial" w:eastAsia="Arial" w:hAnsi="Arial"/>
          <w:sz w:val="16"/>
          <w:szCs w:val="16"/>
          <w:color w:val="auto"/>
        </w:rPr>
      </w:pPr>
      <w:r>
        <w:rPr>
          <w:rFonts w:ascii="Arial" w:cs="Arial" w:eastAsia="Arial" w:hAnsi="Arial"/>
          <w:sz w:val="16"/>
          <w:szCs w:val="16"/>
          <w:i w:val="1"/>
          <w:iCs w:val="1"/>
          <w:color w:val="auto"/>
        </w:rPr>
        <w:t>Right to Withdraw</w:t>
      </w:r>
      <w:r>
        <w:rPr>
          <w:rFonts w:ascii="Arial" w:cs="Arial" w:eastAsia="Arial" w:hAnsi="Arial"/>
          <w:sz w:val="16"/>
          <w:szCs w:val="16"/>
          <w:color w:val="auto"/>
        </w:rPr>
        <w:t>. Unless otherwise agreed, each Holder shall have the right to withdraw such Holder’s request for inclusion of its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 any Underwritten Offering pursuant to this Section 2.02 at any time prior to the execution of an underwriting agreement with respect thereto by giving written notice to the Company of such Holder’s request to withdraw and, subject to the preceding clause, each Holder shall be permitted to withdraw all or part of such Holder’s Registrable Securities from a Piggyback Registration at any time prior to the effective date thereof.</w:t>
      </w:r>
    </w:p>
    <w:p>
      <w:pPr>
        <w:spacing w:after="0" w:line="46" w:lineRule="exact"/>
        <w:rPr>
          <w:rFonts w:ascii="Arial" w:cs="Arial" w:eastAsia="Arial" w:hAnsi="Arial"/>
          <w:sz w:val="16"/>
          <w:szCs w:val="16"/>
          <w:color w:val="auto"/>
        </w:rPr>
      </w:pPr>
    </w:p>
    <w:p>
      <w:pPr>
        <w:ind w:right="40" w:firstLine="444"/>
        <w:spacing w:after="0" w:line="253" w:lineRule="auto"/>
        <w:tabs>
          <w:tab w:leader="none" w:pos="685" w:val="left"/>
        </w:tabs>
        <w:numPr>
          <w:ilvl w:val="0"/>
          <w:numId w:val="516"/>
        </w:numPr>
        <w:rPr>
          <w:rFonts w:ascii="Arial" w:cs="Arial" w:eastAsia="Arial" w:hAnsi="Arial"/>
          <w:sz w:val="18"/>
          <w:szCs w:val="18"/>
          <w:color w:val="auto"/>
        </w:rPr>
      </w:pPr>
      <w:r>
        <w:rPr>
          <w:rFonts w:ascii="Arial" w:cs="Arial" w:eastAsia="Arial" w:hAnsi="Arial"/>
          <w:sz w:val="18"/>
          <w:szCs w:val="18"/>
          <w:i w:val="1"/>
          <w:iCs w:val="1"/>
          <w:color w:val="auto"/>
        </w:rPr>
        <w:t>Priority of Piggyback Registration</w:t>
      </w:r>
      <w:r>
        <w:rPr>
          <w:rFonts w:ascii="Arial" w:cs="Arial" w:eastAsia="Arial" w:hAnsi="Arial"/>
          <w:sz w:val="18"/>
          <w:szCs w:val="18"/>
          <w:color w:val="auto"/>
        </w:rPr>
        <w:t>. If the managing underwriter or underwriters of any proposed Underwritten Offering of a class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Registrable Securities included in a Piggyback Registration informs the Company and the Holders in writing that, in its or their opinion, the number of securities of such class which such Holder and any other Persons intend to include in such Underwritten Offering exceeds the number which can be sold in such Underwritten Offering without being likely to have a significant adverse effect on the price, timing or distribution of the securities offered or the market for the securities offered, then the securities to be included in such Underwritten Offering shall be reduced in the following order of priority: </w:t>
      </w:r>
      <w:r>
        <w:rPr>
          <w:rFonts w:ascii="Arial" w:cs="Arial" w:eastAsia="Arial" w:hAnsi="Arial"/>
          <w:sz w:val="18"/>
          <w:szCs w:val="18"/>
          <w:i w:val="1"/>
          <w:iCs w:val="1"/>
          <w:color w:val="auto"/>
        </w:rPr>
        <w:t>first</w:t>
      </w:r>
      <w:r>
        <w:rPr>
          <w:rFonts w:ascii="Arial" w:cs="Arial" w:eastAsia="Arial" w:hAnsi="Arial"/>
          <w:sz w:val="18"/>
          <w:szCs w:val="18"/>
          <w:color w:val="auto"/>
        </w:rPr>
        <w:t>, there shall be excluded from the Underwritten Offering any securities to be sold for the account of any selling securityholder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Holders; and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there shall be excluded from the Underwritten Offering any securities to be sold for the account of Holders and their Affiliates that have been requested to be included therein,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Registrable Securities owned by each such Holder, in each case to the extent necessary to reduce the total number of securities to be included in such offering to the number recommended by the managing underwriter or underwriters.</w:t>
      </w:r>
    </w:p>
    <w:p>
      <w:pPr>
        <w:spacing w:after="0" w:line="87" w:lineRule="exact"/>
        <w:rPr>
          <w:sz w:val="20"/>
          <w:szCs w:val="20"/>
          <w:color w:val="auto"/>
        </w:rPr>
      </w:pPr>
    </w:p>
    <w:p>
      <w:pPr>
        <w:ind w:left="1000" w:right="60" w:firstLine="401"/>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Selection of Underwriter(s) etc.</w:t>
      </w:r>
      <w:r>
        <w:rPr>
          <w:rFonts w:ascii="Arial" w:cs="Arial" w:eastAsia="Arial" w:hAnsi="Arial"/>
          <w:sz w:val="18"/>
          <w:szCs w:val="18"/>
          <w:color w:val="auto"/>
        </w:rPr>
        <w:t>. In any Underwritten Offering pursuant to Section 2.01, the Company shall select the underwriter(s), financial printer and/or solicitation and/or exchange agent (if any). The Company may consult with the Initiating Holder in its selection, provided that the Company shall be under no obligation to the Initiating Holder as a result of or in connection with such consultation.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right="340" w:firstLine="444"/>
        <w:spacing w:after="0" w:line="264" w:lineRule="auto"/>
        <w:tabs>
          <w:tab w:leader="none" w:pos="68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In connection with the Registration and/or sale of Registrable Securities pursuant to this Agreement, through an Underwritten Offering or otherwise, the Company shall use reasonable best efforts to effect or cause the Registration and the sale of such Registrable Securities in accordance with the intended methods of disposition thereof and:</w:t>
      </w:r>
    </w:p>
    <w:p>
      <w:pPr>
        <w:spacing w:after="0" w:line="73" w:lineRule="exact"/>
        <w:rPr>
          <w:rFonts w:ascii="Arial" w:cs="Arial" w:eastAsia="Arial" w:hAnsi="Arial"/>
          <w:sz w:val="18"/>
          <w:szCs w:val="18"/>
          <w:color w:val="auto"/>
        </w:rPr>
      </w:pPr>
    </w:p>
    <w:p>
      <w:pPr>
        <w:ind w:left="440" w:right="100" w:firstLine="428"/>
        <w:spacing w:after="0" w:line="276" w:lineRule="auto"/>
        <w:tabs>
          <w:tab w:leader="none" w:pos="1078" w:val="left"/>
        </w:tabs>
        <w:numPr>
          <w:ilvl w:val="1"/>
          <w:numId w:val="517"/>
        </w:numPr>
        <w:rPr>
          <w:rFonts w:ascii="Arial" w:cs="Arial" w:eastAsia="Arial" w:hAnsi="Arial"/>
          <w:sz w:val="17"/>
          <w:szCs w:val="17"/>
          <w:color w:val="auto"/>
        </w:rPr>
      </w:pPr>
      <w:r>
        <w:rPr>
          <w:rFonts w:ascii="Arial" w:cs="Arial" w:eastAsia="Arial" w:hAnsi="Arial"/>
          <w:sz w:val="17"/>
          <w:szCs w:val="17"/>
          <w:color w:val="auto"/>
        </w:rPr>
        <w:t>prepare and file the required Registration Statement, including all exhibits and financial statements required under the Securities Act to be filed therewith, and before filing with the SEC a Registration Statement or Prospectus, or any amendments or supplements thereto, (A) furnish to the underwriters, if any, and to the Holders participating in such Registration, copies of all documents prepared to be filed, which documents will be subject to the review of such underwriters and such participating Holders and their respective counsel, and (B) consider in good faith any comments of the underwriters and Holders and their respective counsel on such documents;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589" w:name="page590"/>
    <w:bookmarkEnd w:id="589"/>
    <w:p>
      <w:pPr>
        <w:jc w:val="both"/>
        <w:ind w:right="100" w:firstLine="428"/>
        <w:spacing w:after="0" w:line="286" w:lineRule="auto"/>
        <w:tabs>
          <w:tab w:leader="none" w:pos="688" w:val="left"/>
        </w:tabs>
        <w:numPr>
          <w:ilvl w:val="1"/>
          <w:numId w:val="5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prepare and file with the SEC such amendments and supplements to such Registration Statement and the Prospectus used in connection therewith as may be necessary to keep such Registration Statement effective in accordance with the terms of this Agreement and to comply with the provisions of the Securities Act with respect to the disposition of all of the Shares Registered thereon;</w:t>
      </w:r>
    </w:p>
    <w:p>
      <w:pPr>
        <w:spacing w:after="0" w:line="57" w:lineRule="exact"/>
        <w:rPr>
          <w:rFonts w:ascii="Arial" w:cs="Arial" w:eastAsia="Arial" w:hAnsi="Arial"/>
          <w:sz w:val="17"/>
          <w:szCs w:val="17"/>
          <w:color w:val="auto"/>
        </w:rPr>
      </w:pPr>
    </w:p>
    <w:p>
      <w:pPr>
        <w:jc w:val="both"/>
        <w:ind w:firstLine="428"/>
        <w:spacing w:after="0" w:line="259" w:lineRule="auto"/>
        <w:tabs>
          <w:tab w:leader="none" w:pos="738" w:val="left"/>
        </w:tabs>
        <w:numPr>
          <w:ilvl w:val="1"/>
          <w:numId w:val="518"/>
        </w:numPr>
        <w:rPr>
          <w:rFonts w:ascii="Arial" w:cs="Arial" w:eastAsia="Arial" w:hAnsi="Arial"/>
          <w:sz w:val="18"/>
          <w:szCs w:val="18"/>
          <w:color w:val="auto"/>
        </w:rPr>
      </w:pPr>
      <w:r>
        <w:rPr>
          <w:rFonts w:ascii="Arial" w:cs="Arial" w:eastAsia="Arial" w:hAnsi="Arial"/>
          <w:sz w:val="18"/>
          <w:szCs w:val="18"/>
          <w:color w:val="auto"/>
        </w:rPr>
        <w:t>in the case of a Shelf Registration,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Shares subject thereto for a period ending on the 3</w:t>
      </w:r>
      <w:r>
        <w:rPr>
          <w:rFonts w:ascii="Arial" w:cs="Arial" w:eastAsia="Arial" w:hAnsi="Arial"/>
          <w:sz w:val="15"/>
          <w:szCs w:val="15"/>
          <w:color w:val="auto"/>
        </w:rPr>
        <w:t>rd</w:t>
      </w:r>
      <w:r>
        <w:rPr>
          <w:rFonts w:ascii="Arial" w:cs="Arial" w:eastAsia="Arial" w:hAnsi="Arial"/>
          <w:sz w:val="18"/>
          <w:szCs w:val="18"/>
          <w:color w:val="auto"/>
        </w:rPr>
        <w:t xml:space="preserve"> anniversary after the effective date of such Registration Statement;</w:t>
      </w:r>
    </w:p>
    <w:p>
      <w:pPr>
        <w:spacing w:after="0" w:line="78" w:lineRule="exact"/>
        <w:rPr>
          <w:rFonts w:ascii="Arial" w:cs="Arial" w:eastAsia="Arial" w:hAnsi="Arial"/>
          <w:sz w:val="18"/>
          <w:szCs w:val="18"/>
          <w:color w:val="auto"/>
        </w:rPr>
      </w:pPr>
    </w:p>
    <w:p>
      <w:pPr>
        <w:ind w:right="60" w:firstLine="428"/>
        <w:spacing w:after="0" w:line="284" w:lineRule="auto"/>
        <w:tabs>
          <w:tab w:leader="none" w:pos="728" w:val="left"/>
        </w:tabs>
        <w:numPr>
          <w:ilvl w:val="1"/>
          <w:numId w:val="518"/>
        </w:numPr>
        <w:rPr>
          <w:rFonts w:ascii="Arial" w:cs="Arial" w:eastAsia="Arial" w:hAnsi="Arial"/>
          <w:sz w:val="16"/>
          <w:szCs w:val="16"/>
          <w:color w:val="auto"/>
        </w:rPr>
      </w:pPr>
      <w:r>
        <w:rPr>
          <w:rFonts w:ascii="Arial" w:cs="Arial" w:eastAsia="Arial" w:hAnsi="Arial"/>
          <w:sz w:val="16"/>
          <w:szCs w:val="16"/>
          <w:color w:val="auto"/>
        </w:rPr>
        <w:t>notify the participating Holders and the managing underwriter or underwriters, if any, and (if requested) confirm such advice in writing and provide copies of the relevant documents, as soon as reasonably practicable after notice thereof is received by the Company (A) when the applicable Registration Statement or any amendment thereto has been filed or becomes effective, or when the applicable Prospectus or any amendment or supplement to such Prospectus has been filed, (B) of any written comments by the SEC or any request by the SEC or any other Governmental Authority for amendments or supplements to such Registration Statement or such Prospectus or for additional information, (C) of the issuance by the SEC of any stop order suspending the effectiveness of such Registration Statement or any order preventing or suspending the use of any preliminary or final Prospectus or the initiation or threatening of any proceedings for such purposes, (D) if, at any time, the representations and warranties of the Company in any applicable underwriting agreement cease to be true and correct in all material respects, and</w:t>
      </w:r>
    </w:p>
    <w:p>
      <w:pPr>
        <w:spacing w:after="0" w:line="1" w:lineRule="exact"/>
        <w:rPr>
          <w:rFonts w:ascii="Arial" w:cs="Arial" w:eastAsia="Arial" w:hAnsi="Arial"/>
          <w:sz w:val="16"/>
          <w:szCs w:val="16"/>
          <w:color w:val="auto"/>
        </w:rPr>
      </w:pPr>
    </w:p>
    <w:p>
      <w:pPr>
        <w:ind w:right="120" w:firstLine="4"/>
        <w:spacing w:after="0" w:line="261" w:lineRule="auto"/>
        <w:tabs>
          <w:tab w:leader="none" w:pos="27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of the receipt by the Company of any notification with respect to the suspension of the qualification of the Registrable Securities for offering or sale in any jurisdiction or the initiation or threatening of any proceeding for such purpose;</w:t>
      </w:r>
    </w:p>
    <w:p>
      <w:pPr>
        <w:spacing w:after="0" w:line="75" w:lineRule="exact"/>
        <w:rPr>
          <w:rFonts w:ascii="Arial" w:cs="Arial" w:eastAsia="Arial" w:hAnsi="Arial"/>
          <w:sz w:val="18"/>
          <w:szCs w:val="18"/>
          <w:color w:val="auto"/>
        </w:rPr>
      </w:pPr>
    </w:p>
    <w:p>
      <w:pPr>
        <w:ind w:right="20" w:firstLine="428"/>
        <w:spacing w:after="0" w:line="290" w:lineRule="auto"/>
        <w:tabs>
          <w:tab w:leader="none" w:pos="678" w:val="left"/>
        </w:tabs>
        <w:numPr>
          <w:ilvl w:val="1"/>
          <w:numId w:val="519"/>
        </w:numPr>
        <w:rPr>
          <w:rFonts w:ascii="Arial" w:cs="Arial" w:eastAsia="Arial" w:hAnsi="Arial"/>
          <w:sz w:val="16"/>
          <w:szCs w:val="16"/>
          <w:color w:val="auto"/>
        </w:rPr>
      </w:pPr>
      <w:r>
        <w:rPr>
          <w:rFonts w:ascii="Arial" w:cs="Arial" w:eastAsia="Arial" w:hAnsi="Arial"/>
          <w:sz w:val="16"/>
          <w:szCs w:val="16"/>
          <w:color w:val="auto"/>
        </w:rPr>
        <w:t>promptly notify each selling Holder and the managing underwriter or underwriters, if any, when the Company becomes aware of the occurrence of any event as a result of which the applicable Registration Statement or the Prospectus included in such Registration Statement (as then in effect) contains any untrue statement of a material fact or omits to state a material fact necessary to make the statements therein (in the case of such Prospectus and any preliminary Prospectus, in light of the circumstances under which they were made) not misleading or, if for any other reason it shall be necessary during such time period to amend or supplement such Registration Statement or Prospectus in order to comply with the Securities Act and, in either case as promptly as reasonably practicable thereafter, prepare and file with the SEC, and furnish without charge to the selling Holder and the managing underwriter or underwriters, if any, an amendment or supplement to such Registration Statement or Prospectus which will correct such statement or omission or effect such compliance;</w:t>
      </w:r>
    </w:p>
    <w:p>
      <w:pPr>
        <w:spacing w:after="0" w:line="58" w:lineRule="exact"/>
        <w:rPr>
          <w:rFonts w:ascii="Arial" w:cs="Arial" w:eastAsia="Arial" w:hAnsi="Arial"/>
          <w:sz w:val="16"/>
          <w:szCs w:val="16"/>
          <w:color w:val="auto"/>
        </w:rPr>
      </w:pPr>
    </w:p>
    <w:p>
      <w:pPr>
        <w:ind w:right="20" w:firstLine="428"/>
        <w:spacing w:after="0" w:line="277" w:lineRule="auto"/>
        <w:tabs>
          <w:tab w:leader="none" w:pos="728" w:val="left"/>
        </w:tabs>
        <w:numPr>
          <w:ilvl w:val="1"/>
          <w:numId w:val="519"/>
        </w:numPr>
        <w:rPr>
          <w:rFonts w:ascii="Arial" w:cs="Arial" w:eastAsia="Arial" w:hAnsi="Arial"/>
          <w:sz w:val="18"/>
          <w:szCs w:val="18"/>
          <w:color w:val="auto"/>
        </w:rPr>
      </w:pPr>
      <w:r>
        <w:rPr>
          <w:rFonts w:ascii="Arial" w:cs="Arial" w:eastAsia="Arial" w:hAnsi="Arial"/>
          <w:sz w:val="18"/>
          <w:szCs w:val="18"/>
          <w:color w:val="auto"/>
        </w:rPr>
        <w:t>use its reasonable best efforts to prevent or obtain the withdrawal of any stop order or other order suspending the use of any preliminary or final Prospectus;</w:t>
      </w:r>
    </w:p>
    <w:p>
      <w:pPr>
        <w:spacing w:after="0" w:line="62" w:lineRule="exact"/>
        <w:rPr>
          <w:rFonts w:ascii="Arial" w:cs="Arial" w:eastAsia="Arial" w:hAnsi="Arial"/>
          <w:sz w:val="18"/>
          <w:szCs w:val="18"/>
          <w:color w:val="auto"/>
        </w:rPr>
      </w:pPr>
    </w:p>
    <w:p>
      <w:pPr>
        <w:ind w:right="20" w:firstLine="428"/>
        <w:spacing w:after="0" w:line="279" w:lineRule="auto"/>
        <w:tabs>
          <w:tab w:leader="none" w:pos="778" w:val="left"/>
        </w:tabs>
        <w:numPr>
          <w:ilvl w:val="1"/>
          <w:numId w:val="519"/>
        </w:numPr>
        <w:rPr>
          <w:rFonts w:ascii="Arial" w:cs="Arial" w:eastAsia="Arial" w:hAnsi="Arial"/>
          <w:sz w:val="17"/>
          <w:szCs w:val="17"/>
          <w:color w:val="auto"/>
        </w:rPr>
      </w:pPr>
      <w:r>
        <w:rPr>
          <w:rFonts w:ascii="Arial" w:cs="Arial" w:eastAsia="Arial" w:hAnsi="Arial"/>
          <w:sz w:val="17"/>
          <w:szCs w:val="17"/>
          <w:color w:val="auto"/>
        </w:rPr>
        <w:t>promptly incorporate in a Prospectus supplement or post-effective amendment such information as the managing underwriters, if any, and the Holders may reasonably request to be included therein in order to permit the intended method of distribution of the Registrable Securities; and make all required filings of such Prospectus supplement or post-effective amendment as soon as reasonably practicable after being notified of the matters to be incorporated in such Prospectus supplement or post-effective amendment;</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590" w:name="page591"/>
    <w:bookmarkEnd w:id="590"/>
    <w:p>
      <w:pPr>
        <w:ind w:right="180" w:firstLine="428"/>
        <w:spacing w:after="0" w:line="312" w:lineRule="auto"/>
        <w:tabs>
          <w:tab w:leader="none" w:pos="828" w:val="left"/>
        </w:tabs>
        <w:numPr>
          <w:ilvl w:val="0"/>
          <w:numId w:val="5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to each selling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38" w:lineRule="exact"/>
        <w:rPr>
          <w:rFonts w:ascii="Arial" w:cs="Arial" w:eastAsia="Arial" w:hAnsi="Arial"/>
          <w:sz w:val="16"/>
          <w:szCs w:val="16"/>
          <w:color w:val="auto"/>
        </w:rPr>
      </w:pPr>
    </w:p>
    <w:p>
      <w:pPr>
        <w:ind w:right="80" w:firstLine="428"/>
        <w:spacing w:after="0" w:line="255" w:lineRule="auto"/>
        <w:tabs>
          <w:tab w:leader="none" w:pos="72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deliver to each selling Holder and each underwriter, if any, without charge, as many copies of the applicable Prospectus (including each preliminary Prospectus) and any amendment or supplement thereto as such Holder or underwriter may reasonably request (it being understood that the Company consents to the use of such Prospectus or any amendment or supplement thereto by each selling Holder and the underwriters, if any, in connection with the offering and sale of the Registrable Securities covered by such Prospectus or any amendment or supplement thereto) and such other documents as such selling Holder or underwriter may reasonably request in order to facilitate the disposition of the Registrable Securities by such Holder or underwriter;</w:t>
      </w:r>
    </w:p>
    <w:p>
      <w:pPr>
        <w:spacing w:after="0" w:line="85" w:lineRule="exact"/>
        <w:rPr>
          <w:rFonts w:ascii="Arial" w:cs="Arial" w:eastAsia="Arial" w:hAnsi="Arial"/>
          <w:sz w:val="18"/>
          <w:szCs w:val="18"/>
          <w:color w:val="auto"/>
        </w:rPr>
      </w:pPr>
    </w:p>
    <w:p>
      <w:pPr>
        <w:ind w:right="20" w:firstLine="428"/>
        <w:spacing w:after="0" w:line="253" w:lineRule="auto"/>
        <w:tabs>
          <w:tab w:leader="none" w:pos="67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on or prior to the date on which the applicable Registration Statement is declared effective or becomes effective, use its reasonable best efforts to register or qualify, and cooperate with each selling Holder,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selling Holder or managing underwriter or underwriters, if any, or their respective counsel reasonably request in writing and do any and all other acts or things reasonably necessary or advisable to keep such registration or qualification in effect for so long as such Registration Statement remains in effect and so as to permit the continuance of sales and dealings in such jurisdictions of the United States for so long as may be necessary to complete the distribution of the Registrable Securities covered by the Registration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86" w:lineRule="exact"/>
        <w:rPr>
          <w:rFonts w:ascii="Arial" w:cs="Arial" w:eastAsia="Arial" w:hAnsi="Arial"/>
          <w:sz w:val="18"/>
          <w:szCs w:val="18"/>
          <w:color w:val="auto"/>
        </w:rPr>
      </w:pPr>
    </w:p>
    <w:p>
      <w:pPr>
        <w:ind w:right="80" w:firstLine="428"/>
        <w:spacing w:after="0" w:line="273" w:lineRule="auto"/>
        <w:tabs>
          <w:tab w:leader="none" w:pos="728" w:val="left"/>
        </w:tabs>
        <w:numPr>
          <w:ilvl w:val="0"/>
          <w:numId w:val="520"/>
        </w:numPr>
        <w:rPr>
          <w:rFonts w:ascii="Arial" w:cs="Arial" w:eastAsia="Arial" w:hAnsi="Arial"/>
          <w:sz w:val="17"/>
          <w:szCs w:val="17"/>
          <w:color w:val="auto"/>
        </w:rPr>
      </w:pPr>
      <w:r>
        <w:rPr>
          <w:rFonts w:ascii="Arial" w:cs="Arial" w:eastAsia="Arial" w:hAnsi="Arial"/>
          <w:sz w:val="17"/>
          <w:szCs w:val="17"/>
          <w:color w:val="auto"/>
        </w:rPr>
        <w:t xml:space="preserve">in connection with any sale of Registrable Securities that will result in such securities no longer being Registrable Securities, cooperate with each selling Holder and the managing underwriter or underwriters, if any, to facilitate the timely preparation and delivery of certificates representing Registrable Securities to be sold and not bearing any restrictive Securities Act legends; and to register such Registrable Securities in such denominations and such names as such selling Holder or the underwriter(s), if any, may request at least two Business Days prior to such sale of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satisfy its obligations hereunder without issuing physical stock certificates through the use of The Depository Trust Company’s Direct Registration System;</w:t>
      </w:r>
    </w:p>
    <w:p>
      <w:pPr>
        <w:spacing w:after="0" w:line="70" w:lineRule="exact"/>
        <w:rPr>
          <w:rFonts w:ascii="Arial" w:cs="Arial" w:eastAsia="Arial" w:hAnsi="Arial"/>
          <w:sz w:val="17"/>
          <w:szCs w:val="17"/>
          <w:color w:val="auto"/>
        </w:rPr>
      </w:pPr>
    </w:p>
    <w:p>
      <w:pPr>
        <w:ind w:right="80" w:firstLine="428"/>
        <w:spacing w:after="0" w:line="255" w:lineRule="auto"/>
        <w:tabs>
          <w:tab w:leader="none" w:pos="77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the FINRA and each securities exchange, if any, on which any of the Company’s securities are then listed or quoted and on each inter-dealer quotation system on which any of the Company’s securities are then quoted, and in the performance of any due diligence investigation by any underwriter (including any “qualified independent underwriter”) that is required to be retained in accordance with the rules and regulations of each such exchange, and 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81" w:lineRule="exact"/>
        <w:rPr>
          <w:rFonts w:ascii="Arial" w:cs="Arial" w:eastAsia="Arial" w:hAnsi="Arial"/>
          <w:sz w:val="18"/>
          <w:szCs w:val="18"/>
          <w:color w:val="auto"/>
        </w:rPr>
      </w:pPr>
    </w:p>
    <w:p>
      <w:pPr>
        <w:ind w:right="200" w:firstLine="428"/>
        <w:spacing w:after="0" w:line="259" w:lineRule="auto"/>
        <w:tabs>
          <w:tab w:leader="none" w:pos="82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satisfy its obligations hereunder without issuing physical stock certificates through the use of The Depository Trust Company’s Direct Registration System;</w:t>
      </w:r>
    </w:p>
    <w:p>
      <w:pPr>
        <w:spacing w:after="0" w:line="78" w:lineRule="exact"/>
        <w:rPr>
          <w:rFonts w:ascii="Arial" w:cs="Arial" w:eastAsia="Arial" w:hAnsi="Arial"/>
          <w:sz w:val="18"/>
          <w:szCs w:val="18"/>
          <w:color w:val="auto"/>
        </w:rPr>
      </w:pPr>
    </w:p>
    <w:p>
      <w:pPr>
        <w:jc w:val="both"/>
        <w:ind w:firstLine="428"/>
        <w:spacing w:after="0" w:line="264" w:lineRule="auto"/>
        <w:tabs>
          <w:tab w:leader="none" w:pos="81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the case of an Underwritten Offering, obtain for delivery to and addressed to the selling Holders and the underwriter or underwriters, an opinion from the Company’s outside counsel in customary form and content for the type of Underwritten Offering, dated the date of the closing under the underwriting agreement;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3" w:right="439" w:bottom="1440" w:gutter="0" w:footer="0" w:header="0"/>
        </w:sectPr>
      </w:pPr>
    </w:p>
    <w:bookmarkStart w:id="591" w:name="page592"/>
    <w:bookmarkEnd w:id="591"/>
    <w:p>
      <w:pPr>
        <w:ind w:firstLine="428"/>
        <w:spacing w:after="0" w:line="255" w:lineRule="auto"/>
        <w:tabs>
          <w:tab w:leader="none" w:pos="768" w:val="left"/>
        </w:tabs>
        <w:numPr>
          <w:ilvl w:val="1"/>
          <w:numId w:val="5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Underwritten Offering, obtain for delivery to and addressed to the underwriter or underwriters and, to the extent agreed by the Company’s independent certified public accountants, each selling Holder, a comfort letter from the Company’s independent certified public accountants (and the independent certified public accountants with respect to any acquired company financial statements) in customary form and content for the type of Underwritten Offering, including with comfort letters customarily delivered in connection with quarterly period financial statements if applicable, dated the date of execution of the underwriting agreement and brought down to the closing under the underwriting agreement;</w:t>
      </w:r>
    </w:p>
    <w:p>
      <w:pPr>
        <w:spacing w:after="0" w:line="85" w:lineRule="exact"/>
        <w:rPr>
          <w:rFonts w:ascii="Arial" w:cs="Arial" w:eastAsia="Arial" w:hAnsi="Arial"/>
          <w:sz w:val="18"/>
          <w:szCs w:val="18"/>
          <w:color w:val="auto"/>
        </w:rPr>
      </w:pPr>
    </w:p>
    <w:p>
      <w:pPr>
        <w:ind w:right="200" w:firstLine="428"/>
        <w:spacing w:after="0" w:line="297" w:lineRule="auto"/>
        <w:tabs>
          <w:tab w:leader="none" w:pos="818" w:val="left"/>
        </w:tabs>
        <w:numPr>
          <w:ilvl w:val="1"/>
          <w:numId w:val="521"/>
        </w:numPr>
        <w:rPr>
          <w:rFonts w:ascii="Arial" w:cs="Arial" w:eastAsia="Arial" w:hAnsi="Arial"/>
          <w:sz w:val="16"/>
          <w:szCs w:val="16"/>
          <w:color w:val="auto"/>
        </w:rPr>
      </w:pPr>
      <w:r>
        <w:rPr>
          <w:rFonts w:ascii="Arial" w:cs="Arial" w:eastAsia="Arial" w:hAnsi="Arial"/>
          <w:sz w:val="16"/>
          <w:szCs w:val="16"/>
          <w:color w:val="auto"/>
        </w:rPr>
        <w:t>use its reasonable best efforts to comply with all applicable rules and regulations of the SEC and make generally available to its security holders, as soon as reasonably practicable, but no later than 90 days after the end of the 12-month period beginning with the first day of the Company’s first quarter commencing after the effective date of the applicable Registration Statement, an earnings statement satisfying the provisions of Section 11(a) of the Securities Act and the rules and regulations promulgated thereunder and covering the period of at least 12 months, but not more than 18 months, beginning with the first month after the effective date of the Registration Statement;</w:t>
      </w:r>
    </w:p>
    <w:p>
      <w:pPr>
        <w:spacing w:after="0" w:line="50" w:lineRule="exact"/>
        <w:rPr>
          <w:rFonts w:ascii="Arial" w:cs="Arial" w:eastAsia="Arial" w:hAnsi="Arial"/>
          <w:sz w:val="16"/>
          <w:szCs w:val="16"/>
          <w:color w:val="auto"/>
        </w:rPr>
      </w:pPr>
    </w:p>
    <w:p>
      <w:pPr>
        <w:ind w:right="140" w:firstLine="428"/>
        <w:spacing w:after="0" w:line="277" w:lineRule="auto"/>
        <w:tabs>
          <w:tab w:leader="none" w:pos="868" w:val="left"/>
        </w:tabs>
        <w:numPr>
          <w:ilvl w:val="1"/>
          <w:numId w:val="521"/>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62" w:lineRule="exact"/>
        <w:rPr>
          <w:rFonts w:ascii="Arial" w:cs="Arial" w:eastAsia="Arial" w:hAnsi="Arial"/>
          <w:sz w:val="18"/>
          <w:szCs w:val="18"/>
          <w:color w:val="auto"/>
        </w:rPr>
      </w:pPr>
    </w:p>
    <w:p>
      <w:pPr>
        <w:ind w:right="240" w:firstLine="428"/>
        <w:spacing w:after="0" w:line="264" w:lineRule="auto"/>
        <w:tabs>
          <w:tab w:leader="none" w:pos="918" w:val="left"/>
        </w:tabs>
        <w:numPr>
          <w:ilvl w:val="1"/>
          <w:numId w:val="521"/>
        </w:numPr>
        <w:rPr>
          <w:rFonts w:ascii="Arial" w:cs="Arial" w:eastAsia="Arial" w:hAnsi="Arial"/>
          <w:sz w:val="18"/>
          <w:szCs w:val="18"/>
          <w:color w:val="auto"/>
        </w:rPr>
      </w:pPr>
      <w:r>
        <w:rPr>
          <w:rFonts w:ascii="Arial" w:cs="Arial" w:eastAsia="Arial" w:hAnsi="Arial"/>
          <w:sz w:val="18"/>
          <w:szCs w:val="18"/>
          <w:color w:val="auto"/>
        </w:rPr>
        <w:t>cause all Registrable Securities covered by the applicable Registration Statement to be listed on each securities exchange on which any of the Company’s Common Stock are then listed or quoted and on each inter-dealer quotation system on which any of the Company’s Common Stock are then quoted, including the filing of any required supplemental listing application;</w:t>
      </w:r>
    </w:p>
    <w:p>
      <w:pPr>
        <w:spacing w:after="0" w:line="73" w:lineRule="exact"/>
        <w:rPr>
          <w:rFonts w:ascii="Arial" w:cs="Arial" w:eastAsia="Arial" w:hAnsi="Arial"/>
          <w:sz w:val="18"/>
          <w:szCs w:val="18"/>
          <w:color w:val="auto"/>
        </w:rPr>
      </w:pPr>
    </w:p>
    <w:p>
      <w:pPr>
        <w:ind w:right="40" w:firstLine="428"/>
        <w:spacing w:after="0" w:line="283" w:lineRule="auto"/>
        <w:tabs>
          <w:tab w:leader="none" w:pos="818" w:val="left"/>
        </w:tabs>
        <w:numPr>
          <w:ilvl w:val="1"/>
          <w:numId w:val="521"/>
        </w:numPr>
        <w:rPr>
          <w:rFonts w:ascii="Arial" w:cs="Arial" w:eastAsia="Arial" w:hAnsi="Arial"/>
          <w:sz w:val="16"/>
          <w:szCs w:val="16"/>
          <w:color w:val="auto"/>
        </w:rPr>
      </w:pPr>
      <w:r>
        <w:rPr>
          <w:rFonts w:ascii="Arial" w:cs="Arial" w:eastAsia="Arial" w:hAnsi="Arial"/>
          <w:sz w:val="16"/>
          <w:szCs w:val="16"/>
          <w:color w:val="auto"/>
        </w:rPr>
        <w:t xml:space="preserve">provide (A) each Holder participating in the Registration, (B) the underwriters (which term, for purposes of this Agreement, shall include a Person deemed to be an underwriter within the meaning of Section 2(11) of the Securities Act), if any, of the Registrable Securities to be Registered, (C) the sale or placement agent therefor, if any, (D) counsel for such underwriters or agent, and (E) any attorney, accountant or other agent or representative retained by such Holder or any such underwriter, as selected by such Holder, the opportunity to participate in the preparation of such Registration Statement, each Prospectus included therein or filed with the SEC, and each amendment or supplement thereto, and to require the insertion therein of material, furnished to the Company in writing, which in the reasonable judgment of such Holder(s) and their counsel should be included; and for a reasonable period prior to the filing of such Registration Statement, make available upon reasonable notice at reasonable times and for reasonable periods for inspection by the parties referred to in (A) through (E) above, all pertinent financial and other records, pertinent corporate documents and properties of the Company that are available to the Company, and cause the Company’s officers, employees and the independent public accountants who have certified its financial statements to make themselves available at reasonable times and for reasonable periods, to discuss the business of the Company and to supply all information available to the Company reasonably requested by any such Person in connection with such Registration Statement as shall be necessary to enable them to exercise their due diligence responsibility, subject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Person gaining access to information or personnel pursuant to this Section 2.04(a)</w:t>
      </w:r>
    </w:p>
    <w:p>
      <w:pPr>
        <w:spacing w:after="0" w:line="3" w:lineRule="exact"/>
        <w:rPr>
          <w:rFonts w:ascii="Arial" w:cs="Arial" w:eastAsia="Arial" w:hAnsi="Arial"/>
          <w:sz w:val="16"/>
          <w:szCs w:val="16"/>
          <w:color w:val="auto"/>
        </w:rPr>
      </w:pPr>
    </w:p>
    <w:p>
      <w:pPr>
        <w:ind w:right="40" w:firstLine="4"/>
        <w:spacing w:after="0" w:line="252" w:lineRule="auto"/>
        <w:tabs>
          <w:tab w:leader="none" w:pos="39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shall agree to use reasonable efforts to protect the confidentiality of any information regarding the Company which the Company determines in good faith to be confidential, and of which determination such Person is notified, unless (x) the release of such information is required by law or regulation or is requested or required by deposition, interrogatory, requests for information or documents by a governmental entity, subpoena or similar process, (y) such information is or becomes publicly known without a breach of this Agreement, (F) such information is or becomes available to such Person on a non-confidential basis from a source other than the Company or (z) such information is independently developed by such Person;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3" w:right="439" w:bottom="1440" w:gutter="0" w:footer="0" w:header="0"/>
        </w:sectPr>
      </w:pPr>
    </w:p>
    <w:bookmarkStart w:id="592" w:name="page593"/>
    <w:bookmarkEnd w:id="592"/>
    <w:p>
      <w:pPr>
        <w:ind w:left="440" w:right="20" w:firstLine="428"/>
        <w:spacing w:after="0" w:line="264" w:lineRule="auto"/>
        <w:tabs>
          <w:tab w:leader="none" w:pos="1208" w:val="left"/>
        </w:tabs>
        <w:numPr>
          <w:ilvl w:val="1"/>
          <w:numId w:val="5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cause the executive officers of the Company to participate in the customary “road show” presentations that may be reasonably requested by the managing underwriter or underwriters in any Underwritten Offering and otherwise to facilitate, cooperate with, and participate in each proposed offering contemplated herein and customary selling efforts related thereto; and</w:t>
      </w:r>
    </w:p>
    <w:p>
      <w:pPr>
        <w:spacing w:after="0" w:line="73" w:lineRule="exact"/>
        <w:rPr>
          <w:rFonts w:ascii="Arial" w:cs="Arial" w:eastAsia="Arial" w:hAnsi="Arial"/>
          <w:sz w:val="18"/>
          <w:szCs w:val="18"/>
          <w:color w:val="auto"/>
        </w:rPr>
      </w:pPr>
    </w:p>
    <w:p>
      <w:pPr>
        <w:ind w:left="1260" w:hanging="392"/>
        <w:spacing w:after="0"/>
        <w:tabs>
          <w:tab w:leader="none" w:pos="126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take all other customary steps reasonably necessary to effect the Registration, offering and sale of the Registrable Securities.</w:t>
      </w:r>
    </w:p>
    <w:p>
      <w:pPr>
        <w:spacing w:after="0" w:line="128" w:lineRule="exact"/>
        <w:rPr>
          <w:rFonts w:ascii="Arial" w:cs="Arial" w:eastAsia="Arial" w:hAnsi="Arial"/>
          <w:sz w:val="17"/>
          <w:szCs w:val="17"/>
          <w:color w:val="auto"/>
        </w:rPr>
      </w:pPr>
    </w:p>
    <w:p>
      <w:pPr>
        <w:ind w:right="60" w:firstLine="444"/>
        <w:spacing w:after="0" w:line="257" w:lineRule="auto"/>
        <w:tabs>
          <w:tab w:leader="none" w:pos="69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As a condition precedent to any Registration hereunder, the Company may require each Holder as to which any Registration is being effected to furnish to the Company such information regarding the distribution of such securities and such other information relating to such Holder, its ownership of Registrable Securities and other matters as the Company may from time to time reasonably request in writing. Each such Holder agrees to furnish such information to the Company and to cooperate with the Company as reasonably necessary to enable the Company to comply with the provisions of this Agreement.</w:t>
      </w:r>
    </w:p>
    <w:p>
      <w:pPr>
        <w:spacing w:after="0" w:line="80" w:lineRule="exact"/>
        <w:rPr>
          <w:rFonts w:ascii="Arial" w:cs="Arial" w:eastAsia="Arial" w:hAnsi="Arial"/>
          <w:sz w:val="18"/>
          <w:szCs w:val="18"/>
          <w:color w:val="auto"/>
        </w:rPr>
      </w:pPr>
    </w:p>
    <w:p>
      <w:pPr>
        <w:ind w:right="20" w:firstLine="444"/>
        <w:spacing w:after="0" w:line="270" w:lineRule="auto"/>
        <w:tabs>
          <w:tab w:leader="none" w:pos="685" w:val="left"/>
        </w:tabs>
        <w:numPr>
          <w:ilvl w:val="0"/>
          <w:numId w:val="524"/>
        </w:numPr>
        <w:rPr>
          <w:rFonts w:ascii="Arial" w:cs="Arial" w:eastAsia="Arial" w:hAnsi="Arial"/>
          <w:sz w:val="17"/>
          <w:szCs w:val="17"/>
          <w:color w:val="auto"/>
        </w:rPr>
      </w:pPr>
      <w:r>
        <w:rPr>
          <w:rFonts w:ascii="Arial" w:cs="Arial" w:eastAsia="Arial" w:hAnsi="Arial"/>
          <w:sz w:val="17"/>
          <w:szCs w:val="17"/>
          <w:color w:val="auto"/>
        </w:rPr>
        <w:t>Each Holder agrees, that, upon receipt of any written notice from the Company of the occurrence of any event of the kind described in Section 2.04(a)(v), such Holder will forthwith discontinue disposition of Registrable Securities pursuant to such Registration Statement until such Holder’s receipt of the copies of the supplemented or amended Prospectus contemplated by Section 2.04(a)(v), or until such Holder is advised in writing by the Company that the use of the Prospectus may be resumed,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period during which the applicable Registration Statement for a Demand Registration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2.04(a)(v) or is advised in writing by the Company that the use of the Prospectus may be resumed.</w:t>
      </w:r>
    </w:p>
    <w:p>
      <w:pPr>
        <w:spacing w:after="0" w:line="17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Holdback Agreements</w:t>
      </w:r>
      <w:r>
        <w:rPr>
          <w:rFonts w:ascii="Arial" w:cs="Arial" w:eastAsia="Arial" w:hAnsi="Arial"/>
          <w:sz w:val="16"/>
          <w:szCs w:val="16"/>
          <w:color w:val="auto"/>
        </w:rPr>
        <w:t>. Each of the Company and the Holders agrees, upon notice from the managing underwriter or underwriters in connection with any Registration for an Underwritten Offering of the Company’s securities (other than pursuant to a registration statement on Form S-4 or any similar or successor form or pursuant to a registration solely relating to an offering and sale to employees or directors of the Company pursuant to any employee stock plan or other employee benefit plan arrangement), not to effect (other than pursuant to such Registration) any public sale or distribution of Registrable Securities, including, but not limited to, any sale pursuant to Rule 144, or make any short sale of, loan, grant any option for the purchase of, or otherwise dispose of, any Registrable Securities, any other equity securities of the Company or any securities convertible into or exchangeable or exercisable for any equity securities of the Company without the prior written consent of the managing underwriters during such period as reasonably requested by the managing underwriters (but in no event longer than the seven days before and the 180 days after the pricing of such Underwritten Offering); and subject to reasonable and customary exceptions to be agreed with such managing underwriter or underwriters. Notwithstanding the foregoing, no holdback agreements of the type contemplated by this Section 2.05 shall be required of Holders unless each of the Company’s directors and executive officers agrees to be bound by a substantially identical holdback agreement for at least the same period of time.</w:t>
      </w:r>
    </w:p>
    <w:p>
      <w:pPr>
        <w:spacing w:after="0" w:line="173"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Underwriting Agreement in Underwritten Offerings</w:t>
      </w:r>
      <w:r>
        <w:rPr>
          <w:rFonts w:ascii="Arial" w:cs="Arial" w:eastAsia="Arial" w:hAnsi="Arial"/>
          <w:sz w:val="16"/>
          <w:szCs w:val="16"/>
          <w:color w:val="auto"/>
        </w:rPr>
        <w:t xml:space="preserve">. If requested by the managing underwriters for any Underwritten Offering, the Company and the participating Holders shall enter into an underwriting agreement in customary form with such underwriters for such offering;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Holder shall be required to make any representations or warranties to the Company or the underwriters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regarding (i) such Holder’s ownership of Registrable Securities to be transferred free and clear of all liens, claims and encumbrances created by such Holder, (ii) such Holder’s power and authority to effect such transfer, (iii) such matters pertaining to such Holder’s compliance with securities laws as reasonably may be requested and (iv) such Holder’s intended method of distribution) or to undertake any indemnification obligations to the Company with respect thereto, except as otherwise provided in Section 2.08 hereof.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93" w:name="page594"/>
    <w:bookmarkEnd w:id="593"/>
    <w:p>
      <w:pPr>
        <w:ind w:right="2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7"/>
          <w:szCs w:val="17"/>
          <w:i w:val="1"/>
          <w:iCs w:val="1"/>
          <w:color w:val="auto"/>
        </w:rPr>
        <w:t>Registration Expenses Paid By Company</w:t>
      </w:r>
      <w:r>
        <w:rPr>
          <w:rFonts w:ascii="Arial" w:cs="Arial" w:eastAsia="Arial" w:hAnsi="Arial"/>
          <w:sz w:val="17"/>
          <w:szCs w:val="17"/>
          <w:color w:val="auto"/>
        </w:rPr>
        <w:t>. In the case of any Registration of Registrable Securities required pursuant to this Agreement (including any Registration that is delayed or withdrawn) or proposed Underwritten Offering pursuant to this Agreement, the Company shall pay all Registration Expenses regardless of whether the Registration Statement becomes effective or the Underwritten Offering is completed. The Company shall have no obligation to pay any Selling Expenses for Registrable Securities offered by any 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2.08. Indemnification.</w:t>
      </w:r>
    </w:p>
    <w:p>
      <w:pPr>
        <w:spacing w:after="0" w:line="117" w:lineRule="exact"/>
        <w:rPr>
          <w:sz w:val="20"/>
          <w:szCs w:val="20"/>
          <w:color w:val="auto"/>
        </w:rPr>
      </w:pPr>
    </w:p>
    <w:p>
      <w:pPr>
        <w:ind w:firstLine="444"/>
        <w:spacing w:after="0" w:line="268" w:lineRule="auto"/>
        <w:tabs>
          <w:tab w:leader="none" w:pos="685" w:val="left"/>
        </w:tabs>
        <w:numPr>
          <w:ilvl w:val="0"/>
          <w:numId w:val="525"/>
        </w:numPr>
        <w:rPr>
          <w:rFonts w:ascii="Arial" w:cs="Arial" w:eastAsia="Arial" w:hAnsi="Arial"/>
          <w:sz w:val="17"/>
          <w:szCs w:val="17"/>
          <w:color w:val="auto"/>
        </w:rPr>
      </w:pPr>
      <w:r>
        <w:rPr>
          <w:rFonts w:ascii="Arial" w:cs="Arial" w:eastAsia="Arial" w:hAnsi="Arial"/>
          <w:sz w:val="17"/>
          <w:szCs w:val="17"/>
          <w:i w:val="1"/>
          <w:iCs w:val="1"/>
          <w:color w:val="auto"/>
        </w:rPr>
        <w:t>Indemnification by the Company</w:t>
      </w:r>
      <w:r>
        <w:rPr>
          <w:rFonts w:ascii="Arial" w:cs="Arial" w:eastAsia="Arial" w:hAnsi="Arial"/>
          <w:sz w:val="17"/>
          <w:szCs w:val="17"/>
          <w:color w:val="auto"/>
        </w:rPr>
        <w:t>. The Company agrees to indemnify and hold harmless, to the fullest extent permitted by law, each Holder and</w:t>
      </w:r>
      <w:r>
        <w:rPr>
          <w:rFonts w:ascii="Arial" w:cs="Arial" w:eastAsia="Arial" w:hAnsi="Arial"/>
          <w:sz w:val="17"/>
          <w:szCs w:val="17"/>
          <w:i w:val="1"/>
          <w:iCs w:val="1"/>
          <w:color w:val="auto"/>
        </w:rPr>
        <w:t xml:space="preserve"> </w:t>
      </w:r>
      <w:r>
        <w:rPr>
          <w:rFonts w:ascii="Arial" w:cs="Arial" w:eastAsia="Arial" w:hAnsi="Arial"/>
          <w:sz w:val="17"/>
          <w:szCs w:val="17"/>
          <w:color w:val="auto"/>
        </w:rPr>
        <w:t>such Holder’s officers, directors, employees, advisors, Affiliates and agents and each Person who controls (within the meaning of the Securities Act or the Exchange Act) such Holder from and against any and all losses, claims, damages, liabilities (or actions in respect thereof, whether or not such indemnified party is a party thereto) and expenses, joint or several (including reasonable costs of investigation and legal expenses) (each, a “</w:t>
      </w:r>
      <w:r>
        <w:rPr>
          <w:rFonts w:ascii="Arial" w:cs="Arial" w:eastAsia="Arial" w:hAnsi="Arial"/>
          <w:sz w:val="17"/>
          <w:szCs w:val="17"/>
          <w:b w:val="1"/>
          <w:bCs w:val="1"/>
          <w:color w:val="auto"/>
        </w:rPr>
        <w:t>Loss</w:t>
      </w:r>
      <w:r>
        <w:rPr>
          <w:rFonts w:ascii="Arial" w:cs="Arial" w:eastAsia="Arial" w:hAnsi="Arial"/>
          <w:sz w:val="17"/>
          <w:szCs w:val="17"/>
          <w:color w:val="auto"/>
        </w:rPr>
        <w:t>” and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arising out of or based upon (i) any untrue or alleged untrue statement of a material fact contained in any Registration Statement under which the sale of such Registrable Securities was Registered under the Securities Act (including any final or preliminary Prospectus contained therein or any amendment thereof or supplement thereto or any documents incorporated by reference therein), or any such statement made in any free writing prospectus (as defined in Rule 405 under the Securities Act) that the Company has filed or is required to file pursuant to Rule 433(d) of the Securities Act, or (ii) any omission or alleged omission to state therein a material fact required to be stated therein or necessary to make the statements therein (in the case of a Prospectus, preliminary Prospectus or free writing prospectus,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to any particular indemnified party in any such case to the extent that any such Loss arises out of or is based upon an untrue statement or alleged untrue statement or omission or alleged omission made in any such Registration Statement in reliance upon and in conformity with written information furnished to the Company by such indemnified party expressly for use in the preparation thereof.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w:t>
      </w:r>
    </w:p>
    <w:p>
      <w:pPr>
        <w:spacing w:after="0" w:line="72" w:lineRule="exact"/>
        <w:rPr>
          <w:rFonts w:ascii="Arial" w:cs="Arial" w:eastAsia="Arial" w:hAnsi="Arial"/>
          <w:sz w:val="17"/>
          <w:szCs w:val="17"/>
          <w:color w:val="auto"/>
        </w:rPr>
      </w:pPr>
    </w:p>
    <w:p>
      <w:pPr>
        <w:ind w:firstLine="444"/>
        <w:spacing w:after="0" w:line="268" w:lineRule="auto"/>
        <w:tabs>
          <w:tab w:leader="none" w:pos="695" w:val="left"/>
        </w:tabs>
        <w:numPr>
          <w:ilvl w:val="0"/>
          <w:numId w:val="525"/>
        </w:numPr>
        <w:rPr>
          <w:rFonts w:ascii="Arial" w:cs="Arial" w:eastAsia="Arial" w:hAnsi="Arial"/>
          <w:sz w:val="17"/>
          <w:szCs w:val="17"/>
          <w:color w:val="auto"/>
        </w:rPr>
      </w:pPr>
      <w:r>
        <w:rPr>
          <w:rFonts w:ascii="Arial" w:cs="Arial" w:eastAsia="Arial" w:hAnsi="Arial"/>
          <w:sz w:val="17"/>
          <w:szCs w:val="17"/>
          <w:i w:val="1"/>
          <w:iCs w:val="1"/>
          <w:color w:val="auto"/>
        </w:rPr>
        <w:t>Indemnification by the Selling Holder</w:t>
      </w:r>
      <w:r>
        <w:rPr>
          <w:rFonts w:ascii="Arial" w:cs="Arial" w:eastAsia="Arial" w:hAnsi="Arial"/>
          <w:sz w:val="17"/>
          <w:szCs w:val="17"/>
          <w:color w:val="auto"/>
        </w:rPr>
        <w:t>. Each selling Holder agrees (severally and not jointly) to indemnify and hold harmless, to the full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law, the Company and the Company’s directors, officers, employees, advisors, Affiliates and agents and each Person who controls the Company (within the meaning of the Securities Act and the Exchange Act) from and against any Losses arising out of or based upon (i) any untrue or alleged untrue statement of a material fact contained in any Registration Statement under which the sale of such Registrable Securities was Registered under the Securities Act (including any final or preliminary Prospectus contained therein or any amendment thereof or supplement thereto or any documents incorporated by reference therein), or any such statement made in any free writing prospectus that the Company has filed or is required to file pursuant to Rule 433(d) of the Securities Act, or (ii) any omission or alleged omission to state therein a material fact required to be stated therein or necessary to make the statements therein (in the case of a Prospectus, preliminary Prospectus or free writing prospectus, in light of the circumstances under which they were made) not misleading but only to the extent, in each of cases (i) or (ii), that such untrue statement or omission is contained in any information furnished in writing by such selling Holder to the Company expressly for inclusion in such Registration Statement, Prospectus, preliminary Prospectus or free writing prospectus. In no event shall the liability of any selling Holder hereunder be greater in amount than the dollar amount of the net proceeds received by such Holder under the sale of the Registrable Securities giving rise to such indemnification obligation. This indemnity shall be in addition to any liability the selling Holder may otherwise have. Such indemnity shall remain in full force and effect regardless of any investigation made by or on behalf of the Company or any indemnified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594" w:name="page595"/>
    <w:bookmarkEnd w:id="594"/>
    <w:p>
      <w:pPr>
        <w:ind w:right="280" w:firstLine="444"/>
        <w:spacing w:after="0" w:line="288" w:lineRule="auto"/>
        <w:tabs>
          <w:tab w:leader="none" w:pos="685" w:val="left"/>
        </w:tabs>
        <w:numPr>
          <w:ilvl w:val="1"/>
          <w:numId w:val="52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Conduct of Indemnification Proceedings</w:t>
      </w:r>
      <w:r>
        <w:rPr>
          <w:rFonts w:ascii="Arial" w:cs="Arial" w:eastAsia="Arial" w:hAnsi="Arial"/>
          <w:sz w:val="16"/>
          <w:szCs w:val="16"/>
          <w:color w:val="auto"/>
        </w:rPr>
        <w:t>. Any Person entitled to indemnification hereunder will (i) give prompt written notice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indemnifying party of any claim with respect to which it seeks indemnification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delay or failure to so notify the indemnifying party shall relieve the indemnifying party of its obligations hereunder to the extent that it is materially prejudiced by reason of such delay or failure) and</w:t>
      </w:r>
    </w:p>
    <w:p>
      <w:pPr>
        <w:ind w:firstLine="4"/>
        <w:spacing w:after="0" w:line="283" w:lineRule="auto"/>
        <w:tabs>
          <w:tab w:leader="none" w:pos="265"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permit such indemnifying party to assume the defense of such claim with counsel reasonably satisfactory to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Person entitled to indemnification hereunder shall have the right to select and employ separate counsel and to participate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receipt of notice of such claim from the Person entitled to indemnification hereunder, (c) the named parties to any proceeding include both such indemnified and the indemnifying party and the indemnified party has reasonably concluded (based on written advice of counsel) that there may be legal defenses available to it or other indemnified parties that are different from or in addition to those available to the indemnifying party, or (d) in the reasonable judgment of any such Person, based upon written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 be subject to any liability for any settlement made without its consent, but such consent may not be unreasonably withheld, conditioned or delayed. If the indemnifying party assumes the defense, the indemnifying party shall not have the right to settle such action without the consent of the indemnified party, which consent may not be unreasonably withheld, conditioned or delayed. No indemnifying party shall consent to entry of any judgment or enter into any settlement without the consent of the indemnified party which does not include as an unconditional term thereof the giving by the claimant or plaintiff to such indemnified party of an unconditional release from all liability in respect to such claim or litigation. It is understood that the indemnifying party or parties shall not, in connection with any proceeding or related proceedings in the same jurisdiction, arising out of the same general allegations or circumstances, be liable for the fees and expenses of more than one separate firm (in addition to any appropriate local counsel) at any one time from all such indemnified party or parties unless (x) the employment of more than one counsel has been authorized in writing by the indemnifying party or parties, (y) an indemnified party has reasonably concluded (based on written advice of counsel) that there may be legal defenses available to it that are different from or in addition to those available to the other indemnified parties or (z) a conflict or potential conflict exists or in the reasonable judgment of such indemnified party may exist (based on advice of counsel to an indemnified party) between such indemnified party or parties and the other indemnified parties, in each of which cases the indemnifying party shall be obligated to pay the reasonable fees and expenses of such additional counsel.</w:t>
      </w:r>
    </w:p>
    <w:p>
      <w:pPr>
        <w:spacing w:after="0" w:line="73" w:lineRule="exact"/>
        <w:rPr>
          <w:rFonts w:ascii="Arial" w:cs="Arial" w:eastAsia="Arial" w:hAnsi="Arial"/>
          <w:sz w:val="16"/>
          <w:szCs w:val="16"/>
          <w:color w:val="auto"/>
        </w:rPr>
      </w:pPr>
    </w:p>
    <w:p>
      <w:pPr>
        <w:ind w:firstLine="444"/>
        <w:spacing w:after="0" w:line="284" w:lineRule="auto"/>
        <w:tabs>
          <w:tab w:leader="none" w:pos="695" w:val="left"/>
        </w:tabs>
        <w:numPr>
          <w:ilvl w:val="1"/>
          <w:numId w:val="527"/>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for any reason the indemnification provided for in Section 2.08(a) or Section 2.08(b) is unavailable to an indemnified party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it harmless as contemplated by Section 2.08(a) or Section 2.08(b), then the indemnifying party shall, to the fullest extent permitted by law, in lieu of indemnifying such indemnified party thereunder, contribute to the amount paid or payable by the indemnified party as a result of such Loss in such proportion as is appropriate to reflect the relative fault of the indemnifying party on the one hand and the indemnified party on the other hand in connection with the statements or omissions which resulted in such Loss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Notwithstanding anything in this</w:t>
      </w:r>
    </w:p>
    <w:p>
      <w:pPr>
        <w:spacing w:after="0" w:line="1"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Section 2.08(d) to the contrary, no indemnifying party (other than the Company) shall be required pursuant to this Section 2.08(d) to contribute any amount in excess of the amount by which the net proceeds received by such indemnifying party from the sale of Registrable Securities in the offering to which the Losses of the indemnified parties relate (before deducting expenses, if any) exceeds the amount of any damages which such indemnifying party has otherwise been required to pay by reason of such untrue statement or omission. The parties hereto agree that it would not be just and equitable if contribution pursuant to this Section 2.08(d)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595" w:name="page596"/>
    <w:bookmarkEnd w:id="595"/>
    <w:p>
      <w:pPr>
        <w:ind w:right="2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method of allocation that does not take account of the equitable considerations referred to in this Section 2.08(d). No person guilty of fraudulent misrepresentation (within the meaning of Section 11(f) of the Securities Act) shall be entitled to contribution from any Person who was not guilty of such fraudulent misrepresentation. The amount paid or payable by an indemnified party hereunder shall be deemed to include, for purposes of this Section 2.08(d),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If indemnification is available under this Section 2.08, the indemnifying parties shall indemnify each indemnified party to the full extent provided in Section 2.08(a) and Section 2.08(b) hereof without regard to the relative fault of said indemnifying parties or indemnified party.</w:t>
      </w:r>
    </w:p>
    <w:p>
      <w:pPr>
        <w:spacing w:after="0" w:line="17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Reporting Requirements; Rule 144</w:t>
      </w:r>
      <w:r>
        <w:rPr>
          <w:rFonts w:ascii="Arial" w:cs="Arial" w:eastAsia="Arial" w:hAnsi="Arial"/>
          <w:sz w:val="16"/>
          <w:szCs w:val="16"/>
          <w:color w:val="auto"/>
        </w:rPr>
        <w:t>. Following the IPO, the Company shall use its reasonable best efforts to be and remain in compliance with the periodic filing requirements imposed under the SEC’s rules and regulations, including the Exchange Act, and thereafter shall timely file such information, documents and reports as the SEC may require or prescribe under Section 13 or 15(d) (whichever is applicable) of the Exchange Act. If the Company is not required to file such reports during such period, it will, upon the request of any Holder, make publicly available such necessary information for so long as necessary to permit sales pursuant to Rule 144 or Regulation S under the Securities Act, and it will take such further action as any Holder may reasonably request, all to the extent required from time to time to enable such Holder to sell Registrable Securities without Registration under the Securities Act within the limitation of the exemptions provided by (a) Rule 144 or Regulation S under the Securities Act, as such Rules may be amended from time to time, or (b) any rule or regulation hereafter adopted by the SEC. From and after the date hereof through the date upon which no Holder owns any Registrable Securities, the Company shall forthwith upon request furnish any Holder (i) a written statement by the Company as to whether it has complied with such requirements and, if not, the specifics thereof, (ii) a copy of the most recent annual or quarterly report of the Company, and (iii) such other reports and documents filed by the Company with the SEC as such Holder may reasonably request in availing itself of an exemption for the sale of Registrable Securities without registration under the Securities Act.</w:t>
      </w:r>
    </w:p>
    <w:p>
      <w:pPr>
        <w:spacing w:after="0" w:line="169"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Limitations on Subsequent Registration Rights</w:t>
      </w:r>
      <w:r>
        <w:rPr>
          <w:rFonts w:ascii="Arial" w:cs="Arial" w:eastAsia="Arial" w:hAnsi="Arial"/>
          <w:sz w:val="18"/>
          <w:szCs w:val="18"/>
          <w:color w:val="auto"/>
        </w:rPr>
        <w:t>. The Company agrees that it shall not enter into any agreement with any holder or prospective holder of any securities of the Company (i) that would allow such holder or prospective holder to include such securities in any Demand Registration or Piggyback Registration unless, under the terms of such agreement, such holder or prospective holder may include such securities in any such registration only to the extent that their inclusion would not reduce the amount of the Registrable Securities of the Holders included therein or (ii) on terms otherwise more favorable than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Term</w:t>
      </w:r>
      <w:r>
        <w:rPr>
          <w:rFonts w:ascii="Arial" w:cs="Arial" w:eastAsia="Arial" w:hAnsi="Arial"/>
          <w:sz w:val="18"/>
          <w:szCs w:val="18"/>
          <w:color w:val="auto"/>
        </w:rPr>
        <w:t>. This Agreement shall terminate at such time as there are no Registrable Securities, except for the provisions of Section 2.07 and Section 2.08 and all of this Article 3, which shall survive any such termination.</w:t>
      </w:r>
    </w:p>
    <w:p>
      <w:pPr>
        <w:spacing w:after="0" w:line="170"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Notices</w:t>
      </w:r>
      <w:r>
        <w:rPr>
          <w:rFonts w:ascii="Arial" w:cs="Arial" w:eastAsia="Arial" w:hAnsi="Arial"/>
          <w:sz w:val="17"/>
          <w:szCs w:val="17"/>
          <w:color w:val="auto"/>
        </w:rPr>
        <w:t>. All notices or other communications under this Agreement shall be in writing and shall be deemed to be duly given when (a) delivered in person or (b) deposited in the United States mail or private express mail, postage prepaid, addressed as follows: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PFL, to its address as set forth below:</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 Rank Group Limited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Floor 9, 148 Quay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Auckland, 1010 New Zealand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Helen Golding, Group Legal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Helen.Golding@rankgroup.co.nz</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596" w:name="page597"/>
    <w:bookmarkEnd w:id="5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Illinois 60045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David Watson,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David.Watson@ReynoldsBrands.com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Byron B. Rooney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(212) 701-5800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Byron.Rooney@davispolk.com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by notice to the other party, change the address to which such notices are to be given.</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Successors, Assigns and Transferees</w:t>
      </w:r>
      <w:r>
        <w:rPr>
          <w:rFonts w:ascii="Arial" w:cs="Arial" w:eastAsia="Arial" w:hAnsi="Arial"/>
          <w:sz w:val="16"/>
          <w:szCs w:val="16"/>
          <w:color w:val="auto"/>
        </w:rPr>
        <w:t xml:space="preserve">. This Agreement and all provisions hereof shall be binding upon and inure to the benefit of the parties hereto and their respective successors and permitted assigns. The Company may assign this Agreement at any time in connection with a sale or acquisition of the Company, whether by merger, consolidation, sale of all or substantially all of the Company’s assets, or similar transaction, without the consent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successor or acquiring Person agrees in writing to assume all of the Company’s rights and obligations under this Agreement. PFL may assign its rights and obligations under this Agreement to any transferee that (i) is an Affiliate; (ii) acquires from PFL in a private placement a number of shares of Common Stock equal to at least 5% of the aggregate number of outstanding shares of Common Stock (“</w:t>
      </w:r>
      <w:r>
        <w:rPr>
          <w:rFonts w:ascii="Arial" w:cs="Arial" w:eastAsia="Arial" w:hAnsi="Arial"/>
          <w:sz w:val="16"/>
          <w:szCs w:val="16"/>
          <w:b w:val="1"/>
          <w:bCs w:val="1"/>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Party Holders</w:t>
      </w:r>
      <w:r>
        <w:rPr>
          <w:rFonts w:ascii="Arial" w:cs="Arial" w:eastAsia="Arial" w:hAnsi="Arial"/>
          <w:sz w:val="16"/>
          <w:szCs w:val="16"/>
          <w:color w:val="auto"/>
        </w:rPr>
        <w:t>”); (iii) any entity that is beneficially owned by Mr. Graeme Richard Hart (or his estate, heirs, executor, administrator or other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 or any of his immediate family members or any trust, fund or other entity which is controlled by his estate, heirs or any of his immediate family members) and (iv) any Affiliate of Mr. Graeme Richard Hart or any entity that is beneficially owned by Mr. Graeme Richard Hart (or his estate, heirs, executor, administrator or other personal representative, or any of his immediate family members or any trust, fund or other entity which is controlled by his estate, heirs or any of his immediate family members), and executes an agreement to be bound hereby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 executed counterpart of which shall be furnished to the Company. Notwithstanding the foregoing, in each case, if such transfer is subject to covenants, agreements or other undertakings restricting transferability thereof, the Registration Rights shall not be transferred in connection with such transfer unless such transferee complies with all such covenants, agreements and other undertakings. Except as set forth in this Section 3.03, the Holders may not assign their rights and obligations hereunder.</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GOVERNING LAW; NO JURY TRIAL</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3" w:lineRule="auto"/>
        <w:tabs>
          <w:tab w:leader="none" w:pos="68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laws of the State of New York, without regard to the conflict of laws principles thereof that would result in the application of any law other than the laws of the State of New York. EACH OF THE PARTIES HEREBY WAIVES TO THE FULLEST EXTENT PERMITTED BY APPLICABLE LAW ANY RIGHT IT MAY HAVE TO A TRIAL BY JURY WITH RESPECT TO ANY COURT PROCEEDING DIRECTLY OR INDIRECTLY ARISING OUT OF AND PERMITTED UNDER OR IN CONNECTION WITH THIS AGREEMENT OR THE TRANSACTIONS CONTEMPLATED BY THIS AGREEMENT. EACH OF THE PARTIES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97" w:name="page598"/>
    <w:bookmarkEnd w:id="597"/>
    <w:p>
      <w:pPr>
        <w:ind w:right="100" w:firstLine="444"/>
        <w:spacing w:after="0" w:line="293" w:lineRule="auto"/>
        <w:tabs>
          <w:tab w:leader="none" w:pos="696" w:val="left"/>
        </w:tabs>
        <w:numPr>
          <w:ilvl w:val="0"/>
          <w:numId w:val="5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Action relating to or arising out of this Agreement, each party to this Agreement irrevocably (i) consents and submits to the exclusive jurisdiction of the courts of the State of New York and any court of the United States located in the Borough of Manhattan in New York City; (ii) waives any objection which such party may have at any time to the laying of venue of any Action brought in any such court, waives any claim that such Action has been brought in an inconvenient forum and further waives the right to object, with respect to such Action, that such court does not have jurisdiction over such party; and (iii) consents to the service of process at the address set forth for notices in Section 3.02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manner of service of process shall not preclude the service of process in any other manner permitted under applicable law.</w:t>
      </w:r>
    </w:p>
    <w:p>
      <w:pPr>
        <w:spacing w:after="0" w:line="16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Specific Performance</w:t>
      </w:r>
      <w:r>
        <w:rPr>
          <w:rFonts w:ascii="Arial" w:cs="Arial" w:eastAsia="Arial" w:hAnsi="Arial"/>
          <w:sz w:val="18"/>
          <w:szCs w:val="18"/>
          <w:color w:val="auto"/>
        </w:rPr>
        <w:t>. In the event of any actual or threatened default in, or breach of, any of the terms, conditions and provisions of this Agreement, the party or parties who are or are to be thereby aggrieved shall have the right to seek specific performance and injunctive or other equitable relief of its rights under this Agreement, in addition to any and all other rights and remedies at law or in equity, and all such rights and remedies shall be cumulative.</w:t>
      </w:r>
    </w:p>
    <w:p>
      <w:pPr>
        <w:spacing w:after="0" w:line="187"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adverse to any party. Upon such determination, the parties shall negotiate in good faith in an effort to agree upon such a suitable and equitable provision to effect the original intent of the parties.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Amendment; Waiver</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79" w:lineRule="auto"/>
        <w:tabs>
          <w:tab w:leader="none" w:pos="685" w:val="left"/>
        </w:tabs>
        <w:numPr>
          <w:ilvl w:val="0"/>
          <w:numId w:val="530"/>
        </w:numPr>
        <w:rPr>
          <w:rFonts w:ascii="Arial" w:cs="Arial" w:eastAsia="Arial" w:hAnsi="Arial"/>
          <w:sz w:val="17"/>
          <w:szCs w:val="17"/>
          <w:color w:val="auto"/>
        </w:rPr>
      </w:pPr>
      <w:r>
        <w:rPr>
          <w:rFonts w:ascii="Arial" w:cs="Arial" w:eastAsia="Arial" w:hAnsi="Arial"/>
          <w:sz w:val="17"/>
          <w:szCs w:val="17"/>
          <w:color w:val="auto"/>
        </w:rPr>
        <w:t xml:space="preserve">This Agreement may not be amended or modified and waivers and consents to departures from the provisions hereof may not be given, except by an instrument or instruments in writing making specific reference to this Agreement and signed by the Company and Holders of a majority of the Registrable Securities as of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amendment, modification or waiver that results in a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material adverse effect on the rights of a Holder under this Agreement will require the written consent of such Holder.</w:t>
      </w:r>
    </w:p>
    <w:p>
      <w:pPr>
        <w:spacing w:after="0" w:line="63" w:lineRule="exact"/>
        <w:rPr>
          <w:rFonts w:ascii="Arial" w:cs="Arial" w:eastAsia="Arial" w:hAnsi="Arial"/>
          <w:sz w:val="17"/>
          <w:szCs w:val="17"/>
          <w:color w:val="auto"/>
        </w:rPr>
      </w:pPr>
    </w:p>
    <w:p>
      <w:pPr>
        <w:ind w:right="60" w:firstLine="444"/>
        <w:spacing w:after="0" w:line="277" w:lineRule="auto"/>
        <w:tabs>
          <w:tab w:leader="none" w:pos="696" w:val="left"/>
        </w:tabs>
        <w:numPr>
          <w:ilvl w:val="0"/>
          <w:numId w:val="530"/>
        </w:numPr>
        <w:rPr>
          <w:rFonts w:ascii="Arial" w:cs="Arial" w:eastAsia="Arial" w:hAnsi="Arial"/>
          <w:sz w:val="18"/>
          <w:szCs w:val="18"/>
          <w:color w:val="auto"/>
        </w:rPr>
      </w:pPr>
      <w:r>
        <w:rPr>
          <w:rFonts w:ascii="Arial" w:cs="Arial" w:eastAsia="Arial" w:hAnsi="Arial"/>
          <w:sz w:val="18"/>
          <w:szCs w:val="18"/>
          <w:color w:val="auto"/>
        </w:rPr>
        <w:t>Waiver by any party of any default by the other party of any provision of this Agreement shall not be deemed a waiver by the waiving party of any subsequent or other default, nor shall it prejudice the rights of the other party.</w:t>
      </w:r>
    </w:p>
    <w:p>
      <w:pPr>
        <w:spacing w:after="0" w:line="170"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Further Assurances</w:t>
      </w:r>
      <w:r>
        <w:rPr>
          <w:rFonts w:ascii="Arial" w:cs="Arial" w:eastAsia="Arial" w:hAnsi="Arial"/>
          <w:sz w:val="18"/>
          <w:szCs w:val="18"/>
          <w:color w:val="auto"/>
        </w:rPr>
        <w:t>. Each of the parties hereto shall execute and deliver all additional documents, agreements and instruments and shall do any and all acts and things reasonably requested by the other party hereto in connection with the performance of its obligations undertaken in this Agreement.</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party. Execution of this Agreement or any other documents pursuant to this Agreement by facsimile or other electronic copy of a signature shall be deemed to be, and shall have the same effect as, executed by an original signature.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page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598" w:name="page599"/>
    <w:bookmarkEnd w:id="59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REYNOLDS CONSUMER PRODUCTS INC.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PACKAGING FINANCE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ectPr>
          <w:pgSz w:w="11900" w:h="16838" w:orient="portrait"/>
          <w:cols w:equalWidth="0" w:num="1">
            <w:col w:w="9580"/>
          </w:cols>
          <w:pgMar w:left="880" w:top="273" w:right="1439" w:bottom="1440" w:gutter="0" w:footer="0" w:header="0"/>
        </w:sectPr>
      </w:pPr>
    </w:p>
    <w:bookmarkStart w:id="599" w:name="page600"/>
    <w:bookmarkEnd w:id="599"/>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INSTRUMENT forms part of the Registration Rights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dated as of ________, by and among Reynolds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Consumer Products Inc., a Delaware corporation, and Packaging Finance Limited, a company incorporated pursuant to the laws of New Zealand</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PFL</w:t>
      </w:r>
      <w:r>
        <w:rPr>
          <w:rFonts w:ascii="Arial" w:cs="Arial" w:eastAsia="Arial" w:hAnsi="Arial"/>
          <w:sz w:val="18"/>
          <w:szCs w:val="18"/>
          <w:color w:val="auto"/>
        </w:rPr>
        <w:t>”). The undersigned hereby acknowledges having received a copy of the Agreement and having read the Agreement in its entirety, and for good and valuable consideration, the receipt and sufficiency of which is hereby acknowledged, and intending to be legally bound, hereby agrees that the terms and conditions of the Agreement binding upon and inuring to the benefit of PFL shall be binding upon and inure to the benefit of the undersigned and its successors and permitted assigns as if it were an original party to the Agreement.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instrument on this day of ___________, 20__.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600" w:name="page601"/>
    <w:bookmarkEnd w:id="600"/>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4980" w:hanging="998"/>
        <w:spacing w:after="0"/>
        <w:tabs>
          <w:tab w:leader="none" w:pos="49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REYNOLDS CONSUMER PRODUCTS INC.</w:t>
      </w: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PACKAGING FINANCE LIMITED</w:t>
      </w:r>
    </w:p>
    <w:p>
      <w:pPr>
        <w:sectPr>
          <w:pgSz w:w="11900" w:h="16838" w:orient="portrait"/>
          <w:cols w:equalWidth="0" w:num="1">
            <w:col w:w="10020"/>
          </w:cols>
          <w:pgMar w:left="1440" w:top="121" w:right="439" w:bottom="1440" w:gutter="0" w:footer="0" w:header="0"/>
        </w:sectPr>
      </w:pPr>
    </w:p>
    <w:bookmarkStart w:id="601" w:name="page602"/>
    <w:bookmarkEnd w:id="60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2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426"/>
        </w:trPr>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18"/>
                <w:szCs w:val="18"/>
                <w:color w:val="auto"/>
                <w:w w:val="98"/>
              </w:rPr>
              <w:t>ARTICLE 1</w:t>
            </w:r>
          </w:p>
        </w:tc>
        <w:tc>
          <w:tcPr>
            <w:tcW w:w="19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18"/>
                <w:szCs w:val="18"/>
                <w:color w:val="auto"/>
                <w:w w:val="96"/>
              </w:rPr>
              <w:t>D</w:t>
            </w:r>
            <w:r>
              <w:rPr>
                <w:rFonts w:ascii="Arial" w:cs="Arial" w:eastAsia="Arial" w:hAnsi="Arial"/>
                <w:sz w:val="15"/>
                <w:szCs w:val="15"/>
                <w:color w:val="auto"/>
                <w:w w:val="96"/>
              </w:rPr>
              <w:t>EFINITIONS</w:t>
            </w: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700" w:type="dxa"/>
            <w:vAlign w:val="bottom"/>
            <w:gridSpan w:val="4"/>
          </w:tcPr>
          <w:p>
            <w:pPr>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700" w:type="dxa"/>
            <w:vAlign w:val="bottom"/>
            <w:gridSpan w:val="4"/>
          </w:tcPr>
          <w:p>
            <w:pPr>
              <w:spacing w:after="0"/>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Definitional and Interpretative Provisions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18"/>
                <w:szCs w:val="18"/>
                <w:color w:val="auto"/>
                <w:w w:val="98"/>
              </w:rPr>
              <w:t>ARTICLE 2</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7800" w:type="dxa"/>
            <w:vAlign w:val="bottom"/>
            <w:gridSpan w:val="3"/>
          </w:tcPr>
          <w:p>
            <w:pPr>
              <w:jc w:val="center"/>
              <w:ind w:left="730"/>
              <w:spacing w:after="0"/>
              <w:rPr>
                <w:sz w:val="20"/>
                <w:szCs w:val="20"/>
                <w:color w:val="auto"/>
              </w:rPr>
            </w:pPr>
            <w:r>
              <w:rPr>
                <w:rFonts w:ascii="Arial" w:cs="Arial" w:eastAsia="Arial" w:hAnsi="Arial"/>
                <w:sz w:val="18"/>
                <w:szCs w:val="18"/>
                <w:color w:val="auto"/>
                <w:w w:val="93"/>
              </w:rPr>
              <w:t>C</w:t>
            </w:r>
            <w:r>
              <w:rPr>
                <w:rFonts w:ascii="Arial" w:cs="Arial" w:eastAsia="Arial" w:hAnsi="Arial"/>
                <w:sz w:val="15"/>
                <w:szCs w:val="15"/>
                <w:color w:val="auto"/>
                <w:w w:val="93"/>
              </w:rPr>
              <w:t>ORPORATE</w:t>
            </w:r>
            <w:r>
              <w:rPr>
                <w:rFonts w:ascii="Arial" w:cs="Arial" w:eastAsia="Arial" w:hAnsi="Arial"/>
                <w:sz w:val="18"/>
                <w:szCs w:val="18"/>
                <w:color w:val="auto"/>
                <w:w w:val="93"/>
              </w:rPr>
              <w:t xml:space="preserve"> G</w:t>
            </w:r>
            <w:r>
              <w:rPr>
                <w:rFonts w:ascii="Arial" w:cs="Arial" w:eastAsia="Arial" w:hAnsi="Arial"/>
                <w:sz w:val="15"/>
                <w:szCs w:val="15"/>
                <w:color w:val="auto"/>
                <w:w w:val="93"/>
              </w:rPr>
              <w:t>OVERNANCE</w:t>
            </w: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700" w:type="dxa"/>
            <w:vAlign w:val="bottom"/>
            <w:gridSpan w:val="4"/>
          </w:tcPr>
          <w:p>
            <w:pPr>
              <w:spacing w:after="0"/>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Composition of the Board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Removal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Vacancies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Board Expenses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Board Committees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18"/>
                <w:szCs w:val="18"/>
                <w:color w:val="auto"/>
                <w:w w:val="98"/>
              </w:rPr>
              <w:t>ARTICLE 3</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7800" w:type="dxa"/>
            <w:vAlign w:val="bottom"/>
            <w:gridSpan w:val="3"/>
          </w:tcPr>
          <w:p>
            <w:pPr>
              <w:jc w:val="center"/>
              <w:ind w:left="730"/>
              <w:spacing w:after="0"/>
              <w:rPr>
                <w:sz w:val="20"/>
                <w:szCs w:val="20"/>
                <w:color w:val="auto"/>
              </w:rPr>
            </w:pPr>
            <w:r>
              <w:rPr>
                <w:rFonts w:ascii="Arial" w:cs="Arial" w:eastAsia="Arial" w:hAnsi="Arial"/>
                <w:sz w:val="18"/>
                <w:szCs w:val="18"/>
                <w:color w:val="auto"/>
                <w:w w:val="96"/>
              </w:rPr>
              <w:t>C</w:t>
            </w:r>
            <w:r>
              <w:rPr>
                <w:rFonts w:ascii="Arial" w:cs="Arial" w:eastAsia="Arial" w:hAnsi="Arial"/>
                <w:sz w:val="15"/>
                <w:szCs w:val="15"/>
                <w:color w:val="auto"/>
                <w:w w:val="96"/>
              </w:rPr>
              <w:t>ERTAIN</w:t>
            </w:r>
            <w:r>
              <w:rPr>
                <w:rFonts w:ascii="Arial" w:cs="Arial" w:eastAsia="Arial" w:hAnsi="Arial"/>
                <w:sz w:val="18"/>
                <w:szCs w:val="18"/>
                <w:color w:val="auto"/>
                <w:w w:val="96"/>
              </w:rPr>
              <w:t xml:space="preserve"> C</w:t>
            </w:r>
            <w:r>
              <w:rPr>
                <w:rFonts w:ascii="Arial" w:cs="Arial" w:eastAsia="Arial" w:hAnsi="Arial"/>
                <w:sz w:val="15"/>
                <w:szCs w:val="15"/>
                <w:color w:val="auto"/>
                <w:w w:val="96"/>
              </w:rPr>
              <w:t>OVENANTS AND</w:t>
            </w:r>
            <w:r>
              <w:rPr>
                <w:rFonts w:ascii="Arial" w:cs="Arial" w:eastAsia="Arial" w:hAnsi="Arial"/>
                <w:sz w:val="18"/>
                <w:szCs w:val="18"/>
                <w:color w:val="auto"/>
                <w:w w:val="96"/>
              </w:rPr>
              <w:t xml:space="preserve"> A</w:t>
            </w:r>
            <w:r>
              <w:rPr>
                <w:rFonts w:ascii="Arial" w:cs="Arial" w:eastAsia="Arial" w:hAnsi="Arial"/>
                <w:sz w:val="15"/>
                <w:szCs w:val="15"/>
                <w:color w:val="auto"/>
                <w:w w:val="96"/>
              </w:rPr>
              <w:t>GREEMENTS</w:t>
            </w: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Access; Information</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Confidentiality</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Conflicting Agreements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700" w:type="dxa"/>
            <w:vAlign w:val="bottom"/>
            <w:gridSpan w:val="4"/>
          </w:tcPr>
          <w:p>
            <w:pPr>
              <w:spacing w:after="0"/>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Corporate Opportunities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18"/>
                <w:szCs w:val="18"/>
                <w:color w:val="auto"/>
                <w:w w:val="98"/>
              </w:rPr>
              <w:t>ARTICLE 4</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18"/>
                <w:szCs w:val="18"/>
                <w:color w:val="auto"/>
                <w:w w:val="96"/>
              </w:rPr>
              <w:t>M</w:t>
            </w:r>
            <w:r>
              <w:rPr>
                <w:rFonts w:ascii="Arial" w:cs="Arial" w:eastAsia="Arial" w:hAnsi="Arial"/>
                <w:sz w:val="15"/>
                <w:szCs w:val="15"/>
                <w:color w:val="auto"/>
                <w:w w:val="96"/>
              </w:rPr>
              <w:t>ISCELLANEOUS</w:t>
            </w: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700" w:type="dxa"/>
            <w:vAlign w:val="bottom"/>
            <w:gridSpan w:val="4"/>
          </w:tcPr>
          <w:p>
            <w:pPr>
              <w:spacing w:after="0"/>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Binding Effect; Assignability; Benefit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Notices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Term; Waiver; Amendment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Fees and Expenses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Governing Law</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Jurisdiction</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Waiver of Jury Trial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Specific Enforcement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Counterparts; Effectiveness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Entire Agreement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700" w:type="dxa"/>
            <w:vAlign w:val="bottom"/>
            <w:gridSpan w:val="4"/>
          </w:tcPr>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Severability</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Exhibit A</w:t>
            </w:r>
          </w:p>
        </w:tc>
        <w:tc>
          <w:tcPr>
            <w:tcW w:w="7800" w:type="dxa"/>
            <w:vAlign w:val="bottom"/>
            <w:gridSpan w:val="3"/>
          </w:tcPr>
          <w:p>
            <w:pPr>
              <w:ind w:left="220"/>
              <w:spacing w:after="0"/>
              <w:rPr>
                <w:sz w:val="20"/>
                <w:szCs w:val="20"/>
                <w:color w:val="auto"/>
              </w:rPr>
            </w:pPr>
            <w:r>
              <w:rPr>
                <w:rFonts w:ascii="Arial" w:cs="Arial" w:eastAsia="Arial" w:hAnsi="Arial"/>
                <w:sz w:val="18"/>
                <w:szCs w:val="18"/>
                <w:color w:val="auto"/>
              </w:rPr>
              <w:t>Joinder Agreement</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69"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02" w:name="page603"/>
    <w:bookmarkEnd w:id="6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STOCKHOLDERS AGREEMENT (as the same may be amended from time to time in accordance with its terms, the “</w:t>
      </w:r>
      <w:r>
        <w:rPr>
          <w:rFonts w:ascii="Arial" w:cs="Arial" w:eastAsia="Arial" w:hAnsi="Arial"/>
          <w:sz w:val="18"/>
          <w:szCs w:val="18"/>
          <w:b w:val="1"/>
          <w:bCs w:val="1"/>
          <w:color w:val="auto"/>
        </w:rPr>
        <w:t>Agreement</w:t>
      </w:r>
      <w:r>
        <w:rPr>
          <w:rFonts w:ascii="Arial" w:cs="Arial" w:eastAsia="Arial" w:hAnsi="Arial"/>
          <w:sz w:val="18"/>
          <w:szCs w:val="18"/>
          <w:color w:val="auto"/>
        </w:rPr>
        <w:t>”) is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entered into as of [ ], by and among Reynolds Consumer Products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Packaging Finance Limited, a company incorporated pursuant to the laws of New Zealand (“</w:t>
      </w:r>
      <w:r>
        <w:rPr>
          <w:rFonts w:ascii="Arial" w:cs="Arial" w:eastAsia="Arial" w:hAnsi="Arial"/>
          <w:sz w:val="18"/>
          <w:szCs w:val="18"/>
          <w:b w:val="1"/>
          <w:bCs w:val="1"/>
          <w:color w:val="auto"/>
        </w:rPr>
        <w:t>PFL</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currently contemplating an underwritten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of shares of its Common Stock;</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WHEREAS, in connection with, and effective upon, the completion of the IPO (such date of completion, the “</w:t>
      </w:r>
      <w:r>
        <w:rPr>
          <w:rFonts w:ascii="Arial" w:cs="Arial" w:eastAsia="Arial" w:hAnsi="Arial"/>
          <w:sz w:val="18"/>
          <w:szCs w:val="18"/>
          <w:b w:val="1"/>
          <w:bCs w:val="1"/>
          <w:color w:val="auto"/>
        </w:rPr>
        <w:t>IPO Date</w:t>
      </w:r>
      <w:r>
        <w:rPr>
          <w:rFonts w:ascii="Arial" w:cs="Arial" w:eastAsia="Arial" w:hAnsi="Arial"/>
          <w:sz w:val="18"/>
          <w:szCs w:val="18"/>
          <w:color w:val="auto"/>
        </w:rPr>
        <w:t>”) of the Company, the Company and the Stockholder (as defined in Section 1.01 hereof) wish to set forth certain understandings between such parties, including with respect to certain governance matters; and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(a) As used in this Agreement, the following terms have the following meanings: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common control with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security holder of the Company shall be deemed an Affiliate of the Company or any other security holder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solely by reason of any investment in the Company or the existence or exercise of any rights or obligations under this Agreement or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held by such security holder. For the purpose of this definition, the term “</w:t>
      </w:r>
      <w:r>
        <w:rPr>
          <w:rFonts w:ascii="Arial" w:cs="Arial" w:eastAsia="Arial" w:hAnsi="Arial"/>
          <w:sz w:val="17"/>
          <w:szCs w:val="17"/>
          <w:b w:val="1"/>
          <w:bCs w:val="1"/>
          <w:color w:val="auto"/>
        </w:rPr>
        <w:t>control</w:t>
      </w:r>
      <w:r>
        <w:rPr>
          <w:rFonts w:ascii="Arial" w:cs="Arial" w:eastAsia="Arial" w:hAnsi="Arial"/>
          <w:sz w:val="17"/>
          <w:szCs w:val="17"/>
          <w:color w:val="auto"/>
        </w:rPr>
        <w:t>” (including, with correlative meanings, the terms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as used with respect to any Person, means the possession, directly or indirectly,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power to direct or cause the direction of the management and policies of such Person, whether through the ownership of voting securities,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contract or otherwise.</w:t>
      </w:r>
    </w:p>
    <w:p>
      <w:pPr>
        <w:spacing w:after="0" w:line="207"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Ownership</w:t>
      </w:r>
      <w:r>
        <w:rPr>
          <w:rFonts w:ascii="Arial" w:cs="Arial" w:eastAsia="Arial" w:hAnsi="Arial"/>
          <w:sz w:val="18"/>
          <w:szCs w:val="18"/>
          <w:color w:val="auto"/>
        </w:rPr>
        <w:t>” means, with respect to any Stockholder or group of Stockholders, the total number of Shares (as determined on a Common Equivalents basis) Beneficially Owned (as defined below) (without duplication) by such Stockholder or group of Stockholders as of the date of such calculation.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020"/>
          </w:cols>
          <w:pgMar w:left="440" w:top="270" w:right="439" w:bottom="1440" w:gutter="0" w:footer="0" w:header="0"/>
        </w:sectPr>
      </w:pPr>
    </w:p>
    <w:bookmarkStart w:id="603" w:name="page604"/>
    <w:bookmarkEnd w:id="60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 Saturday, Sunday or other day on which commercial banks in New York City are authorized by law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w:t>
      </w:r>
      <w:r>
        <w:rPr>
          <w:rFonts w:ascii="Arial" w:cs="Arial" w:eastAsia="Arial" w:hAnsi="Arial"/>
          <w:sz w:val="17"/>
          <w:szCs w:val="17"/>
          <w:color w:val="auto"/>
        </w:rPr>
        <w:t>” means the Amended and Restated Certificate of Incorporation of the Company, as the same may be amended from time to time.</w:t>
      </w:r>
    </w:p>
    <w:p>
      <w:pPr>
        <w:spacing w:after="0" w:line="237" w:lineRule="exact"/>
        <w:rPr>
          <w:sz w:val="20"/>
          <w:szCs w:val="20"/>
          <w:color w:val="auto"/>
        </w:rPr>
      </w:pPr>
    </w:p>
    <w:p>
      <w:pPr>
        <w:jc w:val="both"/>
        <w:ind w:right="3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Equivalents</w:t>
      </w:r>
      <w:r>
        <w:rPr>
          <w:rFonts w:ascii="Arial" w:cs="Arial" w:eastAsia="Arial" w:hAnsi="Arial"/>
          <w:sz w:val="18"/>
          <w:szCs w:val="18"/>
          <w:color w:val="auto"/>
        </w:rPr>
        <w:t>” means (i) with respect to Common Stock, the number of Shares, (ii) with respect to any Company Securities that are convertible into or exchangeable for Common Stock, the number of Shares issuable in respect of the conversion or exchange of such securities into Common Stock.</w:t>
      </w:r>
    </w:p>
    <w:p>
      <w:pPr>
        <w:spacing w:after="0" w:line="176"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$0.001 per share, of the Company and any other security into which such Common Stock may hereafter be converted or changed.</w:t>
      </w:r>
    </w:p>
    <w:p>
      <w:pPr>
        <w:spacing w:after="0" w:line="162"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Common Stock and (ii) securities that entitle the holder to vote in the election of directors to the Board that are convertible into or exchangeable for Common Stock.</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any director of the Company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w:t>
      </w:r>
      <w:r>
        <w:rPr>
          <w:rFonts w:ascii="Arial" w:cs="Arial" w:eastAsia="Arial" w:hAnsi="Arial"/>
          <w:sz w:val="17"/>
          <w:szCs w:val="17"/>
          <w:color w:val="auto"/>
        </w:rPr>
        <w:t>” means the Nasdaq Global Select Market or such other stock exchange or securities market on which the Shares are listed.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Documents</w:t>
      </w:r>
      <w:r>
        <w:rPr>
          <w:rFonts w:ascii="Arial" w:cs="Arial" w:eastAsia="Arial" w:hAnsi="Arial"/>
          <w:sz w:val="18"/>
          <w:szCs w:val="18"/>
          <w:color w:val="auto"/>
        </w:rPr>
        <w:t>” means the Charter, as amended or modified from time to time, and the amended and restated by-laws of the Company, as amended or modified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an “independent director” as such term is used in the listing requirements of the Exchange.</w:t>
      </w:r>
    </w:p>
    <w:p>
      <w:pPr>
        <w:spacing w:after="0" w:line="225" w:lineRule="exact"/>
        <w:rPr>
          <w:sz w:val="20"/>
          <w:szCs w:val="20"/>
          <w:color w:val="auto"/>
        </w:rPr>
      </w:pPr>
    </w:p>
    <w:p>
      <w:pPr>
        <w:ind w:right="24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Necessary Action</w:t>
      </w:r>
      <w:r>
        <w:rPr>
          <w:rFonts w:ascii="Arial" w:cs="Arial" w:eastAsia="Arial" w:hAnsi="Arial"/>
          <w:sz w:val="16"/>
          <w:szCs w:val="16"/>
          <w:color w:val="auto"/>
        </w:rPr>
        <w:t>” means, with respect to a specified result, all actions (to the extent such actions are permitted by law and by the Governing Documents) necessary to cause such result, including (i) voting or providing a written consent or proxy with respect to the Company Securities,</w:t>
      </w:r>
    </w:p>
    <w:p>
      <w:pPr>
        <w:spacing w:after="0" w:line="1" w:lineRule="exact"/>
        <w:rPr>
          <w:sz w:val="20"/>
          <w:szCs w:val="20"/>
          <w:color w:val="auto"/>
        </w:rPr>
      </w:pPr>
    </w:p>
    <w:p>
      <w:pPr>
        <w:ind w:firstLine="4"/>
        <w:spacing w:after="0" w:line="253" w:lineRule="auto"/>
        <w:tabs>
          <w:tab w:leader="none" w:pos="26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causing the adoption of shareholders’ resolutions and amendments to the Governing Documents, (iii) causing Directors (to the extent such Directors were nominated or designated by the Person obligated to undertake the Necessary Action, and subject to any fiduciary duties that such Directors may have as Directors) to act in a certain manner or causing them to be removed in the event they do not act in such a manner, (iv) executing agreements and instruments, and (v) making, or causing to be made, with governmental, administrative or regulatory authorities, all filings, registrations or similar actions that are required to achieve such result.</w:t>
      </w:r>
    </w:p>
    <w:p>
      <w:pPr>
        <w:spacing w:after="0" w:line="187" w:lineRule="exact"/>
        <w:rPr>
          <w:sz w:val="20"/>
          <w:szCs w:val="20"/>
          <w:color w:val="auto"/>
        </w:rPr>
      </w:pPr>
    </w:p>
    <w:p>
      <w:pPr>
        <w:jc w:val="both"/>
        <w:ind w:right="2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Assigns</w:t>
      </w:r>
      <w:r>
        <w:rPr>
          <w:rFonts w:ascii="Arial" w:cs="Arial" w:eastAsia="Arial" w:hAnsi="Arial"/>
          <w:sz w:val="18"/>
          <w:szCs w:val="18"/>
          <w:color w:val="auto"/>
        </w:rPr>
        <w:t>” means with respect to the Stockholder, (i) its Affiliates; (ii) any entity that is Beneficially Owned by Mr. Graeme Richard Hart (or his estate, heirs, executor, administrator or other personal representative, or any of his immediate family members or any trust, fund or other entity which is controlled by his estate, heirs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604" w:name="page605"/>
    <w:bookmarkEnd w:id="60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of his immediate family members); (iii) any Affiliate of Mr. Graeme Richard Hart or any entity that is Beneficially Owned by Mr. Graeme Richard Hart (or his estate, heirs, executor, administrator or other personal representative, or any of his immediate family members or any trust, fund or other entity which is controlled by his estate, heirs or any of his immediate family members) and (iv) any other Transferee of all of the Shares held at any time by the Stockholder, in each case that is a Transferee of Shares which are Transferred other than pursuant to a widely distributed public sale that agrees in writing to become party to, and be bound to the same extent as its Transferor by the terms of, this Agreement, in the form of Exhibit A hereto; provided, that upon such Transfer, such Permitted Assign shall be deemed to be a “Stockholder” hereto for all purposes herein.</w:t>
      </w:r>
    </w:p>
    <w:p>
      <w:pPr>
        <w:spacing w:after="0" w:line="161"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5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PFL</w:t>
      </w:r>
      <w:r>
        <w:rPr>
          <w:rFonts w:ascii="Arial" w:cs="Arial" w:eastAsia="Arial" w:hAnsi="Arial"/>
          <w:sz w:val="18"/>
          <w:szCs w:val="18"/>
          <w:color w:val="auto"/>
        </w:rPr>
        <w:t>” has the meaning set forth in the recitals to this Agreement and shall include its successors by merger, acquisition, reorganization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outstanding shares of Common Stock.</w:t>
      </w:r>
    </w:p>
    <w:p>
      <w:pPr>
        <w:spacing w:after="0" w:line="225"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means PFL and its Permitted Assigns who shall then be a party to or bound by this Agreement, so long as such Person shall Beneficially Own any Company Securities.</w:t>
      </w:r>
    </w:p>
    <w:p>
      <w:pPr>
        <w:spacing w:after="0" w:line="162" w:lineRule="exact"/>
        <w:rPr>
          <w:sz w:val="20"/>
          <w:szCs w:val="20"/>
          <w:color w:val="auto"/>
        </w:rPr>
      </w:pPr>
    </w:p>
    <w:p>
      <w:pPr>
        <w:ind w:right="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are at the time directly or indirectly owned by such Person.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Number of Directors</w:t>
      </w:r>
      <w:r>
        <w:rPr>
          <w:rFonts w:ascii="Arial" w:cs="Arial" w:eastAsia="Arial" w:hAnsi="Arial"/>
          <w:sz w:val="18"/>
          <w:szCs w:val="18"/>
          <w:color w:val="auto"/>
        </w:rPr>
        <w:t>” means the total number of directors comprising the Board from time to time.</w:t>
      </w:r>
    </w:p>
    <w:p>
      <w:pPr>
        <w:spacing w:after="0" w:line="225" w:lineRule="exact"/>
        <w:rPr>
          <w:sz w:val="20"/>
          <w:szCs w:val="20"/>
          <w:color w:val="auto"/>
        </w:rPr>
      </w:pPr>
    </w:p>
    <w:p>
      <w:pPr>
        <w:ind w:right="14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(including its correlative meanings, “Transferor”, Transferee” and “Transferred”) means, with respect to any security, directly or indirectly, to sell, contract to sell, give, assign, hypothecate, pledge, charge,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“Transfer” shall have such correlative meaning as the context may require.</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2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100" w:type="dxa"/>
            <w:vAlign w:val="bottom"/>
          </w:tcPr>
          <w:p>
            <w:pPr>
              <w:spacing w:after="0"/>
              <w:rPr>
                <w:sz w:val="14"/>
                <w:szCs w:val="14"/>
                <w:color w:val="auto"/>
              </w:rPr>
            </w:pPr>
          </w:p>
        </w:tc>
      </w:tr>
      <w:tr>
        <w:trPr>
          <w:trHeight w:val="195"/>
        </w:trPr>
        <w:tc>
          <w:tcPr>
            <w:tcW w:w="2740" w:type="dxa"/>
            <w:vAlign w:val="bottom"/>
            <w:gridSpan w:val="2"/>
          </w:tcPr>
          <w:p>
            <w:pPr>
              <w:spacing w:after="0" w:line="195" w:lineRule="exact"/>
              <w:rPr>
                <w:sz w:val="20"/>
                <w:szCs w:val="20"/>
                <w:color w:val="auto"/>
              </w:rPr>
            </w:pPr>
            <w:r>
              <w:rPr>
                <w:rFonts w:ascii="Arial" w:cs="Arial" w:eastAsia="Arial" w:hAnsi="Arial"/>
                <w:sz w:val="18"/>
                <w:szCs w:val="18"/>
                <w:color w:val="auto"/>
              </w:rPr>
              <w:t>Stockholder Designee</w:t>
            </w:r>
          </w:p>
        </w:tc>
        <w:tc>
          <w:tcPr>
            <w:tcW w:w="2720" w:type="dxa"/>
            <w:vAlign w:val="bottom"/>
          </w:tcPr>
          <w:p>
            <w:pPr>
              <w:spacing w:after="0"/>
              <w:rPr>
                <w:sz w:val="16"/>
                <w:szCs w:val="16"/>
                <w:color w:val="auto"/>
              </w:rPr>
            </w:pPr>
          </w:p>
        </w:tc>
        <w:tc>
          <w:tcPr>
            <w:tcW w:w="460" w:type="dxa"/>
            <w:vAlign w:val="bottom"/>
          </w:tcPr>
          <w:p>
            <w:pPr>
              <w:jc w:val="center"/>
              <w:spacing w:after="0" w:line="195" w:lineRule="exact"/>
              <w:rPr>
                <w:sz w:val="20"/>
                <w:szCs w:val="20"/>
                <w:color w:val="auto"/>
              </w:rPr>
            </w:pPr>
            <w:r>
              <w:rPr>
                <w:rFonts w:ascii="Arial" w:cs="Arial" w:eastAsia="Arial" w:hAnsi="Arial"/>
                <w:sz w:val="18"/>
                <w:szCs w:val="18"/>
                <w:color w:val="auto"/>
                <w:w w:val="91"/>
              </w:rPr>
              <w:t>2.01</w:t>
            </w:r>
          </w:p>
        </w:tc>
        <w:tc>
          <w:tcPr>
            <w:tcW w:w="100" w:type="dxa"/>
            <w:vAlign w:val="bottom"/>
          </w:tcPr>
          <w:p>
            <w:pPr>
              <w:spacing w:after="0"/>
              <w:rPr>
                <w:sz w:val="16"/>
                <w:szCs w:val="16"/>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280" w:type="dxa"/>
            <w:vAlign w:val="bottom"/>
            <w:gridSpan w:val="3"/>
          </w:tcPr>
          <w:p>
            <w:pPr>
              <w:jc w:val="center"/>
              <w:ind w:left="2510"/>
              <w:spacing w:after="0"/>
              <w:rPr>
                <w:sz w:val="20"/>
                <w:szCs w:val="20"/>
                <w:color w:val="auto"/>
              </w:rPr>
            </w:pPr>
            <w:r>
              <w:rPr>
                <w:rFonts w:ascii="Arial" w:cs="Arial" w:eastAsia="Arial" w:hAnsi="Arial"/>
                <w:sz w:val="18"/>
                <w:szCs w:val="18"/>
                <w:color w:val="auto"/>
                <w:w w:val="88"/>
              </w:rPr>
              <w:t>Preamble</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3280" w:type="dxa"/>
            <w:vAlign w:val="bottom"/>
            <w:gridSpan w:val="3"/>
          </w:tcPr>
          <w:p>
            <w:pPr>
              <w:jc w:val="center"/>
              <w:ind w:left="2510"/>
              <w:spacing w:after="0"/>
              <w:rPr>
                <w:sz w:val="20"/>
                <w:szCs w:val="20"/>
                <w:color w:val="auto"/>
              </w:rPr>
            </w:pPr>
            <w:r>
              <w:rPr>
                <w:rFonts w:ascii="Arial" w:cs="Arial" w:eastAsia="Arial" w:hAnsi="Arial"/>
                <w:sz w:val="18"/>
                <w:szCs w:val="18"/>
                <w:color w:val="auto"/>
                <w:w w:val="91"/>
              </w:rPr>
              <w:t>3.02(b)</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3280" w:type="dxa"/>
            <w:vAlign w:val="bottom"/>
            <w:gridSpan w:val="3"/>
          </w:tcPr>
          <w:p>
            <w:pPr>
              <w:jc w:val="center"/>
              <w:ind w:left="2510"/>
              <w:spacing w:after="0"/>
              <w:rPr>
                <w:sz w:val="20"/>
                <w:szCs w:val="20"/>
                <w:color w:val="auto"/>
              </w:rPr>
            </w:pPr>
            <w:r>
              <w:rPr>
                <w:rFonts w:ascii="Arial" w:cs="Arial" w:eastAsia="Arial" w:hAnsi="Arial"/>
                <w:sz w:val="18"/>
                <w:szCs w:val="18"/>
                <w:color w:val="auto"/>
                <w:w w:val="91"/>
              </w:rPr>
              <w:t>3.02(b)</w:t>
            </w:r>
          </w:p>
        </w:tc>
      </w:tr>
      <w:tr>
        <w:trPr>
          <w:trHeight w:val="365"/>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720" w:type="dxa"/>
            <w:vAlign w:val="bottom"/>
          </w:tcPr>
          <w:p>
            <w:pPr>
              <w:jc w:val="right"/>
              <w:ind w:right="159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440" w:top="273" w:right="479" w:bottom="1440" w:gutter="0" w:footer="0" w:header="0"/>
        </w:sectPr>
      </w:pPr>
    </w:p>
    <w:bookmarkStart w:id="605" w:name="page606"/>
    <w:bookmarkEnd w:id="605"/>
    <w:p>
      <w:pPr>
        <w:ind w:right="80" w:firstLine="44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1.02</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Exhibits are to Articles, Sections and Exhibits of this Agreement unless otherwise specified. All Exhibits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ORPORATE</w:t>
      </w:r>
      <w:r>
        <w:rPr>
          <w:rFonts w:ascii="Arial" w:cs="Arial" w:eastAsia="Arial" w:hAnsi="Arial"/>
          <w:sz w:val="18"/>
          <w:szCs w:val="18"/>
          <w:color w:val="auto"/>
        </w:rPr>
        <w:t xml:space="preserve"> G</w:t>
      </w:r>
      <w:r>
        <w:rPr>
          <w:rFonts w:ascii="Arial" w:cs="Arial" w:eastAsia="Arial" w:hAnsi="Arial"/>
          <w:sz w:val="15"/>
          <w:szCs w:val="15"/>
          <w:color w:val="auto"/>
        </w:rPr>
        <w:t>OVERNANCE</w:t>
      </w:r>
    </w:p>
    <w:p>
      <w:pPr>
        <w:spacing w:after="0" w:line="211"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Section 2.01</w:t>
      </w:r>
      <w:r>
        <w:rPr>
          <w:rFonts w:ascii="Arial" w:cs="Arial" w:eastAsia="Arial" w:hAnsi="Arial"/>
          <w:sz w:val="17"/>
          <w:szCs w:val="17"/>
          <w:i w:val="1"/>
          <w:iCs w:val="1"/>
          <w:color w:val="auto"/>
        </w:rPr>
        <w:t>. Composition of the Board.</w:t>
      </w:r>
      <w:r>
        <w:rPr>
          <w:rFonts w:ascii="Arial" w:cs="Arial" w:eastAsia="Arial" w:hAnsi="Arial"/>
          <w:sz w:val="17"/>
          <w:szCs w:val="17"/>
          <w:color w:val="auto"/>
        </w:rPr>
        <w:t xml:space="preserve"> (a) The members of the Board shall be nominated and elected in accordance with the Governing Documents and the provisions of this Agreement. Effective as of the IPO Date, the Board shall be comprised of seven Directors, which Directors shall initially be Lance Mitchell, Gregory Cole, Thomas Degnan, Helen Golding, Marla Gottschalk, Richard Noll, and one vacancy, with such vacancy to be filled with the nominee of the Stockholder pursuant to this Agreement. The Chairman of the Board shall initially be Richard Noll.</w:t>
      </w:r>
    </w:p>
    <w:p>
      <w:pPr>
        <w:spacing w:after="0" w:line="63" w:lineRule="exact"/>
        <w:rPr>
          <w:sz w:val="20"/>
          <w:szCs w:val="20"/>
          <w:color w:val="auto"/>
        </w:rPr>
      </w:pPr>
    </w:p>
    <w:p>
      <w:pPr>
        <w:ind w:firstLine="444"/>
        <w:spacing w:after="0" w:line="290" w:lineRule="auto"/>
        <w:tabs>
          <w:tab w:leader="none" w:pos="69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From and after the date hereof, the Stockholder shall have the right, but not the obligation, to nominate a number of designees to the Board, equal to: (i) the Total Number of Directors so long as the Stockholder’s Aggregate Ownership of Shares (as determined on a Common Equivalents basis) continues to be at least 50% of all Shares (as determined on a Common Equivalents basis); (ii) the highest whole number that is greater than 50% of the Total Number of Directors so long as the Stockholder’s Aggregate Ownership of Shares (as determined on a Common Equivalents basis) continues to be at least 40% (but less than 50%) of all Shares (as determined on a Common Equivalents basis); (iii) the highest whole number that is greater than 40% of the Total Number of Directors so long as the Stockholder’s Aggregate Ownership of all Shares (as determined on a Common Equivalents basis) continues to be at least 30% (but less than 40%) of all Shares (as determined on a Common Equivalents basis); (iv) the highest whole number that is greater than 25% of the Total Number of Directors so long as the Stockholder’s Aggregate Ownership of Shares (as determined on a Common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06" w:name="page607"/>
    <w:bookmarkEnd w:id="606"/>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Equivalents basis) continues to be at least 20% (but less than 30%) of all Shares (as determined on a Common Equivalents basis); and (v) the highest whole number (such number always being equal to or greater than one) that is greater than 10% of the Total Number of Directors so long as the Stockholder’s Aggregate Ownership of Shares (as determined on a Common Equivalents basis) continues to be at least 10% (but less than 20%) of all Shares (as determined on a Common Equivalents basis). In the event that the Stockholder has nominated less than the total number of designees the Stockholder is entitled to nominate pursuant to this Section 2.01(b), the Stockholder shall have the right, at any time, to nominate such additional designees to which it is entitled, in which case the Stockholder and the Company shall take, or cause to be taken, all Necessary Action to (A) increase the size of the Board as required to enable the Stockholder to so nominate such additional designees and (B) appoint such additional designees nominated by the Stockholder to such newly created directorships. Each such individual whom the Stockholder shall designate pursuant to this Section 2.01(b) and who is thereafter elected and qualifies to serve as a Director shall be referred to herein as a “Stockholder Designee.”</w:t>
      </w:r>
    </w:p>
    <w:p>
      <w:pPr>
        <w:spacing w:after="0" w:line="59" w:lineRule="exact"/>
        <w:rPr>
          <w:sz w:val="20"/>
          <w:szCs w:val="20"/>
          <w:color w:val="auto"/>
        </w:rPr>
      </w:pPr>
    </w:p>
    <w:p>
      <w:pPr>
        <w:ind w:right="20" w:firstLine="444"/>
        <w:spacing w:after="0" w:line="264" w:lineRule="auto"/>
        <w:tabs>
          <w:tab w:leader="none" w:pos="68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parties hereto agree that so long as the Stockholder Designees meet the requirements for Independent Directors in accordance with the rules of the Exchange, then the Stockholder Designees shall be considered “independent directors” with respect to the requirements of the Exchange, as well as the Governing Documents.</w:t>
      </w:r>
    </w:p>
    <w:p>
      <w:pPr>
        <w:spacing w:after="0" w:line="73" w:lineRule="exact"/>
        <w:rPr>
          <w:rFonts w:ascii="Arial" w:cs="Arial" w:eastAsia="Arial" w:hAnsi="Arial"/>
          <w:sz w:val="18"/>
          <w:szCs w:val="18"/>
          <w:color w:val="auto"/>
        </w:rPr>
      </w:pPr>
    </w:p>
    <w:p>
      <w:pPr>
        <w:ind w:right="60" w:firstLine="444"/>
        <w:spacing w:after="0" w:line="286" w:lineRule="auto"/>
        <w:tabs>
          <w:tab w:leader="none" w:pos="696" w:val="left"/>
        </w:tabs>
        <w:numPr>
          <w:ilvl w:val="0"/>
          <w:numId w:val="534"/>
        </w:numPr>
        <w:rPr>
          <w:rFonts w:ascii="Arial" w:cs="Arial" w:eastAsia="Arial" w:hAnsi="Arial"/>
          <w:sz w:val="17"/>
          <w:szCs w:val="17"/>
          <w:color w:val="auto"/>
        </w:rPr>
      </w:pPr>
      <w:r>
        <w:rPr>
          <w:rFonts w:ascii="Arial" w:cs="Arial" w:eastAsia="Arial" w:hAnsi="Arial"/>
          <w:sz w:val="17"/>
          <w:szCs w:val="17"/>
          <w:color w:val="auto"/>
        </w:rPr>
        <w:t>For so long as the Directors on the Board are divided into three classes, such Stockholder Designees shall be apportioned among such classes so as to maintain the number of Stockholder Designees in each class as nearly equal as possible. The Stockholder is hereby authorized to assign the Stockholder Designees in office to such classes in connection with the nomination pursuant to Section 2.01(b).</w:t>
      </w:r>
    </w:p>
    <w:p>
      <w:pPr>
        <w:spacing w:after="0" w:line="57" w:lineRule="exact"/>
        <w:rPr>
          <w:rFonts w:ascii="Arial" w:cs="Arial" w:eastAsia="Arial" w:hAnsi="Arial"/>
          <w:sz w:val="17"/>
          <w:szCs w:val="17"/>
          <w:color w:val="auto"/>
        </w:rPr>
      </w:pPr>
    </w:p>
    <w:p>
      <w:pPr>
        <w:ind w:firstLine="444"/>
        <w:spacing w:after="0" w:line="293" w:lineRule="auto"/>
        <w:tabs>
          <w:tab w:leader="none" w:pos="685" w:val="left"/>
        </w:tabs>
        <w:numPr>
          <w:ilvl w:val="0"/>
          <w:numId w:val="534"/>
        </w:numPr>
        <w:rPr>
          <w:rFonts w:ascii="Arial" w:cs="Arial" w:eastAsia="Arial" w:hAnsi="Arial"/>
          <w:sz w:val="16"/>
          <w:szCs w:val="16"/>
          <w:color w:val="auto"/>
        </w:rPr>
      </w:pPr>
      <w:r>
        <w:rPr>
          <w:rFonts w:ascii="Arial" w:cs="Arial" w:eastAsia="Arial" w:hAnsi="Arial"/>
          <w:sz w:val="16"/>
          <w:szCs w:val="16"/>
          <w:color w:val="auto"/>
        </w:rPr>
        <w:t>The Company agrees, to the fullest extent permitted by applicable law (including with respect to any applicable fiduciary duties under Delaware law), to take all Necessary Action to effectuate the above by; (A) including the persons designated pursuant to this Section 2.01 in the slate of nominees recommended by the Board for election at any meeting of stockholders called for the purpose of electing Directors, (B) nominating and recommending each such individual to be elected as a Director as provided herein, (C) soliciting proxies or consents in favor thereof, and (D) without limiting the foregoing, otherwise using its reasonable best efforts to cause such nominees to be elected to the Board, including providing at least as high a level of support for the election of such nominees as it provides to any other individual standing for election as a Director.</w:t>
      </w:r>
    </w:p>
    <w:p>
      <w:pPr>
        <w:spacing w:after="0" w:line="56" w:lineRule="exact"/>
        <w:rPr>
          <w:rFonts w:ascii="Arial" w:cs="Arial" w:eastAsia="Arial" w:hAnsi="Arial"/>
          <w:sz w:val="16"/>
          <w:szCs w:val="16"/>
          <w:color w:val="auto"/>
        </w:rPr>
      </w:pPr>
    </w:p>
    <w:p>
      <w:pPr>
        <w:ind w:right="20" w:firstLine="444"/>
        <w:spacing w:after="0" w:line="257" w:lineRule="auto"/>
        <w:tabs>
          <w:tab w:leader="none" w:pos="66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At any time the number of Directors that the Stockholder is entitled to designate pursuant to this Section 2.01 is less than the number of Stockholder Designees on the Board, the Stockholder shall cause the required number of Directors to resign from the Board or not stand for reelection on or prior to the Company’s next general meeting of shareholders at which Directors of the Company are to be elected, and any vacancies resulting from such resignation shall be filled by the Board in accordance with the Governing Documents, the rules of the U.S. Securities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the rules of the Exchange then in effect.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607" w:name="page608"/>
    <w:bookmarkEnd w:id="607"/>
    <w:p>
      <w:pPr>
        <w:jc w:val="both"/>
        <w:ind w:right="180" w:firstLine="444"/>
        <w:spacing w:after="0" w:line="264" w:lineRule="auto"/>
        <w:tabs>
          <w:tab w:leader="none" w:pos="696" w:val="left"/>
        </w:tabs>
        <w:numPr>
          <w:ilvl w:val="0"/>
          <w:numId w:val="5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the rights granted to the Stockholder to designate members of the Board are additive to, and not intended to limit in any way, the rights that the Stockholder or any of its Affiliates may have to nominate, elect or remove directors under the Governing Documents or the Delaware General Corporation Law.</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Removal.</w:t>
      </w:r>
      <w:r>
        <w:rPr>
          <w:rFonts w:ascii="Arial" w:cs="Arial" w:eastAsia="Arial" w:hAnsi="Arial"/>
          <w:sz w:val="18"/>
          <w:szCs w:val="18"/>
          <w:color w:val="auto"/>
        </w:rPr>
        <w:t xml:space="preserve"> So long as a Stockholder is entitled to designate one or more nominees pursuant to Section 2.01 such Stockholder shall have the right to remove any such director (with or without cause), from time to time and at any time, from the Board, exercisable upon written notice to the Company, and the Company shall take all Necessary Action to cause such removal.</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Vacancies</w:t>
      </w:r>
      <w:r>
        <w:rPr>
          <w:rFonts w:ascii="Arial" w:cs="Arial" w:eastAsia="Arial" w:hAnsi="Arial"/>
          <w:sz w:val="16"/>
          <w:szCs w:val="16"/>
          <w:color w:val="auto"/>
        </w:rPr>
        <w:t xml:space="preserve">. In the event that a vacancy is created on the Board at any time by the death, disability, resignation or removal (whether by the Stockholder or otherwise in accordance with the Governing Documents, as either may be amended or restated from time to time) of a Stockholder Designee, the Stockholder entitled to appoint such Stockholder Designee shall be entitled to designate an individual to fill the vacancy so long as the total number of persons that will serve on the Board as designees of such Stockholders immediately following the filling of such vacancy will not exceed the total number of persons such Stockholder is entitled to designate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on the date of such replacement designation. The Company and the Stockholder shall take all Necessary Action to cause such replacement designee to become a member of the Board.</w:t>
      </w:r>
    </w:p>
    <w:p>
      <w:pPr>
        <w:spacing w:after="0" w:line="165"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Subject to the provisions of this Section 2.03, the Board may nominate additional Directors to the Board, or fill any vacancy on the Board, pursuant to the terms of the Governing Documents.</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Board Expenses.</w:t>
      </w:r>
      <w:r>
        <w:rPr>
          <w:rFonts w:ascii="Arial" w:cs="Arial" w:eastAsia="Arial" w:hAnsi="Arial"/>
          <w:sz w:val="18"/>
          <w:szCs w:val="18"/>
          <w:color w:val="auto"/>
        </w:rPr>
        <w:t xml:space="preserve"> The Company shall pay all reasonable out-of-pocket expenses incurred by each Director in connection with attending regular and special meetings of the Board and any committee thereof, and any such meetings of the board of directors of any Subsidiary of the Company and any committee thereof.</w:t>
      </w:r>
    </w:p>
    <w:p>
      <w:pPr>
        <w:spacing w:after="0" w:line="18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Board Committees</w:t>
      </w:r>
      <w:r>
        <w:rPr>
          <w:rFonts w:ascii="Arial" w:cs="Arial" w:eastAsia="Arial" w:hAnsi="Arial"/>
          <w:sz w:val="16"/>
          <w:szCs w:val="16"/>
          <w:color w:val="auto"/>
        </w:rPr>
        <w:t>. As of the IPO Date, the Board has designated each of the following committees: a Compensation, Nominating and Corporate Governance Committee and an Audit Committee. For so long as the Stockholder has the right to designate one (1) Stockholder Designee pursuant to Section 2.01, the Stockholder shall have the right, but not the obligation, to designate the members of each committee of the Board pursuant to the formula outlined in Section 2.01(b) hereof; provided that the right of any Stockholder Designee to serve on a committee shall be subject to applicable Law and the Company’s obligation to comply with any applicable independence requirements of the Exchange.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608" w:name="page609"/>
    <w:bookmarkEnd w:id="60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w:t>
      </w:r>
      <w:r>
        <w:rPr>
          <w:rFonts w:ascii="Arial" w:cs="Arial" w:eastAsia="Arial" w:hAnsi="Arial"/>
          <w:sz w:val="18"/>
          <w:szCs w:val="18"/>
          <w:color w:val="auto"/>
        </w:rPr>
        <w:t xml:space="preserve"> C</w:t>
      </w:r>
      <w:r>
        <w:rPr>
          <w:rFonts w:ascii="Arial" w:cs="Arial" w:eastAsia="Arial" w:hAnsi="Arial"/>
          <w:sz w:val="15"/>
          <w:szCs w:val="15"/>
          <w:color w:val="auto"/>
        </w:rPr>
        <w:t>OVENANTS AND</w:t>
      </w:r>
      <w:r>
        <w:rPr>
          <w:rFonts w:ascii="Arial" w:cs="Arial" w:eastAsia="Arial" w:hAnsi="Arial"/>
          <w:sz w:val="18"/>
          <w:szCs w:val="18"/>
          <w:color w:val="auto"/>
        </w:rPr>
        <w:t xml:space="preserve"> A</w:t>
      </w:r>
      <w:r>
        <w:rPr>
          <w:rFonts w:ascii="Arial" w:cs="Arial" w:eastAsia="Arial" w:hAnsi="Arial"/>
          <w:sz w:val="15"/>
          <w:szCs w:val="15"/>
          <w:color w:val="auto"/>
        </w:rPr>
        <w:t>GREEMENTS</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Access; Information</w:t>
      </w:r>
      <w:r>
        <w:rPr>
          <w:rFonts w:ascii="Arial" w:cs="Arial" w:eastAsia="Arial" w:hAnsi="Arial"/>
          <w:sz w:val="17"/>
          <w:szCs w:val="17"/>
          <w:color w:val="auto"/>
        </w:rPr>
        <w:t xml:space="preserve">. For so long as the Stockholder’s Aggregate Ownership of Shares (as determined on a Common Equivalents Basis) continues to be at least 5% of Shares (as determined on a Common Equivalents Basis), the Company shall, and shall cause its Subsidiaries to, permit the Stockholder, and its designated representatives,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disclose any privileged information of the Company so long as the Company has used its best efforts to provide such information to the Stockholder, as applicable, without the loss of any such privilege, and notified the Stockholder that such information has not been provided.</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Confidentiality</w:t>
      </w:r>
      <w:r>
        <w:rPr>
          <w:rFonts w:ascii="Arial" w:cs="Arial" w:eastAsia="Arial" w:hAnsi="Arial"/>
          <w:sz w:val="18"/>
          <w:szCs w:val="18"/>
          <w:color w:val="auto"/>
        </w:rPr>
        <w:t>. (a) The Stockholder agrees that Confidential Information furnished and to be furnished to it has been and may in the future be made available in connection with the Stockholder’s investment in the Company. The Stockholder agrees that it shall use, and that it shall cause any Person to whom Confidential Information is disclosed pursuant to clause (i) below to use, the Confidential Information only in connection with its investment in the Company and not for any other purpose (including to disadvantage competitively the Company, any of its Affiliates or any other Stockholder). The Stockholder further acknowledges and agrees that it shall not disclose any Confidential Information to any Person, except that Confidential Information may be disclosed:</w:t>
      </w:r>
    </w:p>
    <w:p>
      <w:pPr>
        <w:spacing w:after="0" w:line="85" w:lineRule="exact"/>
        <w:rPr>
          <w:sz w:val="20"/>
          <w:szCs w:val="20"/>
          <w:color w:val="auto"/>
        </w:rPr>
      </w:pPr>
    </w:p>
    <w:p>
      <w:pPr>
        <w:ind w:left="440" w:right="340" w:firstLine="428"/>
        <w:spacing w:after="0" w:line="277" w:lineRule="auto"/>
        <w:tabs>
          <w:tab w:leader="none" w:pos="107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such Stockholder’s Representatives in the normal course of the performance of their duties or to any financial institution providing credit to such Stockholder;</w:t>
      </w:r>
    </w:p>
    <w:p>
      <w:pPr>
        <w:spacing w:after="0" w:line="62" w:lineRule="exact"/>
        <w:rPr>
          <w:rFonts w:ascii="Arial" w:cs="Arial" w:eastAsia="Arial" w:hAnsi="Arial"/>
          <w:sz w:val="18"/>
          <w:szCs w:val="18"/>
          <w:color w:val="auto"/>
        </w:rPr>
      </w:pPr>
    </w:p>
    <w:p>
      <w:pPr>
        <w:ind w:left="1140" w:hanging="272"/>
        <w:spacing w:after="0"/>
        <w:tabs>
          <w:tab w:leader="none" w:pos="11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such information becomes known to the public through no fault of such Stockholder;</w:t>
      </w:r>
    </w:p>
    <w:p>
      <w:pPr>
        <w:spacing w:after="0" w:line="117" w:lineRule="exact"/>
        <w:rPr>
          <w:rFonts w:ascii="Arial" w:cs="Arial" w:eastAsia="Arial" w:hAnsi="Arial"/>
          <w:sz w:val="18"/>
          <w:szCs w:val="18"/>
          <w:color w:val="auto"/>
        </w:rPr>
      </w:pPr>
    </w:p>
    <w:p>
      <w:pPr>
        <w:ind w:left="440" w:right="80" w:firstLine="428"/>
        <w:spacing w:after="0" w:line="264" w:lineRule="auto"/>
        <w:tabs>
          <w:tab w:leader="none" w:pos="117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any Person to whom such Stockholder is contemplating a Transfer of its Company Securities; provided, that such Transfer would not be in violation of the provisions of this Agreement and such potential Transferee is advised of the confidential nature of such information and agrees to be bound by a confidentiality agreement consistent with the provisions hereof;</w:t>
      </w:r>
    </w:p>
    <w:p>
      <w:pPr>
        <w:spacing w:after="0" w:line="73" w:lineRule="exact"/>
        <w:rPr>
          <w:rFonts w:ascii="Arial" w:cs="Arial" w:eastAsia="Arial" w:hAnsi="Arial"/>
          <w:sz w:val="18"/>
          <w:szCs w:val="18"/>
          <w:color w:val="auto"/>
        </w:rPr>
      </w:pPr>
    </w:p>
    <w:p>
      <w:pPr>
        <w:ind w:left="440" w:right="160" w:firstLine="428"/>
        <w:spacing w:after="0" w:line="276" w:lineRule="auto"/>
        <w:tabs>
          <w:tab w:leader="none" w:pos="1168" w:val="left"/>
        </w:tabs>
        <w:numPr>
          <w:ilvl w:val="0"/>
          <w:numId w:val="536"/>
        </w:numPr>
        <w:rPr>
          <w:rFonts w:ascii="Arial" w:cs="Arial" w:eastAsia="Arial" w:hAnsi="Arial"/>
          <w:sz w:val="17"/>
          <w:szCs w:val="17"/>
          <w:color w:val="auto"/>
        </w:rPr>
      </w:pPr>
      <w:r>
        <w:rPr>
          <w:rFonts w:ascii="Arial" w:cs="Arial" w:eastAsia="Arial" w:hAnsi="Arial"/>
          <w:sz w:val="17"/>
          <w:szCs w:val="17"/>
          <w:color w:val="auto"/>
        </w:rPr>
        <w:t xml:space="preserve">to the extent required by applicable law, rule or regulation (including complying with any oral or written questions, interrogatories, requests for information or documents, subpoena, civil investigative demand or similar process to which a Stockholder is subject;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Stockholder agrees to give the Company prompt notice of such request(s), to the extent practicable, so that the Company may seek an appropriate protective order or similar relief (and the Stockholder shall cooperate with such efforts by the Company, and shall in any event make only the minimum disclosure required by such law, rule or regulation));</w:t>
      </w:r>
    </w:p>
    <w:p>
      <w:pPr>
        <w:spacing w:after="0" w:line="64" w:lineRule="exact"/>
        <w:rPr>
          <w:rFonts w:ascii="Arial" w:cs="Arial" w:eastAsia="Arial" w:hAnsi="Arial"/>
          <w:sz w:val="17"/>
          <w:szCs w:val="17"/>
          <w:color w:val="auto"/>
        </w:rPr>
      </w:pPr>
    </w:p>
    <w:p>
      <w:pPr>
        <w:ind w:left="440" w:right="180" w:firstLine="428"/>
        <w:spacing w:after="0" w:line="277" w:lineRule="auto"/>
        <w:tabs>
          <w:tab w:leader="none" w:pos="111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such information was available or becomes available to such Stockholder before, on or after the date hereof, without restriction, from a source (other than the Company) without any breach of duty to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609" w:name="page610"/>
    <w:bookmarkEnd w:id="609"/>
    <w:p>
      <w:pPr>
        <w:ind w:left="440" w:right="400" w:firstLine="428"/>
        <w:spacing w:after="0" w:line="277" w:lineRule="auto"/>
        <w:tabs>
          <w:tab w:leader="none" w:pos="1168" w:val="left"/>
        </w:tabs>
        <w:numPr>
          <w:ilvl w:val="0"/>
          <w:numId w:val="5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any regulatory authority to which the Stockholder or any of its Affiliates is subject;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authority is advised of the confidential nature of such information;</w:t>
      </w:r>
    </w:p>
    <w:p>
      <w:pPr>
        <w:spacing w:after="0" w:line="62" w:lineRule="exact"/>
        <w:rPr>
          <w:rFonts w:ascii="Arial" w:cs="Arial" w:eastAsia="Arial" w:hAnsi="Arial"/>
          <w:sz w:val="18"/>
          <w:szCs w:val="18"/>
          <w:color w:val="auto"/>
        </w:rPr>
      </w:pPr>
    </w:p>
    <w:p>
      <w:pPr>
        <w:ind w:left="440" w:right="180" w:firstLine="428"/>
        <w:spacing w:after="0" w:line="255" w:lineRule="auto"/>
        <w:tabs>
          <w:tab w:leader="none" w:pos="1218"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to the extent related to the tax treatment and tax structure of the transactions contemplated by this Agreement and in connection with the IPO (including all materials of any kind, such as opinions or other tax analyses that the Company, its Affiliates or its Representatives have provided to such Stockholder relating to such tax treatment and tax structure);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does not constitute an authorization to disclose the identity of any existing or future party to the transactions contemplated by this Agreement and in connection with the IPO or their Affiliates or Representatives, or, except to the extent relating to such tax structure or tax treatment, any specific pricing terms or commercial or financial information;</w:t>
      </w:r>
    </w:p>
    <w:p>
      <w:pPr>
        <w:spacing w:after="0" w:line="85" w:lineRule="exact"/>
        <w:rPr>
          <w:rFonts w:ascii="Arial" w:cs="Arial" w:eastAsia="Arial" w:hAnsi="Arial"/>
          <w:sz w:val="18"/>
          <w:szCs w:val="18"/>
          <w:color w:val="auto"/>
        </w:rPr>
      </w:pPr>
    </w:p>
    <w:p>
      <w:pPr>
        <w:ind w:left="1280" w:hanging="412"/>
        <w:spacing w:after="0"/>
        <w:tabs>
          <w:tab w:leader="none" w:pos="128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to the extent required for the Stockholder to comply with tax or financial reporting requirements or audit of financial statements;</w:t>
      </w:r>
    </w:p>
    <w:p>
      <w:pPr>
        <w:spacing w:after="0" w:line="128" w:lineRule="exact"/>
        <w:rPr>
          <w:rFonts w:ascii="Arial" w:cs="Arial" w:eastAsia="Arial" w:hAnsi="Arial"/>
          <w:sz w:val="17"/>
          <w:szCs w:val="17"/>
          <w:color w:val="auto"/>
        </w:rPr>
      </w:pPr>
    </w:p>
    <w:p>
      <w:pPr>
        <w:ind w:left="1180" w:hanging="312"/>
        <w:spacing w:after="0"/>
        <w:tabs>
          <w:tab w:leader="none" w:pos="11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to the extent required in connection with the Stockholder’s insurance policies; or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the prior written consent of the Board shall have been obtained.</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Nothing contained herein shall prevent the use (subject, to the extent possible, to a protective order) of Confidential Information in connection with the assertion or defense of any claim by or against the Company or any Stockholder.</w:t>
      </w:r>
    </w:p>
    <w:p>
      <w:pPr>
        <w:spacing w:after="0" w:line="58" w:lineRule="exact"/>
        <w:rPr>
          <w:sz w:val="20"/>
          <w:szCs w:val="20"/>
          <w:color w:val="auto"/>
        </w:rPr>
      </w:pPr>
    </w:p>
    <w:p>
      <w:pPr>
        <w:ind w:firstLine="444"/>
        <w:spacing w:after="0" w:line="287" w:lineRule="auto"/>
        <w:tabs>
          <w:tab w:leader="none" w:pos="696" w:val="left"/>
        </w:tabs>
        <w:numPr>
          <w:ilvl w:val="0"/>
          <w:numId w:val="5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any information concerning the Company or any Persons that are or become its Subsidiaries (including trade secrets, pricing data, employee information, customer information, cost information, supplier information, financial and tax matters, third-party contract terms, inventions, know-how, processes, methods, models, technical information, schedules, code, ideas, concepts, data, software and business plans (regardless of whether such information is identified as confidential)) or the financial condition, business, operations or prospects of the Company or any such Persons in the possession of or furnished to any Stockholder (including by virtue of its present or former right to designate a director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“Confidential Information” does not include information that (i) is or becomes generally available to the public other than as a result of a disclosure by a Stockholder or its directors, officers, employees, stockholders, members, partners, agents, counsel, investment advisers or other representatives (all such persons being collectively referred to as “</w:t>
      </w:r>
      <w:r>
        <w:rPr>
          <w:rFonts w:ascii="Arial" w:cs="Arial" w:eastAsia="Arial" w:hAnsi="Arial"/>
          <w:sz w:val="16"/>
          <w:szCs w:val="16"/>
          <w:b w:val="1"/>
          <w:bCs w:val="1"/>
          <w:color w:val="auto"/>
        </w:rPr>
        <w:t>Representatives</w:t>
      </w:r>
      <w:r>
        <w:rPr>
          <w:rFonts w:ascii="Arial" w:cs="Arial" w:eastAsia="Arial" w:hAnsi="Arial"/>
          <w:sz w:val="16"/>
          <w:szCs w:val="16"/>
          <w:color w:val="auto"/>
        </w:rPr>
        <w:t>”) in violation of this Agreement, (ii) was available to such Stockholder on a non-confidential basis prior to its disclosure to such Stockholder or its Representatives by the Company, (iii) becomes available to such Stockholder on a non-confidential basis from a source other than the Company after the disclosure of such information to such Stockholder or its Representatives by the Company, which source is (at the time of receipt of the relevant information) not, to the best of such Stockholder’s knowledge, bound by a confidentiality agreement with (or other confidentiality obligation to) the Company or another Person or (iv) is independently developed by such Stockholder without violating any confidentiality agreement with, or other obligation of secrecy to,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5" w:right="439" w:bottom="1440" w:gutter="0" w:footer="0" w:header="0"/>
        </w:sectPr>
      </w:pPr>
    </w:p>
    <w:bookmarkStart w:id="610" w:name="page611"/>
    <w:bookmarkEnd w:id="610"/>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8"/>
          <w:szCs w:val="18"/>
          <w:i w:val="1"/>
          <w:iCs w:val="1"/>
          <w:color w:val="auto"/>
        </w:rPr>
        <w:t>Conflicting Agreements</w:t>
      </w:r>
      <w:r>
        <w:rPr>
          <w:rFonts w:ascii="Arial" w:cs="Arial" w:eastAsia="Arial" w:hAnsi="Arial"/>
          <w:sz w:val="18"/>
          <w:szCs w:val="18"/>
          <w:color w:val="auto"/>
        </w:rPr>
        <w:t>. The Company and the Stockholder represents and agrees that it shall not grant any proxy or enter into or agree to be bound by any voting trust or agreement with respect to the Company Securities, or enter into any agreement or arrangement of any kind with any Person with respect to any Company Securities, in each case that is inconsistent with the provisions of this Agreement or for the purpose or with the effect of denying or reducing the rights of any other Stockholder under this Agreement.</w:t>
      </w:r>
    </w:p>
    <w:p>
      <w:pPr>
        <w:spacing w:after="0" w:line="18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Section 3.04</w:t>
      </w:r>
      <w:r>
        <w:rPr>
          <w:rFonts w:ascii="Arial" w:cs="Arial" w:eastAsia="Arial" w:hAnsi="Arial"/>
          <w:sz w:val="16"/>
          <w:szCs w:val="16"/>
          <w:i w:val="1"/>
          <w:iCs w:val="1"/>
          <w:color w:val="auto"/>
        </w:rPr>
        <w:t>. Corporate Opportunities.</w:t>
      </w:r>
      <w:r>
        <w:rPr>
          <w:rFonts w:ascii="Arial" w:cs="Arial" w:eastAsia="Arial" w:hAnsi="Arial"/>
          <w:sz w:val="16"/>
          <w:szCs w:val="16"/>
          <w:color w:val="auto"/>
        </w:rPr>
        <w:t xml:space="preserve"> To the fullest extent permitted by applicable law, the Company, on behalf of itself and its Subsidiaries, waives and renounces any right, interest or expectancy of the Company and/or its Subsidiaries in, or in being offered an opportunity to participate in, business opportunities that are from time to time presented to or business opportunities of which the Stockholder or any of its officers, directors, agents, shareholders, members, partners, Affiliates and Subsidiaries (other than the Company and its Subsidiaries) (each, a “</w:t>
      </w:r>
      <w:r>
        <w:rPr>
          <w:rFonts w:ascii="Arial" w:cs="Arial" w:eastAsia="Arial" w:hAnsi="Arial"/>
          <w:sz w:val="16"/>
          <w:szCs w:val="16"/>
          <w:b w:val="1"/>
          <w:bCs w:val="1"/>
          <w:color w:val="auto"/>
        </w:rPr>
        <w:t>Specified Party</w:t>
      </w:r>
      <w:r>
        <w:rPr>
          <w:rFonts w:ascii="Arial" w:cs="Arial" w:eastAsia="Arial" w:hAnsi="Arial"/>
          <w:sz w:val="16"/>
          <w:szCs w:val="16"/>
          <w:color w:val="auto"/>
        </w:rPr>
        <w:t>”) gain knowledge, even if the opportunity is competitive with the business of the Company or its Subsidiaries or one that the Company or its Subsidiaries might reasonably be deemed to have pursued or had the ability or desire to pursue if granted the opportunity to do so and each such Specified Party shall have no duty (statutory, fiduciary, contractual or otherwise) to communicate or offer such business opportunity to the Company and, to the fullest extent permitted by applicable law, shall not be liable to the Company or any of its Subsidiaries for breach of any statutory, fiduciary, contractual or other duty, as a director or otherwise, by reason of the fact that such Specified Party pursues or acquires such business opportunity, directs such business opportunity to another person or fails to present or communicate such business opportunity, or information regarding such business opportunity, to the Company or its Subsidiaries. Notwithstanding anything in this Section 3.04 to the contrary, a Specified Party who is a director of the Company and who is offered a business opportunity for the Company or its Subsidiaries in his or her capacity solely as a director of the Company (a “</w:t>
      </w:r>
      <w:r>
        <w:rPr>
          <w:rFonts w:ascii="Arial" w:cs="Arial" w:eastAsia="Arial" w:hAnsi="Arial"/>
          <w:sz w:val="16"/>
          <w:szCs w:val="16"/>
          <w:b w:val="1"/>
          <w:bCs w:val="1"/>
          <w:color w:val="auto"/>
        </w:rPr>
        <w:t>Directed Opportunity</w:t>
      </w:r>
      <w:r>
        <w:rPr>
          <w:rFonts w:ascii="Arial" w:cs="Arial" w:eastAsia="Arial" w:hAnsi="Arial"/>
          <w:sz w:val="16"/>
          <w:szCs w:val="16"/>
          <w:color w:val="auto"/>
        </w:rPr>
        <w:t xml:space="preserve">”) shall be obligated to communicate such Directed Opportunity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all of the protections of this Section 3.04 shall otherwise apply to the Specified Parties with respect to such Directed Opportunity, including the ability of the Specified Parties to pursue or acquire such Directed Opportunity, directly or indirectly, or to direct such Directed Opportunity to another person.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Binding Effect; Assignability; Benefit.</w:t>
      </w:r>
      <w:r>
        <w:rPr>
          <w:rFonts w:ascii="Arial" w:cs="Arial" w:eastAsia="Arial" w:hAnsi="Arial"/>
          <w:sz w:val="18"/>
          <w:szCs w:val="18"/>
          <w:color w:val="auto"/>
        </w:rPr>
        <w:t xml:space="preserve"> (a) Except as otherwise provided herein, this Agreement shall inure to the benefit of and be binding upon the parties hereto and with respect to the Stockholder, those of its Permitted Assigns to whom the Stockholder has assigned or transferred all or part of this Agreement. Any Stockholder that ceases to Beneficially Own any Company Securities shall cease to be bound by the terms hereof (other than Sections 3.02, 4.02, 4.05, 4.06, 4.07, 4.08, 4.10 and 4.11).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611" w:name="page612"/>
    <w:bookmarkEnd w:id="611"/>
    <w:p>
      <w:pPr>
        <w:ind w:firstLine="444"/>
        <w:spacing w:after="0" w:line="302" w:lineRule="auto"/>
        <w:tabs>
          <w:tab w:leader="none" w:pos="696" w:val="left"/>
        </w:tabs>
        <w:numPr>
          <w:ilvl w:val="0"/>
          <w:numId w:val="5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Neither the Company nor the Stockholder shall assign or transfer all or any part of this Agreement without the prior written consent of the other parties hereto; provided, however, that the Stockholder shall be entitled to assign, in whole or in part, to any of its Permitted Assigns without such prior written consent. Any such Permitted Assignee that shall become a party to this Agreement shall (unless already bound hereby) execute and deliver to the Company an agreement to be bound by this Agreement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shall thenceforth be a “Stockholder.”</w:t>
      </w:r>
    </w:p>
    <w:p>
      <w:pPr>
        <w:spacing w:after="0" w:line="46" w:lineRule="exact"/>
        <w:rPr>
          <w:rFonts w:ascii="Arial" w:cs="Arial" w:eastAsia="Arial" w:hAnsi="Arial"/>
          <w:sz w:val="16"/>
          <w:szCs w:val="16"/>
          <w:color w:val="auto"/>
        </w:rPr>
      </w:pPr>
    </w:p>
    <w:p>
      <w:pPr>
        <w:ind w:right="160" w:firstLine="444"/>
        <w:spacing w:after="0" w:line="264" w:lineRule="auto"/>
        <w:tabs>
          <w:tab w:leader="none" w:pos="68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Nothing in this Agreement, expressed or implied, is intended to confer on any Person other than the parties hereto, and in the case of the Stockholder, any of its Permitted Assigns, and, in the case of the Company, any of its permitted assigns, any rights, remedies, obligations or liabilities under or by reason of this Agreement.</w:t>
      </w:r>
    </w:p>
    <w:p>
      <w:pPr>
        <w:spacing w:after="0" w:line="181"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Notices</w:t>
      </w:r>
      <w:r>
        <w:rPr>
          <w:rFonts w:ascii="Arial" w:cs="Arial" w:eastAsia="Arial" w:hAnsi="Arial"/>
          <w:sz w:val="16"/>
          <w:szCs w:val="16"/>
          <w:color w:val="auto"/>
        </w:rPr>
        <w:t>. All notices, requests and other communications to any party shall be in writing and shall be delivered in person, mailed by certified or registered mail, return receipt requested, or sent by email transmission so long as receipt of such email is requested and received: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Illinois 60045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David Watson,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David.Watson@ReynoldsBrands.com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Stockholder,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 Rank Group Limited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Floor 9, 148 Quay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Auckland, 1010 New Zealand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Helen Golding, Group Legal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Helen.Golding@rankgroup.co.nz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Byron B. Rooney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(212) 701-5800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Byron.Rooney@davispolk.com</w:t>
      </w:r>
    </w:p>
    <w:p>
      <w:pPr>
        <w:spacing w:after="0" w:line="21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612" w:name="page613"/>
    <w:bookmarkEnd w:id="6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Permitted Assignee that becomes a Stockholder shall provide its address, fax number and email address to the Company.</w:t>
      </w:r>
    </w:p>
    <w:p>
      <w:pPr>
        <w:spacing w:after="0" w:line="22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Term; Waiver; Amendment</w:t>
      </w:r>
      <w:r>
        <w:rPr>
          <w:rFonts w:ascii="Arial" w:cs="Arial" w:eastAsia="Arial" w:hAnsi="Arial"/>
          <w:sz w:val="18"/>
          <w:szCs w:val="18"/>
          <w:color w:val="auto"/>
        </w:rPr>
        <w:t>. (a) This Agreement shall terminate as it relates to a Stockholder on the earlier to occur of: (i) such Stockholder ceases to Beneficially Own any Company Securities, and (ii) upon the delivery of a written notice by such Stockholder to the Company requesting that this Agreement terminate as it relates to such Stockholder (in each case, other than Sections 3.02, 4.02, 4.05, 4.06, 4.07, 4.08, 4.10 and 4.11)</w:t>
      </w:r>
    </w:p>
    <w:p>
      <w:pPr>
        <w:spacing w:after="0" w:line="79" w:lineRule="exact"/>
        <w:rPr>
          <w:sz w:val="20"/>
          <w:szCs w:val="20"/>
          <w:color w:val="auto"/>
        </w:rPr>
      </w:pPr>
    </w:p>
    <w:p>
      <w:pPr>
        <w:ind w:right="120" w:firstLine="444"/>
        <w:spacing w:after="0" w:line="297" w:lineRule="auto"/>
        <w:tabs>
          <w:tab w:leader="none" w:pos="696"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this Agreement may be amended, waived or otherwise modified only by a written instrument executed by the parties hereto. In addition, any party may waive any provision of this Agreement with respect to itself by an instrument in writing executed by the party against whom the waiver is to be effective. Except as provided in the preceding sentences, no action taken pursuant to this Agreement, including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15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Fees and Expenses</w:t>
      </w:r>
      <w:r>
        <w:rPr>
          <w:rFonts w:ascii="Arial" w:cs="Arial" w:eastAsia="Arial" w:hAnsi="Arial"/>
          <w:sz w:val="18"/>
          <w:szCs w:val="18"/>
          <w:color w:val="auto"/>
        </w:rPr>
        <w:t>. All costs and expenses incurred in connection with the preparation of this Agreement, or any amendment or waiver hereof, and the transactions contemplated hereby shall be paid by the party incurring such costs or expenses.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 without regard to the conflicts of laws rules of such state.</w:t>
      </w:r>
    </w:p>
    <w:p>
      <w:pPr>
        <w:spacing w:after="0" w:line="170"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Jurisdiction</w:t>
      </w:r>
      <w:r>
        <w:rPr>
          <w:rFonts w:ascii="Arial" w:cs="Arial" w:eastAsia="Arial" w:hAnsi="Arial"/>
          <w:sz w:val="16"/>
          <w:szCs w:val="16"/>
          <w:color w:val="auto"/>
        </w:rPr>
        <w:t>.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so long as one of such courts shall have subject matter jurisdiction over such suit, action or proceeding,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4.02 shall be deemed effective service of process on such party.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5" w:right="459" w:bottom="1440" w:gutter="0" w:footer="0" w:header="0"/>
        </w:sectPr>
      </w:pPr>
    </w:p>
    <w:bookmarkStart w:id="613" w:name="page614"/>
    <w:bookmarkEnd w:id="613"/>
    <w:p>
      <w:pPr>
        <w:jc w:val="both"/>
        <w:ind w:right="2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i w:val="1"/>
          <w:iCs w:val="1"/>
          <w:color w:val="auto"/>
        </w:rPr>
        <w:t>Specific Enforcement</w:t>
      </w:r>
      <w:r>
        <w:rPr>
          <w:rFonts w:ascii="Arial" w:cs="Arial" w:eastAsia="Arial" w:hAnsi="Arial"/>
          <w:sz w:val="17"/>
          <w:szCs w:val="17"/>
          <w:color w:val="auto"/>
        </w:rPr>
        <w:t>.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i w:val="1"/>
          <w:iCs w:val="1"/>
          <w:color w:val="auto"/>
        </w:rPr>
        <w:t>Counterparts; Effectiveness</w:t>
      </w:r>
      <w:r>
        <w:rPr>
          <w:rFonts w:ascii="Arial" w:cs="Arial" w:eastAsia="Arial" w:hAnsi="Arial"/>
          <w:sz w:val="17"/>
          <w:szCs w:val="17"/>
          <w:color w:val="auto"/>
        </w:rPr>
        <w:t xml:space="preserve">. This Agreement may be executed in any number of counterparts, each of which shall be deemed to be an original, with the same effect as if the signatures thereto and hereto were upon the same instrument. This Agreement shall become effective upon completion of the IPO on the IPO Date; </w:t>
      </w:r>
      <w:r>
        <w:rPr>
          <w:rFonts w:ascii="Arial" w:cs="Arial" w:eastAsia="Arial" w:hAnsi="Arial"/>
          <w:sz w:val="17"/>
          <w:szCs w:val="17"/>
          <w:i w:val="1"/>
          <w:iCs w:val="1"/>
          <w:color w:val="auto"/>
        </w:rPr>
        <w:t>provided</w:t>
      </w:r>
      <w:r>
        <w:rPr>
          <w:rFonts w:ascii="Arial" w:cs="Arial" w:eastAsia="Arial" w:hAnsi="Arial"/>
          <w:sz w:val="17"/>
          <w:szCs w:val="17"/>
          <w:color w:val="auto"/>
        </w:rPr>
        <w:t>, that this Agreement shall be of no force and effect prior to the completion of the IPO.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7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and understandings between the parties with respect to such subject matter; provided, however, nothing in this Agreement shall supersede any other agreement or understanding entered into in connection with the IPO.</w:t>
      </w:r>
    </w:p>
    <w:p>
      <w:pPr>
        <w:spacing w:after="0" w:line="15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i w:val="1"/>
          <w:iCs w:val="1"/>
          <w:color w:val="auto"/>
        </w:rPr>
        <w:t>Severability</w:t>
      </w:r>
      <w:r>
        <w:rPr>
          <w:rFonts w:ascii="Arial" w:cs="Arial" w:eastAsia="Arial" w:hAnsi="Arial"/>
          <w:sz w:val="17"/>
          <w:szCs w:val="17"/>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614" w:name="page615"/>
    <w:bookmarkEnd w:id="61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THE COMPANY</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THE STOCKHOLDER</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PACKAGING FINANCE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4" w:right="519" w:bottom="1440" w:gutter="0" w:footer="0" w:header="0"/>
        </w:sectPr>
      </w:pPr>
    </w:p>
    <w:bookmarkStart w:id="615" w:name="page616"/>
    <w:bookmarkEnd w:id="6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JOINDER TO STOCKHOLDERS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b w:val="1"/>
          <w:bCs w:val="1"/>
          <w:color w:val="auto"/>
        </w:rPr>
        <w:t>Joinder Agreement</w:t>
      </w:r>
      <w:r>
        <w:rPr>
          <w:rFonts w:ascii="Arial" w:cs="Arial" w:eastAsia="Arial" w:hAnsi="Arial"/>
          <w:sz w:val="16"/>
          <w:szCs w:val="16"/>
          <w:color w:val="auto"/>
        </w:rPr>
        <w:t>”) is made as of the date written below by the undersigned (the “</w:t>
      </w:r>
      <w:r>
        <w:rPr>
          <w:rFonts w:ascii="Arial" w:cs="Arial" w:eastAsia="Arial" w:hAnsi="Arial"/>
          <w:sz w:val="16"/>
          <w:szCs w:val="16"/>
          <w:b w:val="1"/>
          <w:bCs w:val="1"/>
          <w:color w:val="auto"/>
        </w:rPr>
        <w:t>Joining Party</w:t>
      </w:r>
      <w:r>
        <w:rPr>
          <w:rFonts w:ascii="Arial" w:cs="Arial" w:eastAsia="Arial" w:hAnsi="Arial"/>
          <w:sz w:val="16"/>
          <w:szCs w:val="16"/>
          <w:color w:val="auto"/>
        </w:rPr>
        <w:t>”) in accordance</w:t>
      </w:r>
    </w:p>
    <w:p>
      <w:pPr>
        <w:spacing w:after="0" w:line="50"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with the Stockholders Agreement dated as of [</w:t>
      </w:r>
      <w:r>
        <w:rPr>
          <w:sz w:val="20"/>
          <w:szCs w:val="20"/>
          <w:color w:val="auto"/>
        </w:rPr>
        <w:tab/>
      </w:r>
      <w:r>
        <w:rPr>
          <w:rFonts w:ascii="Arial" w:cs="Arial" w:eastAsia="Arial" w:hAnsi="Arial"/>
          <w:sz w:val="16"/>
          <w:szCs w:val="16"/>
          <w:color w:val="auto"/>
        </w:rPr>
        <w:t>] (as amended, amended and restated or otherwise modified from time to time, the</w:t>
      </w:r>
    </w:p>
    <w:p>
      <w:pPr>
        <w:spacing w:after="0" w:line="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Agreement</w:t>
      </w:r>
      <w:r>
        <w:rPr>
          <w:rFonts w:ascii="Arial" w:cs="Arial" w:eastAsia="Arial" w:hAnsi="Arial"/>
          <w:sz w:val="18"/>
          <w:szCs w:val="18"/>
          <w:color w:val="auto"/>
        </w:rPr>
        <w:t>”), as the same may be amended from time to time. Capitalized terms used, but not defined, herein shall have the meaning ascribed to such terms in the Stockholders Agreement.</w:t>
      </w:r>
    </w:p>
    <w:p>
      <w:pPr>
        <w:spacing w:after="0" w:line="18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Stockholders Agreement as of the date hereof and shall have all of the rights and obligations of a “Stockholder” thereunder as if it had executed the Stockholders Agreement. The Joining Party hereby ratifies, as of the date hereof, and agrees to be bound by, all of the terms, provisions and conditions contained in the Stockholders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-10160</wp:posOffset>
            </wp:positionV>
            <wp:extent cx="111442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5"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 xml:space="preserve">TRANSITION SERVICES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2019, between</w:t>
      </w:r>
      <w:r>
        <w:rPr>
          <w:rFonts w:ascii="Arial" w:cs="Arial" w:eastAsia="Arial" w:hAnsi="Arial"/>
          <w:sz w:val="18"/>
          <w:szCs w:val="18"/>
          <w:b w:val="1"/>
          <w:bCs w:val="1"/>
          <w:color w:val="auto"/>
        </w:rPr>
        <w:t xml:space="preserve"> Rank Group Limited</w:t>
      </w:r>
      <w:r>
        <w:rPr>
          <w:rFonts w:ascii="Arial" w:cs="Arial" w:eastAsia="Arial" w:hAnsi="Arial"/>
          <w:sz w:val="18"/>
          <w:szCs w:val="18"/>
          <w:color w:val="auto"/>
        </w:rPr>
        <w:t>, a company organized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New Zealand (“</w:t>
      </w:r>
      <w:r>
        <w:rPr>
          <w:rFonts w:ascii="Arial" w:cs="Arial" w:eastAsia="Arial" w:hAnsi="Arial"/>
          <w:sz w:val="18"/>
          <w:szCs w:val="18"/>
          <w:u w:val="single" w:color="auto"/>
          <w:color w:val="auto"/>
        </w:rPr>
        <w:t>Rank</w:t>
      </w:r>
      <w:r>
        <w:rPr>
          <w:rFonts w:ascii="Arial" w:cs="Arial" w:eastAsia="Arial" w:hAnsi="Arial"/>
          <w:sz w:val="18"/>
          <w:szCs w:val="18"/>
          <w:color w:val="auto"/>
        </w:rPr>
        <w:t xml:space="preserve">”), and </w:t>
      </w:r>
      <w:r>
        <w:rPr>
          <w:rFonts w:ascii="Arial" w:cs="Arial" w:eastAsia="Arial" w:hAnsi="Arial"/>
          <w:sz w:val="18"/>
          <w:szCs w:val="18"/>
          <w:b w:val="1"/>
          <w:bCs w:val="1"/>
          <w:color w:val="auto"/>
        </w:rPr>
        <w:t>Reynolds Consumer Products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RCP</w:t>
      </w:r>
      <w:r>
        <w:rPr>
          <w:rFonts w:ascii="Arial" w:cs="Arial" w:eastAsia="Arial" w:hAnsi="Arial"/>
          <w:sz w:val="18"/>
          <w:szCs w:val="18"/>
          <w:color w:val="auto"/>
        </w:rPr>
        <w:t>”). Each Party or any of its Affiliates providing services hereunder shall be a “</w:t>
      </w:r>
      <w:r>
        <w:rPr>
          <w:rFonts w:ascii="Arial" w:cs="Arial" w:eastAsia="Arial" w:hAnsi="Arial"/>
          <w:sz w:val="18"/>
          <w:szCs w:val="18"/>
          <w:u w:val="single" w:color="auto"/>
          <w:color w:val="auto"/>
        </w:rPr>
        <w:t>Provider</w:t>
      </w:r>
      <w:r>
        <w:rPr>
          <w:rFonts w:ascii="Arial" w:cs="Arial" w:eastAsia="Arial" w:hAnsi="Arial"/>
          <w:sz w:val="18"/>
          <w:szCs w:val="18"/>
          <w:color w:val="auto"/>
        </w:rPr>
        <w:t>,” and each Party or any of its Affiliates receiving services hereunder shall be a “</w:t>
      </w:r>
      <w:r>
        <w:rPr>
          <w:rFonts w:ascii="Arial" w:cs="Arial" w:eastAsia="Arial" w:hAnsi="Arial"/>
          <w:sz w:val="18"/>
          <w:szCs w:val="18"/>
          <w:u w:val="single" w:color="auto"/>
          <w:color w:val="auto"/>
        </w:rPr>
        <w:t>Recipient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w:t>
      </w:r>
    </w:p>
    <w:p>
      <w:pPr>
        <w:spacing w:after="0" w:line="225" w:lineRule="exact"/>
        <w:rPr>
          <w:sz w:val="20"/>
          <w:szCs w:val="20"/>
          <w:color w:val="auto"/>
        </w:rPr>
      </w:pPr>
    </w:p>
    <w:p>
      <w:pPr>
        <w:ind w:right="80" w:firstLine="444"/>
        <w:spacing w:after="0" w:line="312" w:lineRule="auto"/>
        <w:tabs>
          <w:tab w:leader="none" w:pos="796" w:val="left"/>
        </w:tabs>
        <w:numPr>
          <w:ilvl w:val="0"/>
          <w:numId w:val="541"/>
        </w:numPr>
        <w:rPr>
          <w:rFonts w:ascii="Arial" w:cs="Arial" w:eastAsia="Arial" w:hAnsi="Arial"/>
          <w:sz w:val="16"/>
          <w:szCs w:val="16"/>
          <w:color w:val="auto"/>
        </w:rPr>
      </w:pPr>
      <w:r>
        <w:rPr>
          <w:rFonts w:ascii="Arial" w:cs="Arial" w:eastAsia="Arial" w:hAnsi="Arial"/>
          <w:sz w:val="16"/>
          <w:szCs w:val="16"/>
          <w:color w:val="auto"/>
        </w:rPr>
        <w:t>Prior to the Commencement Date, the Company was a wholly owned subsidiary of Reynolds Group Holdings Limited, a company organized under the laws of New Zealand (“</w:t>
      </w:r>
      <w:r>
        <w:rPr>
          <w:rFonts w:ascii="Arial" w:cs="Arial" w:eastAsia="Arial" w:hAnsi="Arial"/>
          <w:sz w:val="16"/>
          <w:szCs w:val="16"/>
          <w:u w:val="single" w:color="auto"/>
          <w:color w:val="auto"/>
        </w:rPr>
        <w:t>RGHL</w:t>
      </w:r>
      <w:r>
        <w:rPr>
          <w:rFonts w:ascii="Arial" w:cs="Arial" w:eastAsia="Arial" w:hAnsi="Arial"/>
          <w:sz w:val="16"/>
          <w:szCs w:val="16"/>
          <w:color w:val="auto"/>
        </w:rPr>
        <w:t>”) and a wholly owned Affiliate of Rank. Effective [</w:t>
      </w:r>
      <w:r>
        <w:rPr>
          <w:rFonts w:ascii="Arial" w:cs="Arial" w:eastAsia="Arial" w:hAnsi="Arial"/>
          <w:sz w:val="16"/>
          <w:szCs w:val="16"/>
          <w:i w:val="1"/>
          <w:iCs w:val="1"/>
          <w:color w:val="auto"/>
        </w:rPr>
        <w:t>insert IPO date</w:t>
      </w:r>
      <w:r>
        <w:rPr>
          <w:rFonts w:ascii="Arial" w:cs="Arial" w:eastAsia="Arial" w:hAnsi="Arial"/>
          <w:sz w:val="16"/>
          <w:szCs w:val="16"/>
          <w:color w:val="auto"/>
        </w:rPr>
        <w:t>]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RCP is undertaking an initial public offering of shares of common stock and thereafter the Company will no longer be a wholly owned affiliate of Rank.</w:t>
      </w:r>
    </w:p>
    <w:p>
      <w:pPr>
        <w:spacing w:after="0" w:line="146" w:lineRule="exact"/>
        <w:rPr>
          <w:rFonts w:ascii="Arial" w:cs="Arial" w:eastAsia="Arial" w:hAnsi="Arial"/>
          <w:sz w:val="16"/>
          <w:szCs w:val="16"/>
          <w:color w:val="auto"/>
        </w:rPr>
      </w:pPr>
    </w:p>
    <w:p>
      <w:pPr>
        <w:ind w:right="40" w:firstLine="444"/>
        <w:spacing w:after="0" w:line="277" w:lineRule="auto"/>
        <w:tabs>
          <w:tab w:leader="none" w:pos="786"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order to facilitate the separation of the Company and its Affiliates from Rank and its Affiliates, Rank will provide, or cause its Affiliates to provide, certain services to the Company and its Affiliates on the terms and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agree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195"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shall have the respective meanings set forth below throughout this Agreement:</w:t>
      </w:r>
    </w:p>
    <w:p>
      <w:pPr>
        <w:spacing w:after="0" w:line="117" w:lineRule="exact"/>
        <w:rPr>
          <w:sz w:val="20"/>
          <w:szCs w:val="20"/>
          <w:color w:val="auto"/>
        </w:rPr>
      </w:pPr>
    </w:p>
    <w:p>
      <w:pPr>
        <w:ind w:left="440" w:right="3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For the avoidance of doubt, for the purposes of this Agreement and all exhibits thereto, the term Affiliate shall not apply to the relationship between Rank or RGHL or either of their respective Affiliates on the one hand and RCP and its direct and indirect subsidiaries on the other hand.</w:t>
      </w:r>
    </w:p>
    <w:p>
      <w:pPr>
        <w:spacing w:after="0" w:line="70"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the average of the daily “prime rate” (expressed rate per annum)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for each of the days in the applicable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percent (2%).</w:t>
      </w:r>
    </w:p>
    <w:p>
      <w:pPr>
        <w:spacing w:after="0" w:line="62"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manufacture and sale of consumer products including cooking products, waste &amp; storage products, and tableware by the Company and activities ancillary thereto.</w:t>
      </w:r>
    </w:p>
    <w:p>
      <w:pPr>
        <w:spacing w:after="0" w:line="62" w:lineRule="exact"/>
        <w:rPr>
          <w:sz w:val="20"/>
          <w:szCs w:val="20"/>
          <w:color w:val="auto"/>
        </w:rPr>
      </w:pPr>
    </w:p>
    <w:p>
      <w:pPr>
        <w:ind w:left="440"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(i) a Saturday, (ii) a Sunday, or (iii) any other day on which commercial banks are authorized or required by law to be closed in the City of New York.</w:t>
      </w:r>
    </w:p>
    <w:p>
      <w:pPr>
        <w:sectPr>
          <w:pgSz w:w="11900" w:h="16838" w:orient="portrait"/>
          <w:cols w:equalWidth="0" w:num="1">
            <w:col w:w="11020"/>
          </w:cols>
          <w:pgMar w:left="440" w:top="122" w:right="4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information of a Party, its Affiliates, members, licensors, consultants, service providers, advisors or agents that is confidential or proprietary, however recorded or preserved, whether written or oral. Confidential Information includes trade secrets, pricing data, employee information, customer information, cost information, supplier information, financial and tax matters, third-party contract terms, inventions, know-how, processes, methods, models, technical information, schedules, code, ideas, concepts, data, software and business plans (regardless of whether such information is identified as confidential).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Negotiations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governmental or quasi-governmental entity of any nature (including any governmental agency, branch, department, official, or entity and any court or other tribunal) or (iii) body exercising, or entitled to exercise any administrative, executive, judicial, legislative, police, regulatory or taxing authority or power of any nature, including any arbitral tribunal.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 law, statute, order, ordinance, rule, regulation, judgment, injunction, order, or decree.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action, cease and desist letter, demand, suit, arbitration proceeding, administrative or regulatory proceeding, citation, summons or subpoena of any nature, civil, criminal, regulatory or otherwise, in law or in equity.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damages, liabilities, losses, obligations, claims of any kind, interest and expenses (including reasonable fees and expenses of attorneys).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Rank or the Company, as applicable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with respect to any Party, (i) the employees, officers and directors of such Party or its Affiliates or (ii) agents, accountants, attorneys, independent contractors and other third parties engaged by such Party or its Affiliates.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Provider</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Rank Guarantees</w:t>
      </w:r>
      <w:r>
        <w:rPr>
          <w:rFonts w:ascii="Arial" w:cs="Arial" w:eastAsia="Arial" w:hAnsi="Arial"/>
          <w:sz w:val="18"/>
          <w:szCs w:val="18"/>
          <w:color w:val="auto"/>
        </w:rPr>
        <w:t>” means all guarantees extended by Rank or RGHL or its Affiliates on behalf of the Company.</w:t>
      </w:r>
    </w:p>
    <w:p>
      <w:pPr>
        <w:sectPr>
          <w:pgSz w:w="11900" w:h="16838" w:orient="portrait"/>
          <w:cols w:equalWidth="0" w:num="1">
            <w:col w:w="10520"/>
          </w:cols>
          <w:pgMar w:left="880" w:top="274" w:right="499" w:bottom="1440" w:gutter="0" w:footer="0" w:header="0"/>
        </w:sectPr>
      </w:pPr>
    </w:p>
    <w:bookmarkStart w:id="618" w:name="page619"/>
    <w:bookmarkEnd w:id="618"/>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Rank Letters of Credit</w:t>
      </w:r>
      <w:r>
        <w:rPr>
          <w:rFonts w:ascii="Arial" w:cs="Arial" w:eastAsia="Arial" w:hAnsi="Arial"/>
          <w:sz w:val="18"/>
          <w:szCs w:val="18"/>
          <w:color w:val="auto"/>
        </w:rPr>
        <w:t>” means all letters of credit, performance bonds or other surety agreements that Rank or RGHL or its Affiliates have in place with respect to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Services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Incident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Regulations</w:t>
      </w:r>
      <w:r>
        <w:rPr>
          <w:rFonts w:ascii="Arial" w:cs="Arial" w:eastAsia="Arial" w:hAnsi="Arial"/>
          <w:sz w:val="16"/>
          <w:szCs w:val="16"/>
          <w:color w:val="auto"/>
        </w:rPr>
        <w:t>” means a Party’s and its Affiliates’ system security policies, procedures and requirements, as amended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Coordinator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Standard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the Transition Services, unless the context requires otherwise.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federal, state, local or foreign income, alternative, minimum, accumulated earnings, personal holding company, franchise, capital stock, profits, windfall profits, gross receipts, sales, use, value added, transfer, registration, stamp, premium, excise, customs duties, severance, environmental (including taxes under section 59A of the Code), real property, personal property, ad valorem, occupancy, license, occupation, employment, payroll, social security, disability, unemployment, workers’ compensation, withholding, estimated or other similar tax, duty, fee, assessment or other governmental charge or deficiencies thereof (including all interest and penalties thereon and additions thereto).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TSA 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SERVICES AND INTERNAL CONTROLS</w:t>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Services</w:t>
      </w:r>
      <w:r>
        <w:rPr>
          <w:rFonts w:ascii="Arial" w:cs="Arial" w:eastAsia="Arial" w:hAnsi="Arial"/>
          <w:sz w:val="15"/>
          <w:szCs w:val="15"/>
          <w:color w:val="auto"/>
        </w:rPr>
        <w:t>.</w:t>
      </w:r>
    </w:p>
    <w:p>
      <w:pPr>
        <w:spacing w:after="0" w:line="117" w:lineRule="exact"/>
        <w:rPr>
          <w:sz w:val="20"/>
          <w:szCs w:val="20"/>
          <w:color w:val="auto"/>
        </w:rPr>
      </w:pPr>
    </w:p>
    <w:p>
      <w:pPr>
        <w:jc w:val="both"/>
        <w:ind w:right="100" w:firstLine="428"/>
        <w:spacing w:after="0" w:line="276" w:lineRule="auto"/>
        <w:tabs>
          <w:tab w:leader="none" w:pos="803" w:val="left"/>
        </w:tabs>
        <w:numPr>
          <w:ilvl w:val="0"/>
          <w:numId w:val="542"/>
        </w:numPr>
        <w:rPr>
          <w:rFonts w:ascii="Arial" w:cs="Arial" w:eastAsia="Arial" w:hAnsi="Arial"/>
          <w:sz w:val="17"/>
          <w:szCs w:val="17"/>
          <w:color w:val="auto"/>
        </w:rPr>
      </w:pPr>
      <w:r>
        <w:rPr>
          <w:rFonts w:ascii="Arial" w:cs="Arial" w:eastAsia="Arial" w:hAnsi="Arial"/>
          <w:sz w:val="17"/>
          <w:szCs w:val="17"/>
          <w:color w:val="auto"/>
        </w:rPr>
        <w:t xml:space="preserve">During the applicable Term of any Service, and in accordance with the terms and conditions of this Agreement, Rank shall provide, or shall cause its Affiliates or, subject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third parties to provide, to the Company or one or more of its Affiliates (in connection with the conduct of the Business) the services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Transition Services</w:t>
      </w:r>
      <w:r>
        <w:rPr>
          <w:rFonts w:ascii="Arial" w:cs="Arial" w:eastAsia="Arial" w:hAnsi="Arial"/>
          <w:sz w:val="17"/>
          <w:szCs w:val="17"/>
          <w:color w:val="auto"/>
        </w:rPr>
        <w:t xml:space="preserve">”). Notwithstanding the content of </w:t>
      </w:r>
      <w:r>
        <w:rPr>
          <w:rFonts w:ascii="Arial" w:cs="Arial" w:eastAsia="Arial" w:hAnsi="Arial"/>
          <w:sz w:val="17"/>
          <w:szCs w:val="17"/>
          <w:u w:val="single" w:color="auto"/>
          <w:color w:val="auto"/>
        </w:rPr>
        <w:t>Exhibit A</w:t>
      </w:r>
      <w:r>
        <w:rPr>
          <w:rFonts w:ascii="Arial" w:cs="Arial" w:eastAsia="Arial" w:hAnsi="Arial"/>
          <w:sz w:val="17"/>
          <w:szCs w:val="17"/>
          <w:color w:val="auto"/>
        </w:rPr>
        <w:t>, Rank agrees to consider in good faith to any reasonable request by the Company for access to any additional service that is necessary for the operation of the Business, at fees to be agreed upon after good faith negotiation between the</w:t>
      </w:r>
    </w:p>
    <w:p>
      <w:pPr>
        <w:sectPr>
          <w:pgSz w:w="11900" w:h="16838" w:orient="portrait"/>
          <w:cols w:equalWidth="0" w:num="1">
            <w:col w:w="10580"/>
          </w:cols>
          <w:pgMar w:left="880" w:top="273" w:right="439" w:bottom="1440" w:gutter="0" w:footer="0" w:header="0"/>
        </w:sectPr>
      </w:pPr>
    </w:p>
    <w:bookmarkStart w:id="619" w:name="page620"/>
    <w:bookmarkEnd w:id="619"/>
    <w:p>
      <w:pPr>
        <w:ind w:left="44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Parties. Rank will not be in breach of this Agreement if it declines to provide a requested additional service for any good faith reason, including the failure of the Parties to agree to the scope, term, and fee for the additional service. Any such additional services so provided by Rank shall constitute Services hereunder and be subject in all respects to the provisions of this Agreement as if fully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of the date hereof.</w:t>
      </w:r>
    </w:p>
    <w:p>
      <w:pPr>
        <w:spacing w:after="0" w:line="18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Performance by Affiliates or Subcontractors</w:t>
      </w:r>
      <w:r>
        <w:rPr>
          <w:rFonts w:ascii="Arial" w:cs="Arial" w:eastAsia="Arial" w:hAnsi="Arial"/>
          <w:sz w:val="17"/>
          <w:szCs w:val="17"/>
          <w:color w:val="auto"/>
        </w:rPr>
        <w:t xml:space="preserve">. Either Party may, in its sole discretion, engage, or cause one of their Affiliates to engage, one or more parties (including other third parties or Affiliates) to provide some or all of the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such Party is using such Affiliate or third party to perform the same Services for itself and its Affiliates (to the extent applicable), (ii) such arrangement would not increase the cost to the Recipient for such Services, and (iii) if such third party is not already engaged with respect to such Service as of the date hereof, the Provider shall obtain the prior written consent of the Recipient (not to be unreasonably withheld). The Provider shall (x) be responsible for the performance or non-performance of any such parties and (y) in all cases remain responsible for ensuring that obligations with respect to the standards of Services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are satisfied with respect to any Services provided by such Affiliate or third party.</w:t>
      </w:r>
    </w:p>
    <w:p>
      <w:pPr>
        <w:spacing w:after="0" w:line="17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Scope of Services</w:t>
      </w:r>
      <w:r>
        <w:rPr>
          <w:rFonts w:ascii="Arial" w:cs="Arial" w:eastAsia="Arial" w:hAnsi="Arial"/>
          <w:sz w:val="18"/>
          <w:szCs w:val="18"/>
          <w:color w:val="auto"/>
        </w:rPr>
        <w:t xml:space="preserve">. Other than as expressly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or as agreed by the Parties in writing, in no event shall the Provider be obligated to provide any Service to the Recipient for any purpose other than to facilitate, on a transitional basis, the Recipient’s ability to conduct business as conducted immediately preceding the date hereof.</w:t>
      </w:r>
    </w:p>
    <w:p>
      <w:pPr>
        <w:spacing w:after="0" w:line="181"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herein, with respect to the Services provided by Rank and its Affiliates providing Services hereunder, certain of the Services may involve processes that directly or indirectly support financial information that the Company includes within its consolidated financial reports. The Company has an obligation to ensure that it has internal controls over financial reporting that comply with the Sarbanes-Oxley Act of 2002 and must also ensure that its external auditors can complete their necessary evaluation of the Company’s internal controls over financial reporting in accordance with auditing standards issued by the U.S. Public Company Accounting Oversight Board. The Company and Rank and such Affiliates shall use reasonable commercial efforts to agree (i) what key controls over financial reporting will be performed by Rank and such Affiliates within the processes that directly or indirectly support financial information that the Company includes within its consolidated financial reports; (ii) the frequency as to the performance of the agreed key controls; and</w:t>
      </w:r>
    </w:p>
    <w:p>
      <w:pPr>
        <w:spacing w:after="0" w:line="1" w:lineRule="exact"/>
        <w:rPr>
          <w:sz w:val="20"/>
          <w:szCs w:val="20"/>
          <w:color w:val="auto"/>
        </w:rPr>
      </w:pPr>
    </w:p>
    <w:p>
      <w:pPr>
        <w:ind w:right="20" w:firstLine="4"/>
        <w:spacing w:after="0" w:line="268" w:lineRule="auto"/>
        <w:tabs>
          <w:tab w:leader="none" w:pos="315" w:val="left"/>
        </w:tabs>
        <w:numPr>
          <w:ilvl w:val="0"/>
          <w:numId w:val="543"/>
        </w:numPr>
        <w:rPr>
          <w:rFonts w:ascii="Arial" w:cs="Arial" w:eastAsia="Arial" w:hAnsi="Arial"/>
          <w:sz w:val="17"/>
          <w:szCs w:val="17"/>
          <w:color w:val="auto"/>
        </w:rPr>
      </w:pPr>
      <w:r>
        <w:rPr>
          <w:rFonts w:ascii="Arial" w:cs="Arial" w:eastAsia="Arial" w:hAnsi="Arial"/>
          <w:sz w:val="17"/>
          <w:szCs w:val="17"/>
          <w:color w:val="auto"/>
        </w:rPr>
        <w:t xml:space="preserve">the form of documentation required to evidence the effective performance of the agreed key controls. Rank and its Affiliates will perform the agreed key controls and evidence such performance in the agreed format. The Company shall have the right, in a manner to avoid unreasonable interruption to Rank’s or its Affiliates’ business, to (1) evaluate the effectiveness of the key controls; and (2) upon at least thirty (30) days’ written notice to Rank, perform (through its external auditor) audit procedures over Rank’s internal controls and procedures for the Services provided under this Agreement; provided that such right to audit shall exist solely to the extent reasonably required by the Company’s external auditors to ensure the Company’s compliance with the Sarbanes-Oxley Act of 2002. The Company shall pay or reimburse all of Rank’s expenses and costs arising from such audit. The performance of the agreed key controls, preparation of documentation, providing access to the Company or its delegate and the Company’s auditors will be billed at the agreed rates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ectPr>
          <w:pgSz w:w="11900" w:h="16838" w:orient="portrait"/>
          <w:cols w:equalWidth="0" w:num="1">
            <w:col w:w="11020"/>
          </w:cols>
          <w:pgMar w:left="440" w:top="274" w:right="439" w:bottom="1440" w:gutter="0" w:footer="0" w:header="0"/>
        </w:sectPr>
      </w:pPr>
    </w:p>
    <w:bookmarkStart w:id="620" w:name="page621"/>
    <w:bookmarkEnd w:id="620"/>
    <w:p>
      <w:pPr>
        <w:jc w:val="center"/>
        <w:ind w:right="4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8"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SERVICE LEVELS; SERVICE COORDINATORS; TSA COMMITTEE</w:t>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Quality of Services</w:t>
      </w:r>
      <w:r>
        <w:rPr>
          <w:rFonts w:ascii="Arial" w:cs="Arial" w:eastAsia="Arial" w:hAnsi="Arial"/>
          <w:sz w:val="16"/>
          <w:szCs w:val="16"/>
          <w:color w:val="auto"/>
        </w:rPr>
        <w:t>.</w:t>
      </w:r>
    </w:p>
    <w:p>
      <w:pPr>
        <w:spacing w:after="0" w:line="117" w:lineRule="exact"/>
        <w:rPr>
          <w:sz w:val="20"/>
          <w:szCs w:val="20"/>
          <w:color w:val="auto"/>
        </w:rPr>
      </w:pPr>
    </w:p>
    <w:p>
      <w:pPr>
        <w:jc w:val="both"/>
        <w:ind w:right="140" w:firstLine="428"/>
        <w:spacing w:after="0" w:line="257" w:lineRule="auto"/>
        <w:tabs>
          <w:tab w:leader="none" w:pos="8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Provider shall perform the Services (i) at a level of quality substantially similar in all material respects to that at which such Services were performed or enjoyed during the twelve (12) month period prior to the date hereof and (ii) in accordance with applicable Law (collectively, (i) and (ii), the “</w:t>
      </w:r>
      <w:r>
        <w:rPr>
          <w:rFonts w:ascii="Arial" w:cs="Arial" w:eastAsia="Arial" w:hAnsi="Arial"/>
          <w:sz w:val="18"/>
          <w:szCs w:val="18"/>
          <w:u w:val="single" w:color="auto"/>
          <w:color w:val="auto"/>
        </w:rPr>
        <w:t>Service Standard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3.1(c)</w:t>
      </w:r>
      <w:r>
        <w:rPr>
          <w:rFonts w:ascii="Arial" w:cs="Arial" w:eastAsia="Arial" w:hAnsi="Arial"/>
          <w:sz w:val="18"/>
          <w:szCs w:val="18"/>
          <w:color w:val="auto"/>
        </w:rPr>
        <w:t>, internal controls of the Provider and its Affiliates with respect to the Service Standard shall remain materially the same in effect throughout the term of this Agreement. Each Party acknowledges that the other Party and their Affiliates are not professional service providers of the Services.</w:t>
      </w:r>
    </w:p>
    <w:p>
      <w:pPr>
        <w:spacing w:after="0" w:line="80" w:lineRule="exact"/>
        <w:rPr>
          <w:rFonts w:ascii="Arial" w:cs="Arial" w:eastAsia="Arial" w:hAnsi="Arial"/>
          <w:sz w:val="18"/>
          <w:szCs w:val="18"/>
          <w:color w:val="auto"/>
        </w:rPr>
      </w:pPr>
    </w:p>
    <w:p>
      <w:pPr>
        <w:ind w:right="140" w:firstLine="428"/>
        <w:spacing w:after="0" w:line="259" w:lineRule="auto"/>
        <w:tabs>
          <w:tab w:leader="none" w:pos="813"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In the event of any material failure of a Provider to perform the Services, as applicable, in accordance with the Service Standards, the Recipient shall provide the Provider with written notice of such material failure, and the Provider will use commercially reasonable efforts to remedy such failure as soon as reasonably possible and in the same manner that the Provider would remedy such a failure for their other businesses undergoing such a material failure.</w:t>
      </w:r>
    </w:p>
    <w:p>
      <w:pPr>
        <w:spacing w:after="0" w:line="78" w:lineRule="exact"/>
        <w:rPr>
          <w:rFonts w:ascii="Arial" w:cs="Arial" w:eastAsia="Arial" w:hAnsi="Arial"/>
          <w:sz w:val="18"/>
          <w:szCs w:val="18"/>
          <w:color w:val="auto"/>
        </w:rPr>
      </w:pPr>
    </w:p>
    <w:p>
      <w:pPr>
        <w:ind w:firstLine="428"/>
        <w:spacing w:after="0" w:line="286" w:lineRule="auto"/>
        <w:tabs>
          <w:tab w:leader="none" w:pos="793" w:val="left"/>
        </w:tabs>
        <w:numPr>
          <w:ilvl w:val="0"/>
          <w:numId w:val="544"/>
        </w:numPr>
        <w:rPr>
          <w:rFonts w:ascii="Arial" w:cs="Arial" w:eastAsia="Arial" w:hAnsi="Arial"/>
          <w:sz w:val="16"/>
          <w:szCs w:val="16"/>
          <w:color w:val="auto"/>
        </w:rPr>
      </w:pPr>
      <w:r>
        <w:rPr>
          <w:rFonts w:ascii="Arial" w:cs="Arial" w:eastAsia="Arial" w:hAnsi="Arial"/>
          <w:sz w:val="16"/>
          <w:szCs w:val="16"/>
          <w:color w:val="auto"/>
        </w:rPr>
        <w:t>A Provider may, from time to time: (i) reasonably supplement, modify, upgrade, substitute or otherwise alter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any Service in a manner consistent with Changes made with respect to similar services provided by the Provider on their own behalf or to their Affiliates, including taking any physical or information security measures with respect to such Service, in a manner that does not (x) adversely affect in any material respect the quality or availability of such Service or (y) materially increase the fees payable in connection with such Changed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any such Change is reasonably likely to modify, substitute or otherwise alter the receipt or use of such Service, the Provider shall provide the Recipient with reasonable advance written notice of the implementation of the Change to the extent practicable under the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Service Standard shall continue to apply to such Service following any Change. If a Change is required by applicable Law or is in response to a threatened Security Incident, the Provider may make any and all changes to the Service necessary to comply with applicable Law and any changes thereto or to respond to such threatened Security Incident in a manner consistent with responses made by the Provider on its own behalf or in respect of their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Provider shall provide the Recipient such reasonable advance written notice of the implementation of any such Change as may be practicable under the circumstances; and (ii) with reasonable advance written notice to the Recipient, temporarily suspend the provision of a Service as necessary to conduct Systems maintenance or patching without such suspension constituting a breach of the Service Standard.</w:t>
      </w:r>
    </w:p>
    <w:p>
      <w:pPr>
        <w:spacing w:after="0" w:line="66" w:lineRule="exact"/>
        <w:rPr>
          <w:rFonts w:ascii="Arial" w:cs="Arial" w:eastAsia="Arial" w:hAnsi="Arial"/>
          <w:sz w:val="16"/>
          <w:szCs w:val="16"/>
          <w:color w:val="auto"/>
        </w:rPr>
      </w:pPr>
    </w:p>
    <w:p>
      <w:pPr>
        <w:ind w:right="80" w:firstLine="428"/>
        <w:spacing w:after="0" w:line="259" w:lineRule="auto"/>
        <w:tabs>
          <w:tab w:leader="none" w:pos="803"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 Provider need not provide any Service if it is not permitted to do so by applicable Law. To the extent that any Service is not permitted pursuant to applicable Law, the Parties will cooperate in good faith to enter into arrangements reasonably acceptable to each of the Parties under which the Recipient would obtain the benefit of such Service to the same extent (or as nearly as practicable) as if such Service were permitted by applicable Law.</w:t>
      </w:r>
    </w:p>
    <w:p>
      <w:pPr>
        <w:sectPr>
          <w:pgSz w:w="11900" w:h="16838" w:orient="portrait"/>
          <w:cols w:equalWidth="0" w:num="1">
            <w:col w:w="10560"/>
          </w:cols>
          <w:pgMar w:left="880" w:top="266" w:right="459" w:bottom="1440" w:gutter="0" w:footer="0" w:header="0"/>
        </w:sectPr>
      </w:pPr>
    </w:p>
    <w:bookmarkStart w:id="621" w:name="page622"/>
    <w:bookmarkEnd w:id="621"/>
    <w:p>
      <w:pPr>
        <w:ind w:right="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 </w:t>
      </w:r>
      <w:r>
        <w:rPr>
          <w:rFonts w:ascii="Arial" w:cs="Arial" w:eastAsia="Arial" w:hAnsi="Arial"/>
          <w:sz w:val="18"/>
          <w:szCs w:val="18"/>
          <w:u w:val="single" w:color="auto"/>
          <w:color w:val="auto"/>
        </w:rPr>
        <w:t>Policies</w:t>
      </w:r>
      <w:r>
        <w:rPr>
          <w:rFonts w:ascii="Arial" w:cs="Arial" w:eastAsia="Arial" w:hAnsi="Arial"/>
          <w:sz w:val="18"/>
          <w:szCs w:val="18"/>
          <w:color w:val="auto"/>
        </w:rPr>
        <w:t xml:space="preserve">. Each Party shall, and shall cause any of its Affiliates or third parties providing or receiving Services (as the case may be) to, follow the reasonable policies, procedures and practices of the other Party and its Affiliates applicable to the Services that are known or made known to such Party. A failure of a Recipient to act in accordance with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that prevents a Provider from providing a Service hereunder shall, upon reasonable advance written notice to the Recipient (where practicable), relieve the Provider of its obligations under the Service until such time as the failure has been cured.</w:t>
      </w:r>
    </w:p>
    <w:p>
      <w:pPr>
        <w:spacing w:after="0" w:line="188"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Service Coordinators and Dispute Resolution</w:t>
      </w:r>
      <w:r>
        <w:rPr>
          <w:rFonts w:ascii="Arial" w:cs="Arial" w:eastAsia="Arial" w:hAnsi="Arial"/>
          <w:sz w:val="16"/>
          <w:szCs w:val="16"/>
          <w:color w:val="auto"/>
        </w:rPr>
        <w:t>.</w:t>
      </w:r>
    </w:p>
    <w:p>
      <w:pPr>
        <w:spacing w:after="0" w:line="117" w:lineRule="exact"/>
        <w:rPr>
          <w:sz w:val="20"/>
          <w:szCs w:val="20"/>
          <w:color w:val="auto"/>
        </w:rPr>
      </w:pPr>
    </w:p>
    <w:p>
      <w:pPr>
        <w:ind w:left="440" w:firstLine="428"/>
        <w:spacing w:after="0" w:line="271" w:lineRule="auto"/>
        <w:tabs>
          <w:tab w:leader="none" w:pos="1243" w:val="left"/>
        </w:tabs>
        <w:numPr>
          <w:ilvl w:val="0"/>
          <w:numId w:val="545"/>
        </w:numPr>
        <w:rPr>
          <w:rFonts w:ascii="Arial" w:cs="Arial" w:eastAsia="Arial" w:hAnsi="Arial"/>
          <w:sz w:val="17"/>
          <w:szCs w:val="17"/>
          <w:color w:val="auto"/>
        </w:rPr>
      </w:pPr>
      <w:r>
        <w:rPr>
          <w:rFonts w:ascii="Arial" w:cs="Arial" w:eastAsia="Arial" w:hAnsi="Arial"/>
          <w:sz w:val="17"/>
          <w:szCs w:val="17"/>
          <w:color w:val="auto"/>
        </w:rPr>
        <w:t>Rank and the Company shall each nominate a representative to act as the primary contact person with respect to the performance of the Services (each, a “</w:t>
      </w:r>
      <w:r>
        <w:rPr>
          <w:rFonts w:ascii="Arial" w:cs="Arial" w:eastAsia="Arial" w:hAnsi="Arial"/>
          <w:sz w:val="17"/>
          <w:szCs w:val="17"/>
          <w:u w:val="single" w:color="auto"/>
          <w:color w:val="auto"/>
        </w:rPr>
        <w:t>Service Coordinator</w:t>
      </w:r>
      <w:r>
        <w:rPr>
          <w:rFonts w:ascii="Arial" w:cs="Arial" w:eastAsia="Arial" w:hAnsi="Arial"/>
          <w:sz w:val="17"/>
          <w:szCs w:val="17"/>
          <w:color w:val="auto"/>
        </w:rPr>
        <w:t xml:space="preserve">”). Unless otherwise agreed upon by the Parties, the Parties shall direct all initial communications relating to this Agreement and the Services to the Service Coordinators. The initial Service Coordinators for Rank and the Company, including their contact information, are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Either Party may replace its Service Coordinator at any time by providing notice and contact information for the newly designated Service Coordinator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The Service Coordinators shall oversee the implementation and ongoing operation of this Agreement. The Parties shall ensure that their respective Service Coordinators shall meet in person or telephonically at such times as are reasonably requested by Rank or the Company to review and discuss the status of, and any issues arising in connection with, the Services or this Agreement.</w:t>
      </w:r>
    </w:p>
    <w:p>
      <w:pPr>
        <w:spacing w:after="0" w:line="70" w:lineRule="exact"/>
        <w:rPr>
          <w:rFonts w:ascii="Arial" w:cs="Arial" w:eastAsia="Arial" w:hAnsi="Arial"/>
          <w:sz w:val="17"/>
          <w:szCs w:val="17"/>
          <w:color w:val="auto"/>
        </w:rPr>
      </w:pPr>
    </w:p>
    <w:p>
      <w:pPr>
        <w:ind w:left="440" w:firstLine="428"/>
        <w:spacing w:after="0" w:line="290" w:lineRule="auto"/>
        <w:tabs>
          <w:tab w:leader="none" w:pos="1253" w:val="left"/>
        </w:tabs>
        <w:numPr>
          <w:ilvl w:val="0"/>
          <w:numId w:val="545"/>
        </w:numPr>
        <w:rPr>
          <w:rFonts w:ascii="Arial" w:cs="Arial" w:eastAsia="Arial" w:hAnsi="Arial"/>
          <w:sz w:val="16"/>
          <w:szCs w:val="16"/>
          <w:color w:val="auto"/>
        </w:rPr>
      </w:pPr>
      <w:r>
        <w:rPr>
          <w:rFonts w:ascii="Arial" w:cs="Arial" w:eastAsia="Arial" w:hAnsi="Arial"/>
          <w:sz w:val="16"/>
          <w:szCs w:val="16"/>
          <w:color w:val="auto"/>
        </w:rPr>
        <w:t>In the event a dispute arises between the Parties under this Agreement, telephonic negotiations shall be conducted between the Parties’ respective Service Coordinators within ten (10) days following a written request from any Party (“</w:t>
      </w:r>
      <w:r>
        <w:rPr>
          <w:rFonts w:ascii="Arial" w:cs="Arial" w:eastAsia="Arial" w:hAnsi="Arial"/>
          <w:sz w:val="16"/>
          <w:szCs w:val="16"/>
          <w:u w:val="single" w:color="auto"/>
          <w:color w:val="auto"/>
        </w:rPr>
        <w:t>Dispute Negotiations</w:t>
      </w:r>
      <w:r>
        <w:rPr>
          <w:rFonts w:ascii="Arial" w:cs="Arial" w:eastAsia="Arial" w:hAnsi="Arial"/>
          <w:sz w:val="16"/>
          <w:szCs w:val="16"/>
          <w:color w:val="auto"/>
        </w:rPr>
        <w:t xml:space="preserve">”). If the Service Coordinators are unable to resolve the dispute within ten (10) days after the Parties have commenced Dispute Negotiations, then either Rank or the Company, by written request to the other Party, may request that such dispute be referred for resolution to the respective presidents (or similar position) of the divisions implicated by the matter for the Parties, or more senior executive of a Party if such Party so designates, which presidents (or other executives) will have fifteen (15) days to resolve such dispute. If the presidents of the relevant divisions (or other executives) for each Party do not agree to a resolution of such dispute within fifteen (15) days after the reference of the matter to them, or if the dispute is not otherwise resolved in a friendly manner as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then any unresolved dispute may be resolved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166"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Limitation of Services Provided</w:t>
      </w:r>
      <w:r>
        <w:rPr>
          <w:rFonts w:ascii="Arial" w:cs="Arial" w:eastAsia="Arial" w:hAnsi="Arial"/>
          <w:sz w:val="17"/>
          <w:szCs w:val="17"/>
          <w:color w:val="auto"/>
        </w:rPr>
        <w:t>. Except to the extent required to meet the Service Standards, in providing the Services, the Parties are not obligated to: (i) hire any additional employees; (ii) maintain the employment of any specific employee; (iii) purchase, lease or license any additional equipment or software; or (iv) make any capital investment to provide or continue providing the Services. The Parties have no responsibility to verify the correctness of any information given to them on behalf of the other Party for the purposes of providing the Services.</w:t>
      </w:r>
    </w:p>
    <w:p>
      <w:pPr>
        <w:spacing w:after="0" w:line="17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Third Party Licenses and Consents</w:t>
      </w:r>
      <w:r>
        <w:rPr>
          <w:rFonts w:ascii="Arial" w:cs="Arial" w:eastAsia="Arial" w:hAnsi="Arial"/>
          <w:sz w:val="18"/>
          <w:szCs w:val="18"/>
          <w:color w:val="auto"/>
        </w:rPr>
        <w:t>. The Parties will cooperate and assist each other, and use commercially reasonable efforts, to obtain, or direct its Affiliates to obtain, any third party consents required under the terms of any agreement between a Party or any of its Affiliates, on the one hand, and a third party, on the other hand, in order for a Party or its</w:t>
      </w:r>
    </w:p>
    <w:p>
      <w:pPr>
        <w:sectPr>
          <w:pgSz w:w="11900" w:h="16838" w:orient="portrait"/>
          <w:cols w:equalWidth="0" w:num="1">
            <w:col w:w="10980"/>
          </w:cols>
          <w:pgMar w:left="440" w:top="274" w:right="479" w:bottom="1440" w:gutter="0" w:footer="0" w:header="0"/>
        </w:sectPr>
      </w:pPr>
    </w:p>
    <w:bookmarkStart w:id="622" w:name="page623"/>
    <w:bookmarkEnd w:id="62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Affiliates to provide the Services during the Term. Notwithstanding the foregoing, if the provision of any Service as contemplated by this Agreement requires the consent, license or approval of any third party not previously obtained, the Parties shall use commercially reasonable efforts, to obtain as promptly as possible after the Commencement Date, any third party consents, permits, licenses and approvals required under the terms of any third party agreement in order for the Provider to provide the Services hereunder. The cost of obtaining any consent, permit, license or approval with respect to any Service shall be borne by the Recipient of the relevant Services. If any such consent, permit, license or approval is not obtained, the Parties will cooperate in good faith to enter into reasonably acceptable arrangements under which the Recipient would obtain the benefit of such Service to the same extent (or as nearly as practicable) as if such consent were obtained (at Recipient’s cost), and each Party will continue to use commercially reasonable efforts to obtain any such required consent or amendment. The Parties acknowledge that it may not be practical to try to anticipate and identify every possible legal, regulatory, and logistical impediment to the provision of Services hereunder. Accordingly, each Party will promptly notify the other Party if it reasonably determines that there is a legal, regulatory, or logistical impediment to the provision of any Service, and the Parties shall each use commercially reasonable efforts to overcome such impediments so that the Services may be provided otherwise in accordance with the terms of this Agreement. All computer systems or software (“</w:t>
      </w:r>
      <w:r>
        <w:rPr>
          <w:rFonts w:ascii="Arial" w:cs="Arial" w:eastAsia="Arial" w:hAnsi="Arial"/>
          <w:sz w:val="16"/>
          <w:szCs w:val="16"/>
          <w:u w:val="single" w:color="auto"/>
          <w:color w:val="auto"/>
        </w:rPr>
        <w:t>Systems</w:t>
      </w:r>
      <w:r>
        <w:rPr>
          <w:rFonts w:ascii="Arial" w:cs="Arial" w:eastAsia="Arial" w:hAnsi="Arial"/>
          <w:sz w:val="16"/>
          <w:szCs w:val="16"/>
          <w:color w:val="auto"/>
        </w:rPr>
        <w:t>”), data, facilities and other resources owned by a Party, its Affiliates or third parties used in connection with the provision or receipt of the Services, as applicable, shall remain the property of such Party, its Affiliates or third parties.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SECURITY; SYSTEMS</w:t>
      </w:r>
    </w:p>
    <w:p>
      <w:pPr>
        <w:spacing w:after="0" w:line="19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Security Breaches</w:t>
      </w:r>
      <w:r>
        <w:rPr>
          <w:rFonts w:ascii="Arial" w:cs="Arial" w:eastAsia="Arial" w:hAnsi="Arial"/>
          <w:sz w:val="16"/>
          <w:szCs w:val="16"/>
          <w:color w:val="auto"/>
        </w:rPr>
        <w:t>. If any Party discovers (a) any material breach of the Security Regulations or of the systems used to provide the Services or (b) any breach or threatened breach of the Security Regulations that involves or may reasonably be expected to involve unauthorized access, disclosure or use of the other Party’s or its Affiliates’ Confidential Information (each of (a) and (b), a “</w:t>
      </w:r>
      <w:r>
        <w:rPr>
          <w:rFonts w:ascii="Arial" w:cs="Arial" w:eastAsia="Arial" w:hAnsi="Arial"/>
          <w:sz w:val="16"/>
          <w:szCs w:val="16"/>
          <w:u w:val="single" w:color="auto"/>
          <w:color w:val="auto"/>
        </w:rPr>
        <w:t>Security Incident</w:t>
      </w:r>
      <w:r>
        <w:rPr>
          <w:rFonts w:ascii="Arial" w:cs="Arial" w:eastAsia="Arial" w:hAnsi="Arial"/>
          <w:sz w:val="16"/>
          <w:szCs w:val="16"/>
          <w:color w:val="auto"/>
        </w:rPr>
        <w:t>”), such Party shall, at the cost of the Party responsible for the Security Incident, (i) promptly (both orally, if practicable, and in any event in writing) notify the other Party of the Security Incident and (ii) reasonably cooperate with the other Party (1) to take commercially reasonable measures necessary to control and contain the security of such Confidential Information, (2) to remedy any such Security Incident, including using commercially reasonable efforts to identify and address any root causes for such Security Incident, (3) to furnish full details of the Security Incident to the other Party and keep such other Party advised of all material measures taken and other developments with respect to such Security Incident, (4) in any litigation or formal action with third parties or in connection with any regulatory, investigatory or other action of any Governmental Authority and (5) in notifying the other Party’s or its Affiliates’ customers and Personnel and other persons of the Security Incident to the extent reasonably requested by the other Party.</w:t>
      </w:r>
    </w:p>
    <w:p>
      <w:pPr>
        <w:spacing w:after="0" w:line="16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u w:val="single" w:color="auto"/>
          <w:color w:val="auto"/>
        </w:rPr>
        <w:t>Systems Security</w:t>
      </w:r>
      <w:r>
        <w:rPr>
          <w:rFonts w:ascii="Arial" w:cs="Arial" w:eastAsia="Arial" w:hAnsi="Arial"/>
          <w:sz w:val="15"/>
          <w:szCs w:val="15"/>
          <w:color w:val="auto"/>
        </w:rPr>
        <w:t>.</w:t>
      </w:r>
    </w:p>
    <w:p>
      <w:pPr>
        <w:spacing w:after="0" w:line="117" w:lineRule="exact"/>
        <w:rPr>
          <w:sz w:val="20"/>
          <w:szCs w:val="20"/>
          <w:color w:val="auto"/>
        </w:rPr>
      </w:pPr>
    </w:p>
    <w:p>
      <w:pPr>
        <w:ind w:left="440" w:right="80" w:firstLine="428"/>
        <w:spacing w:after="0" w:line="257" w:lineRule="auto"/>
        <w:tabs>
          <w:tab w:leader="none" w:pos="1243"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If Rank, the Company, their Affiliates or their respective Personnel receive access to any of Rank’s, the Company’s, or their respective Affiliates’, as applicable, Systems in connection with the Services, the accessing Party or its Personnel, as the case may be, shall comply with all of such other Party’s and its Affiliates’ reasonable Security Regulations known to such accessing Party or its Personnel or made known to such accessing Party or its Personnel in writing, and will not tamper with, compromise or circumvent any security, Security Regulations or audit measures employed by such other Party or its relevant Affiliate.</w:t>
      </w:r>
    </w:p>
    <w:p>
      <w:pPr>
        <w:sectPr>
          <w:pgSz w:w="11900" w:h="16838" w:orient="portrait"/>
          <w:cols w:equalWidth="0" w:num="1">
            <w:col w:w="11020"/>
          </w:cols>
          <w:pgMar w:left="440" w:top="275" w:right="439" w:bottom="1440" w:gutter="0" w:footer="0" w:header="0"/>
        </w:sectPr>
      </w:pPr>
    </w:p>
    <w:bookmarkStart w:id="623" w:name="page624"/>
    <w:bookmarkEnd w:id="623"/>
    <w:p>
      <w:pPr>
        <w:ind w:left="440" w:right="80" w:firstLine="428"/>
        <w:spacing w:after="0" w:line="279" w:lineRule="auto"/>
        <w:tabs>
          <w:tab w:leader="none" w:pos="1253" w:val="left"/>
        </w:tabs>
        <w:numPr>
          <w:ilvl w:val="0"/>
          <w:numId w:val="5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and shall cause its Affiliates to, as required by applicable Law, (i) ensure that only those of its Personnel who are specifically authorized to have access to the Systems of the other Party or its Affiliates gain such access and (ii) prevent unauthorized access, use, destruction, alteration or loss of information contained therein, including by notifying its Personnel regarding the restrictions set forth in this Agreement and establishing appropriate policies designed to effectively enforce such restrictions.</w:t>
      </w:r>
    </w:p>
    <w:p>
      <w:pPr>
        <w:spacing w:after="0" w:line="63" w:lineRule="exact"/>
        <w:rPr>
          <w:rFonts w:ascii="Arial" w:cs="Arial" w:eastAsia="Arial" w:hAnsi="Arial"/>
          <w:sz w:val="17"/>
          <w:szCs w:val="17"/>
          <w:color w:val="auto"/>
        </w:rPr>
      </w:pPr>
    </w:p>
    <w:p>
      <w:pPr>
        <w:ind w:left="440" w:right="20" w:firstLine="428"/>
        <w:spacing w:after="0" w:line="302" w:lineRule="auto"/>
        <w:tabs>
          <w:tab w:leader="none" w:pos="1243" w:val="left"/>
        </w:tabs>
        <w:numPr>
          <w:ilvl w:val="0"/>
          <w:numId w:val="547"/>
        </w:numPr>
        <w:rPr>
          <w:rFonts w:ascii="Arial" w:cs="Arial" w:eastAsia="Arial" w:hAnsi="Arial"/>
          <w:sz w:val="16"/>
          <w:szCs w:val="16"/>
          <w:color w:val="auto"/>
        </w:rPr>
      </w:pPr>
      <w:r>
        <w:rPr>
          <w:rFonts w:ascii="Arial" w:cs="Arial" w:eastAsia="Arial" w:hAnsi="Arial"/>
          <w:sz w:val="16"/>
          <w:szCs w:val="16"/>
          <w:color w:val="auto"/>
        </w:rPr>
        <w:t>Each Party shall, and shall cause their respective Affiliates to, access and use only those Systems of the other Party and its Affiliates, and only such data and information within such Systems, to which they have been granted the right to access and use. Any Party and its Affiliates shall have the right to deny the Personnel of the other Party or its Affiliates access to such first Party’s or its Affiliates’ Systems, after prior written notice and consultation with the other Party, in the event the Party reasonably believes that such Personnel pose a security concern.</w:t>
      </w:r>
    </w:p>
    <w:p>
      <w:pPr>
        <w:spacing w:after="0" w:line="154"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Viruses</w:t>
      </w:r>
      <w:r>
        <w:rPr>
          <w:rFonts w:ascii="Arial" w:cs="Arial" w:eastAsia="Arial" w:hAnsi="Arial"/>
          <w:sz w:val="18"/>
          <w:szCs w:val="18"/>
          <w:color w:val="auto"/>
        </w:rPr>
        <w:t>. The Provider and the Recipient shall each use its commercially reasonable efforts consistent with its past practices to prevent the introduction or coding of viruses or similar items into the Systems of the other Party. Without limiting the rights and remedies of any Party hereunder, in the event a virus or similar item is introduced into the Systems of a Party, whether or not such introduction is attributable to the other Party (including such other Party’s failure to perform its obligations under this Agreement), the other Party shall, as soon as practicable, use its commercially reasonable efforts to assist such Party in reducing the effects of the virus or similar item, and if the virus or similar item causes a loss of operational efficiency or loss of data, upon such Party’s request, work as soon as practicable to contain and remedy the problem and to restore lost data resulting from the introduction of such virus or similar item.</w:t>
      </w:r>
    </w:p>
    <w:p>
      <w:pPr>
        <w:spacing w:after="0" w:line="189" w:lineRule="exact"/>
        <w:rPr>
          <w:sz w:val="20"/>
          <w:szCs w:val="20"/>
          <w:color w:val="auto"/>
        </w:rPr>
      </w:pPr>
    </w:p>
    <w:p>
      <w:pPr>
        <w:jc w:val="both"/>
        <w:ind w:right="220" w:firstLine="441"/>
        <w:spacing w:after="0" w:line="34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Providers’ Software</w:t>
      </w:r>
      <w:r>
        <w:rPr>
          <w:rFonts w:ascii="Arial" w:cs="Arial" w:eastAsia="Arial" w:hAnsi="Arial"/>
          <w:sz w:val="16"/>
          <w:szCs w:val="16"/>
          <w:color w:val="auto"/>
        </w:rPr>
        <w:t>. Except as authorized by this Agreement or by the Provider’s express written consent, the Recipient shall not, and shall cause its Affiliates not to, copy, modify, reverse engineer, decompile or in any way alter any software of the Provider or any of its Affiliates.</w:t>
      </w:r>
    </w:p>
    <w:p>
      <w:pPr>
        <w:spacing w:after="0" w:line="124"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System Upgrades</w:t>
      </w:r>
      <w:r>
        <w:rPr>
          <w:rFonts w:ascii="Arial" w:cs="Arial" w:eastAsia="Arial" w:hAnsi="Arial"/>
          <w:sz w:val="16"/>
          <w:szCs w:val="16"/>
          <w:color w:val="auto"/>
        </w:rPr>
        <w:t>. No Provider shall be required to purchase, upgrade, enhance or otherwise modify any Systems used by any Recipient as of the date hereof in connection with the business of any Party, or to provide any support or maintenance services for any Systems that have been upgraded, enhanced or otherwise modified from the Systems that are used in connection with the business of any Party as of the date hereof.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FEES</w:t>
      </w:r>
    </w:p>
    <w:p>
      <w:pPr>
        <w:spacing w:after="0" w:line="19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The Recipient shall pay the Provider (i) the fee for each Service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(ii) the Providers’ and their Affiliates’ reasonable and documented out-of-pocket expenses incurred in providing the Services, including the third-party fees and expenses that are charged to the Recipient or their Affiliates in connection with provision of the Services (including any fees and expenses charged by subcontractors permitted to provide the Services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but excluding payments made to employees of the Provider or any of their Affiliates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and (iii) any other fees as agreed to by the Parties in writing (collectively, the “</w:t>
      </w:r>
      <w:r>
        <w:rPr>
          <w:rFonts w:ascii="Arial" w:cs="Arial" w:eastAsia="Arial" w:hAnsi="Arial"/>
          <w:sz w:val="17"/>
          <w:szCs w:val="17"/>
          <w:u w:val="single" w:color="auto"/>
          <w:color w:val="auto"/>
        </w:rPr>
        <w:t>Fees</w:t>
      </w:r>
      <w:r>
        <w:rPr>
          <w:rFonts w:ascii="Arial" w:cs="Arial" w:eastAsia="Arial" w:hAnsi="Arial"/>
          <w:sz w:val="17"/>
          <w:szCs w:val="17"/>
          <w:color w:val="auto"/>
        </w:rPr>
        <w:t>”).</w:t>
      </w:r>
    </w:p>
    <w:p>
      <w:pPr>
        <w:sectPr>
          <w:pgSz w:w="11900" w:h="16838" w:orient="portrait"/>
          <w:cols w:equalWidth="0" w:num="1">
            <w:col w:w="11020"/>
          </w:cols>
          <w:pgMar w:left="440" w:top="274" w:right="439" w:bottom="1440" w:gutter="0" w:footer="0" w:header="0"/>
        </w:sectPr>
      </w:pPr>
    </w:p>
    <w:bookmarkStart w:id="624" w:name="page625"/>
    <w:bookmarkEnd w:id="624"/>
    <w:p>
      <w:pPr>
        <w:ind w:right="2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 </w:t>
      </w:r>
      <w:r>
        <w:rPr>
          <w:rFonts w:ascii="Arial" w:cs="Arial" w:eastAsia="Arial" w:hAnsi="Arial"/>
          <w:sz w:val="16"/>
          <w:szCs w:val="16"/>
          <w:u w:val="single" w:color="auto"/>
          <w:color w:val="auto"/>
        </w:rPr>
        <w:t>Responsibility for Wages and Fees</w:t>
      </w:r>
      <w:r>
        <w:rPr>
          <w:rFonts w:ascii="Arial" w:cs="Arial" w:eastAsia="Arial" w:hAnsi="Arial"/>
          <w:sz w:val="16"/>
          <w:szCs w:val="16"/>
          <w:color w:val="auto"/>
        </w:rPr>
        <w:t>. Any employees of the Provider or any of their Affiliates providing Services to the Recipient under this Agreement will remain employees of the Provider or such Affiliate and shall not be deemed to be employees of the Recipient for any purpose. The Provider or such Affiliate shall be solely responsible for the payment and provision of all wages, bonuses and commissions, employee benefits, including severance and worker’s compensation, and the withholding and payment of applicable Taxes relating to such employment.</w:t>
      </w:r>
    </w:p>
    <w:p>
      <w:pPr>
        <w:spacing w:after="0" w:line="154"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Invoices</w:t>
      </w:r>
      <w:r>
        <w:rPr>
          <w:rFonts w:ascii="Arial" w:cs="Arial" w:eastAsia="Arial" w:hAnsi="Arial"/>
          <w:sz w:val="16"/>
          <w:szCs w:val="16"/>
          <w:color w:val="auto"/>
        </w:rPr>
        <w:t>. The Provider shall submit or cause to be submitted to the Recipient in writing, within 15 days after the end of each month, an invoice setting forth the Fees for the Services provided to the Recipient during such month in reasonable detail, as applicable, due under such invoice.</w:t>
      </w:r>
    </w:p>
    <w:p>
      <w:pPr>
        <w:spacing w:after="0" w:line="124"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Recipient shall pay, or cause to be paid, the Fees shown on an invoice no later than the last business day of the month Recipient received such invoice unless disputed in accordance with </w:t>
      </w:r>
      <w:r>
        <w:rPr>
          <w:rFonts w:ascii="Arial" w:cs="Arial" w:eastAsia="Arial" w:hAnsi="Arial"/>
          <w:sz w:val="17"/>
          <w:szCs w:val="17"/>
          <w:u w:val="single" w:color="auto"/>
          <w:color w:val="auto"/>
        </w:rPr>
        <w:t>Section 5.7</w:t>
      </w:r>
      <w:r>
        <w:rPr>
          <w:rFonts w:ascii="Arial" w:cs="Arial" w:eastAsia="Arial" w:hAnsi="Arial"/>
          <w:sz w:val="17"/>
          <w:szCs w:val="17"/>
          <w:color w:val="auto"/>
        </w:rPr>
        <w:t>. Any amount not received from the invoiced Party within such period shall bear interest at the Applicable Rate, from and including the last date of such period to, but excluding, the date of payment.</w:t>
      </w:r>
    </w:p>
    <w:p>
      <w:pPr>
        <w:spacing w:after="0" w:line="166"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Sales Tax, Etc</w:t>
      </w:r>
      <w:r>
        <w:rPr>
          <w:rFonts w:ascii="Arial" w:cs="Arial" w:eastAsia="Arial" w:hAnsi="Arial"/>
          <w:sz w:val="17"/>
          <w:szCs w:val="17"/>
          <w:color w:val="auto"/>
        </w:rPr>
        <w:t>. The Provider shall be entitled to invoice and collect from the Recipient any additional amounts required for state, local and foreign sales Tax, value added Tax, goods and services Tax or similar Tax with respect to the provision of the Services hereunder, as applicable (“</w:t>
      </w:r>
      <w:r>
        <w:rPr>
          <w:rFonts w:ascii="Arial" w:cs="Arial" w:eastAsia="Arial" w:hAnsi="Arial"/>
          <w:sz w:val="17"/>
          <w:szCs w:val="17"/>
          <w:u w:val="single" w:color="auto"/>
          <w:color w:val="auto"/>
        </w:rPr>
        <w:t>Sale and Services Taxes</w:t>
      </w:r>
      <w:r>
        <w:rPr>
          <w:rFonts w:ascii="Arial" w:cs="Arial" w:eastAsia="Arial" w:hAnsi="Arial"/>
          <w:sz w:val="17"/>
          <w:szCs w:val="17"/>
          <w:color w:val="auto"/>
        </w:rPr>
        <w:t>”). Notwithstanding the previous sentence, if the Recipient is exempt from liability for such Sale and Services Taxes, it shall provide the Provider with a certificate (or other proof) evidencing an exemption from liability for such Sale and Services Taxes. The Provider shall be responsible for any losses (including any deficiency, interest and penalties) imposed as a result of a failure to timely remit such Sale and Services Taxes to the applicable tax authority to the extent the Recipient timely remits such Sale and Services Taxes to the Provider, or the Provider’s failure to do so results from the Provider’s failure to timely charge or invoice such Sale and Services Taxes. The Recipient shall be entitled to any refund of any such Sale and Services Taxes paid in excess of liability as determined at a later date. The Provider shall promptly notify the Recipient of any deficiency claim or similar notice by a tax authority with respect to Sale and Services Taxes payable hereunder, and of any pending audit or other proceeding that could lead to the imposition of Sales and Services Taxes payable hereunder.</w:t>
      </w:r>
    </w:p>
    <w:p>
      <w:pPr>
        <w:spacing w:after="0" w:line="17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 Offset</w:t>
      </w:r>
      <w:r>
        <w:rPr>
          <w:rFonts w:ascii="Arial" w:cs="Arial" w:eastAsia="Arial" w:hAnsi="Arial"/>
          <w:sz w:val="18"/>
          <w:szCs w:val="18"/>
          <w:color w:val="auto"/>
        </w:rPr>
        <w:t>. The Recipient shall not withhold any payments due under this Agreement in order to offset payments due (or to become due) to the Recipient pursuant to this Agreement unless such withholding is mutually agreed to by the Parties in writing or is provided for in the final ruling of a court. Any required adjustment to payments due hereunder will be made as a subsequent invoice.</w:t>
      </w:r>
    </w:p>
    <w:p>
      <w:pPr>
        <w:spacing w:after="0" w:line="18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Invoice Disputes</w:t>
      </w:r>
      <w:r>
        <w:rPr>
          <w:rFonts w:ascii="Arial" w:cs="Arial" w:eastAsia="Arial" w:hAnsi="Arial"/>
          <w:sz w:val="18"/>
          <w:szCs w:val="18"/>
          <w:color w:val="auto"/>
        </w:rPr>
        <w:t xml:space="preserve">. In the event of an invoice dispute, the disputing Party shall deliver a written statement to the other Party no later than the date payment is due on the disputed invoice listing all disputed items and providing a reasonably detailed description of each disputed item. Amounts not so disputed shall be deemed accepted and shall be paid, notwithstanding disputes on other items, within the period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 The Parties shall seek to resolve all such disputes expeditiously and in good faith. The Provider shall continue performing the Services in accordance with this Agreement pending resolution of any dispute.</w:t>
      </w:r>
    </w:p>
    <w:p>
      <w:pPr>
        <w:sectPr>
          <w:pgSz w:w="11900" w:h="16838" w:orient="portrait"/>
          <w:cols w:equalWidth="0" w:num="1">
            <w:col w:w="11020"/>
          </w:cols>
          <w:pgMar w:left="440" w:top="274" w:right="439" w:bottom="1440" w:gutter="0" w:footer="0" w:header="0"/>
        </w:sectPr>
      </w:pPr>
    </w:p>
    <w:bookmarkStart w:id="625" w:name="page626"/>
    <w:bookmarkEnd w:id="625"/>
    <w:p>
      <w:pPr>
        <w:ind w:right="1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5.8 </w:t>
      </w:r>
      <w:r>
        <w:rPr>
          <w:rFonts w:ascii="Arial" w:cs="Arial" w:eastAsia="Arial" w:hAnsi="Arial"/>
          <w:sz w:val="18"/>
          <w:szCs w:val="18"/>
          <w:u w:val="single" w:color="auto"/>
          <w:color w:val="auto"/>
        </w:rPr>
        <w:t>Audit</w:t>
      </w:r>
      <w:r>
        <w:rPr>
          <w:rFonts w:ascii="Arial" w:cs="Arial" w:eastAsia="Arial" w:hAnsi="Arial"/>
          <w:sz w:val="18"/>
          <w:szCs w:val="18"/>
          <w:color w:val="auto"/>
        </w:rPr>
        <w:t>. At the request of the Recipient, the Provider shall provide to the Recipient and its Affiliates reasonable access to the Provider’s applicable Personnel and records with respect to the amount charged in connection with any Service so that the Recipient may confirm that the pass through costs incurred by the Provider or, to the extent such Service is provided on an hourly basis, information related to hours worked in connection with such Service are commensurate with the amount charged to the Recipient for such Service. In the event the Recipient believes that the amount charged to the Recipient materially exceeds the pass through costs actually incurred by the Provider or hours charged in connection with such Service, the Parties shall review such matter in good faith.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TERM AND TERMINATION</w:t>
      </w:r>
    </w:p>
    <w:p>
      <w:pPr>
        <w:spacing w:after="0" w:line="19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Term of Services</w:t>
      </w:r>
      <w:r>
        <w:rPr>
          <w:rFonts w:ascii="Arial" w:cs="Arial" w:eastAsia="Arial" w:hAnsi="Arial"/>
          <w:sz w:val="17"/>
          <w:szCs w:val="17"/>
          <w:color w:val="auto"/>
        </w:rPr>
        <w:t xml:space="preserve">. With respect to each of the Services, the term thereof will be for a period commencing as of the date hereof, unless a different date is specified as the commencement date for any applicable Service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(either, a “</w:t>
      </w:r>
      <w:r>
        <w:rPr>
          <w:rFonts w:ascii="Arial" w:cs="Arial" w:eastAsia="Arial" w:hAnsi="Arial"/>
          <w:sz w:val="17"/>
          <w:szCs w:val="17"/>
          <w:u w:val="single" w:color="auto"/>
          <w:color w:val="auto"/>
        </w:rPr>
        <w:t>Commencement Date</w:t>
      </w:r>
      <w:r>
        <w:rPr>
          <w:rFonts w:ascii="Arial" w:cs="Arial" w:eastAsia="Arial" w:hAnsi="Arial"/>
          <w:sz w:val="17"/>
          <w:szCs w:val="17"/>
          <w:color w:val="auto"/>
        </w:rPr>
        <w:t xml:space="preserve">”), and shall continue until 24 months following the Commencement Date unless (i) such other date as is specified as the termination date for any applicable Service in this Agreement or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Term</w:t>
      </w:r>
      <w:r>
        <w:rPr>
          <w:rFonts w:ascii="Arial" w:cs="Arial" w:eastAsia="Arial" w:hAnsi="Arial"/>
          <w:sz w:val="17"/>
          <w:szCs w:val="17"/>
          <w:color w:val="auto"/>
        </w:rPr>
        <w:t>”) or (ii) earlier terminated pursuant to this Agreement (a “</w:t>
      </w:r>
      <w:r>
        <w:rPr>
          <w:rFonts w:ascii="Arial" w:cs="Arial" w:eastAsia="Arial" w:hAnsi="Arial"/>
          <w:sz w:val="17"/>
          <w:szCs w:val="17"/>
          <w:u w:val="single" w:color="auto"/>
          <w:color w:val="auto"/>
        </w:rPr>
        <w:t>Termination Date</w:t>
      </w:r>
      <w:r>
        <w:rPr>
          <w:rFonts w:ascii="Arial" w:cs="Arial" w:eastAsia="Arial" w:hAnsi="Arial"/>
          <w:sz w:val="17"/>
          <w:szCs w:val="17"/>
          <w:color w:val="auto"/>
        </w:rPr>
        <w:t>”).</w:t>
      </w:r>
    </w:p>
    <w:p>
      <w:pPr>
        <w:spacing w:after="0" w:line="17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Termination of Services</w:t>
      </w:r>
      <w:r>
        <w:rPr>
          <w:rFonts w:ascii="Arial" w:cs="Arial" w:eastAsia="Arial" w:hAnsi="Arial"/>
          <w:sz w:val="17"/>
          <w:szCs w:val="17"/>
          <w:color w:val="auto"/>
        </w:rPr>
        <w:t xml:space="preserve">. Except as agreed by the Parties in writing or as otherwise stated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Company may terminate for convenience any Transition Service upon 30 days’ prior written notice of such termination. Upon termination of any Service pursuant to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Company’s obligation to pay for such Service will cease except any sums accrued or due as of the date of such early termination for Services rendered (which shall include a pro rata portion of any fees applicable to the current period in which such Services are being performed if the applicable fee is determined on a period by period basis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with respect to any assignment of this Agreement subject to </w:t>
      </w:r>
      <w:r>
        <w:rPr>
          <w:rFonts w:ascii="Arial" w:cs="Arial" w:eastAsia="Arial" w:hAnsi="Arial"/>
          <w:sz w:val="17"/>
          <w:szCs w:val="17"/>
          <w:u w:val="single" w:color="auto"/>
          <w:color w:val="auto"/>
        </w:rPr>
        <w:t>Section 10.10(b)</w:t>
      </w:r>
      <w:r>
        <w:rPr>
          <w:rFonts w:ascii="Arial" w:cs="Arial" w:eastAsia="Arial" w:hAnsi="Arial"/>
          <w:sz w:val="17"/>
          <w:szCs w:val="17"/>
          <w:color w:val="auto"/>
        </w:rPr>
        <w:t xml:space="preserve"> and the Parties will negotiate in good faith regarding fee allocations and, if necessary, early termination or partial termination of any Services.</w:t>
      </w:r>
    </w:p>
    <w:p>
      <w:pPr>
        <w:spacing w:after="0" w:line="178"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shall terminate when the Termination Date has occurred for all Services. In addition, this Agreement may be terminated by either Party (the “</w:t>
      </w:r>
      <w:r>
        <w:rPr>
          <w:rFonts w:ascii="Arial" w:cs="Arial" w:eastAsia="Arial" w:hAnsi="Arial"/>
          <w:sz w:val="18"/>
          <w:szCs w:val="18"/>
          <w:u w:val="single" w:color="auto"/>
          <w:color w:val="auto"/>
        </w:rPr>
        <w:t>Terminating Party</w:t>
      </w:r>
      <w:r>
        <w:rPr>
          <w:rFonts w:ascii="Arial" w:cs="Arial" w:eastAsia="Arial" w:hAnsi="Arial"/>
          <w:sz w:val="18"/>
          <w:szCs w:val="18"/>
          <w:color w:val="auto"/>
        </w:rPr>
        <w:t>”) upon written notice to the other Party (which notice, in case of material breach, shall specify the basis for such claim for breach), if:</w:t>
      </w:r>
    </w:p>
    <w:p>
      <w:pPr>
        <w:spacing w:after="0" w:line="73" w:lineRule="exact"/>
        <w:rPr>
          <w:sz w:val="20"/>
          <w:szCs w:val="20"/>
          <w:color w:val="auto"/>
        </w:rPr>
      </w:pPr>
    </w:p>
    <w:p>
      <w:pPr>
        <w:ind w:left="440" w:right="200" w:firstLine="428"/>
        <w:spacing w:after="0" w:line="264" w:lineRule="auto"/>
        <w:tabs>
          <w:tab w:leader="none" w:pos="1243"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other Party or its Affiliates materially breaches this Agreement and such breach is not cured, to the reasonable satisfaction of the Terminating Party, within thirty (30) days of written notice thereof, it being understood that a good-faith dispute over an invoice or Service shall not constitute a material breach of this Agreement; or</w:t>
      </w:r>
    </w:p>
    <w:p>
      <w:pPr>
        <w:spacing w:after="0" w:line="73" w:lineRule="exact"/>
        <w:rPr>
          <w:rFonts w:ascii="Arial" w:cs="Arial" w:eastAsia="Arial" w:hAnsi="Arial"/>
          <w:sz w:val="18"/>
          <w:szCs w:val="18"/>
          <w:color w:val="auto"/>
        </w:rPr>
      </w:pPr>
    </w:p>
    <w:p>
      <w:pPr>
        <w:ind w:left="440" w:right="20" w:firstLine="428"/>
        <w:spacing w:after="0" w:line="257" w:lineRule="auto"/>
        <w:tabs>
          <w:tab w:leader="none" w:pos="1253"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other Party files for bankruptcy or similar proceeding, is the subject of an involuntary filing for bankruptcy or similar proceeding (not dismissed within sixty (60) days), makes a general assignment of all or substantially all of its assets for the benefit of creditors, becomes or is declared insolvent, becomes the subject of any proceedings (not dismissed within sixty (60) days) related to its liquidation, insolvency, bankruptcy or the appointment of a trustee or a receiver, takes any corporate action for its winding up or dissolution, or a court approves reorganization proceedings on such Party.</w:t>
      </w:r>
    </w:p>
    <w:p>
      <w:pPr>
        <w:sectPr>
          <w:pgSz w:w="11900" w:h="16838" w:orient="portrait"/>
          <w:cols w:equalWidth="0" w:num="1">
            <w:col w:w="11020"/>
          </w:cols>
          <w:pgMar w:left="440" w:top="274" w:right="439" w:bottom="1440" w:gutter="0" w:footer="0" w:header="0"/>
        </w:sectPr>
      </w:pPr>
    </w:p>
    <w:bookmarkStart w:id="626" w:name="page627"/>
    <w:bookmarkEnd w:id="626"/>
    <w:p>
      <w:pPr>
        <w:ind w:left="440"/>
        <w:spacing w:after="0"/>
        <w:tabs>
          <w:tab w:leader="none" w:pos="1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6.4</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any termination or expiration of this Agreement or any Service provided hereunder:</w:t>
      </w:r>
    </w:p>
    <w:p>
      <w:pPr>
        <w:spacing w:after="0" w:line="117" w:lineRule="exact"/>
        <w:rPr>
          <w:sz w:val="20"/>
          <w:szCs w:val="20"/>
          <w:color w:val="auto"/>
        </w:rPr>
      </w:pPr>
    </w:p>
    <w:p>
      <w:pPr>
        <w:ind w:left="440" w:firstLine="428"/>
        <w:spacing w:after="0" w:line="257" w:lineRule="auto"/>
        <w:tabs>
          <w:tab w:leader="none" w:pos="124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each Party shall, and shall cause its Affiliates to, as soon as practicable, return to the other Party any equipment, books, records, files and other property, not including current or archived copies of computer files, of the other Party, its Affiliates and their respective third-party service providers, that is in the Party’s or its Affiliates’ possession or control (and, in case of termination of one or more specific Services, only the equipment, books, records, files and other property, not including current or archived copies of computer files, that are used in connection with the provision or receipt solely of such Services and of no other Services); and</w:t>
      </w:r>
    </w:p>
    <w:p>
      <w:pPr>
        <w:spacing w:after="0" w:line="80" w:lineRule="exact"/>
        <w:rPr>
          <w:rFonts w:ascii="Arial" w:cs="Arial" w:eastAsia="Arial" w:hAnsi="Arial"/>
          <w:sz w:val="18"/>
          <w:szCs w:val="18"/>
          <w:color w:val="auto"/>
        </w:rPr>
      </w:pPr>
    </w:p>
    <w:p>
      <w:pPr>
        <w:ind w:left="440" w:right="60" w:firstLine="428"/>
        <w:spacing w:after="0" w:line="264" w:lineRule="auto"/>
        <w:tabs>
          <w:tab w:leader="none" w:pos="1253"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the intellectual property license granted by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termination of a specific Service, such license shall terminate only to the extent such license was necessary for the provision or receipt of such Service and is not necessary for any other Service that has not yet terminated.</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following Articles and Sections shall survive the termination or expiration of this Agreement, including the rights and obligations of each Party thereunder: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BOOKS AND RECORDS</w:t>
      </w:r>
    </w:p>
    <w:p>
      <w:pPr>
        <w:spacing w:after="0" w:line="19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TSA Books and Records</w:t>
      </w:r>
      <w:r>
        <w:rPr>
          <w:rFonts w:ascii="Arial" w:cs="Arial" w:eastAsia="Arial" w:hAnsi="Arial"/>
          <w:sz w:val="16"/>
          <w:szCs w:val="16"/>
          <w:color w:val="auto"/>
        </w:rPr>
        <w:t>.</w:t>
      </w:r>
    </w:p>
    <w:p>
      <w:pPr>
        <w:spacing w:after="0" w:line="117" w:lineRule="exact"/>
        <w:rPr>
          <w:sz w:val="20"/>
          <w:szCs w:val="20"/>
          <w:color w:val="auto"/>
        </w:rPr>
      </w:pPr>
    </w:p>
    <w:p>
      <w:pPr>
        <w:ind w:left="440" w:right="180" w:firstLine="428"/>
        <w:spacing w:after="0" w:line="279" w:lineRule="auto"/>
        <w:tabs>
          <w:tab w:leader="none" w:pos="124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Parties shall, and shall cause each of their respective Affiliates to, take reasonable steps to maintain books and records of all material transactions pertaining to, and all data used by it, in the performance of the Services (the “</w:t>
      </w:r>
      <w:r>
        <w:rPr>
          <w:rFonts w:ascii="Arial" w:cs="Arial" w:eastAsia="Arial" w:hAnsi="Arial"/>
          <w:sz w:val="17"/>
          <w:szCs w:val="17"/>
          <w:u w:val="single" w:color="auto"/>
          <w:color w:val="auto"/>
        </w:rPr>
        <w:t>TSA Records</w:t>
      </w:r>
      <w:r>
        <w:rPr>
          <w:rFonts w:ascii="Arial" w:cs="Arial" w:eastAsia="Arial" w:hAnsi="Arial"/>
          <w:sz w:val="17"/>
          <w:szCs w:val="17"/>
          <w:color w:val="auto"/>
        </w:rPr>
        <w:t>”). The TSA Records shall be maintained (a) in a format substantially similar to the format such books and records are maintained as of the date hereof, (b) in accordance with any and all applicable Laws, and (c) in accordance with the maintaining Party’s business record retention policies.</w:t>
      </w:r>
    </w:p>
    <w:p>
      <w:pPr>
        <w:spacing w:after="0" w:line="63" w:lineRule="exact"/>
        <w:rPr>
          <w:rFonts w:ascii="Arial" w:cs="Arial" w:eastAsia="Arial" w:hAnsi="Arial"/>
          <w:sz w:val="17"/>
          <w:szCs w:val="17"/>
          <w:color w:val="auto"/>
        </w:rPr>
      </w:pPr>
    </w:p>
    <w:p>
      <w:pPr>
        <w:ind w:left="440" w:right="60" w:firstLine="428"/>
        <w:spacing w:after="0" w:line="271" w:lineRule="auto"/>
        <w:tabs>
          <w:tab w:leader="none" w:pos="1253" w:val="left"/>
        </w:tabs>
        <w:numPr>
          <w:ilvl w:val="0"/>
          <w:numId w:val="550"/>
        </w:numPr>
        <w:rPr>
          <w:rFonts w:ascii="Arial" w:cs="Arial" w:eastAsia="Arial" w:hAnsi="Arial"/>
          <w:sz w:val="17"/>
          <w:szCs w:val="17"/>
          <w:color w:val="auto"/>
        </w:rPr>
      </w:pPr>
      <w:r>
        <w:rPr>
          <w:rFonts w:ascii="Arial" w:cs="Arial" w:eastAsia="Arial" w:hAnsi="Arial"/>
          <w:sz w:val="17"/>
          <w:szCs w:val="17"/>
          <w:color w:val="auto"/>
        </w:rPr>
        <w:t>Each Party shall make the TSA Records it maintains available to the other Party and its Affiliates and their respective auditors or other representatives, and in any event to any Governmental Authority, during normal business hours on reasonable prior notice (it being understood that TSA Records that are not stored on a Party’s regular business premises will require additional time to retrieve), for review, inspection, examination and, at the reviewing Party’s reasonable expense, reproduction. Access to such TSA Records shall be exercised by a Party and its Affiliates and their authorized representatives in a manner that shall not interfere unreasonably with the normal operations of the Party maintaining the TSA Records. In connection with such review of TSA Records, and upon reasonable prior notice, a reviewing Party and its Affiliates shall have the right to discuss matters relating to the TSA Records with the employees of the Party or its Affiliates who are maintaining the relevant TSA Records and providing the Services, as applicable, during regular</w:t>
      </w:r>
    </w:p>
    <w:p>
      <w:pPr>
        <w:sectPr>
          <w:pgSz w:w="11900" w:h="16838" w:orient="portrait"/>
          <w:cols w:equalWidth="0" w:num="1">
            <w:col w:w="11020"/>
          </w:cols>
          <w:pgMar w:left="440" w:top="274" w:right="439" w:bottom="1440" w:gutter="0" w:footer="0" w:header="0"/>
        </w:sectPr>
      </w:pPr>
    </w:p>
    <w:bookmarkStart w:id="627" w:name="page628"/>
    <w:bookmarkEnd w:id="627"/>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business hours and without undue disruption of the normal operations of such maintaining and providing Party or its Affiliates. Neither Party shall have access to any TSA Records, and neither Party shall be required to provide access or disclose information, when such access or disclosure would jeopardize any attorney-client privilege or violate any applicable Law (provided that such party shall use commercially reasonable efforts to provide such access or share such information in a manner that would not jeopardize any such privilege or violate any such Law). Each Party’s rights under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continue for so long as TSA Records are required to be maintained by the other Party under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1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Access to Information; Books and Records</w:t>
      </w:r>
      <w:r>
        <w:rPr>
          <w:rFonts w:ascii="Arial" w:cs="Arial" w:eastAsia="Arial" w:hAnsi="Arial"/>
          <w:sz w:val="16"/>
          <w:szCs w:val="16"/>
          <w:color w:val="auto"/>
        </w:rPr>
        <w:t>.</w:t>
      </w:r>
    </w:p>
    <w:p>
      <w:pPr>
        <w:spacing w:after="0" w:line="117" w:lineRule="exact"/>
        <w:rPr>
          <w:sz w:val="20"/>
          <w:szCs w:val="20"/>
          <w:color w:val="auto"/>
        </w:rPr>
      </w:pPr>
    </w:p>
    <w:p>
      <w:pPr>
        <w:ind w:right="200" w:firstLine="428"/>
        <w:spacing w:after="0" w:line="273" w:lineRule="auto"/>
        <w:tabs>
          <w:tab w:leader="none" w:pos="803" w:val="left"/>
        </w:tabs>
        <w:numPr>
          <w:ilvl w:val="1"/>
          <w:numId w:val="551"/>
        </w:numPr>
        <w:rPr>
          <w:rFonts w:ascii="Arial" w:cs="Arial" w:eastAsia="Arial" w:hAnsi="Arial"/>
          <w:sz w:val="17"/>
          <w:szCs w:val="17"/>
          <w:color w:val="auto"/>
        </w:rPr>
      </w:pPr>
      <w:r>
        <w:rPr>
          <w:rFonts w:ascii="Arial" w:cs="Arial" w:eastAsia="Arial" w:hAnsi="Arial"/>
          <w:sz w:val="17"/>
          <w:szCs w:val="17"/>
          <w:color w:val="auto"/>
        </w:rPr>
        <w:t xml:space="preserve">On and after the Commencement Date, Rank shall, and shall cause its Affiliates to, until the 7th anniversary of the Commencement Date, afford to RCP and its employees and authorized representatives during normal business hours reasonable access to their books of account, financial and other records (including accountant’s work papers), information, employees and auditors at the Company’s expense to the extent necessary or useful for the Company in connection with any audit, investigation, or dispute or Litigation (other than any Litigation involving a dispute between the Parties) or any other reasonable business purpose relating to the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access by RCP shall not unreasonably interfere with the conduct of the business of Rank and its Affiliates.</w:t>
      </w:r>
    </w:p>
    <w:p>
      <w:pPr>
        <w:spacing w:after="0" w:line="70" w:lineRule="exact"/>
        <w:rPr>
          <w:rFonts w:ascii="Arial" w:cs="Arial" w:eastAsia="Arial" w:hAnsi="Arial"/>
          <w:sz w:val="17"/>
          <w:szCs w:val="17"/>
          <w:color w:val="auto"/>
        </w:rPr>
      </w:pPr>
    </w:p>
    <w:p>
      <w:pPr>
        <w:ind w:right="100" w:firstLine="428"/>
        <w:spacing w:after="0" w:line="284" w:lineRule="auto"/>
        <w:tabs>
          <w:tab w:leader="none" w:pos="803" w:val="left"/>
        </w:tabs>
        <w:numPr>
          <w:ilvl w:val="1"/>
          <w:numId w:val="551"/>
        </w:numPr>
        <w:rPr>
          <w:rFonts w:ascii="Arial" w:cs="Arial" w:eastAsia="Arial" w:hAnsi="Arial"/>
          <w:sz w:val="16"/>
          <w:szCs w:val="16"/>
          <w:color w:val="auto"/>
        </w:rPr>
      </w:pPr>
      <w:r>
        <w:rPr>
          <w:rFonts w:ascii="Arial" w:cs="Arial" w:eastAsia="Arial" w:hAnsi="Arial"/>
          <w:sz w:val="16"/>
          <w:szCs w:val="16"/>
          <w:color w:val="auto"/>
        </w:rPr>
        <w:t>After the Commencement Date, RCP shall, and shall cause its Affiliates to, until the 7th anniversary of the date on which Rank and its Affiliates own less than 10% of the capital stock in RCP (i) afford to Rank and its Affiliates and their respective employees and authorized representatives reasonable access to RCP’s employees and auditors, (ii) retain all books, records (including accountant’s work papers), and other information and documents pertaining to the Business (iii) afford access to and make available for inspection and copying by Rank (at Rank’s expense) during normal business hours, in each case so as not to unreasonably interfere with the conduct of the Business by RCP or its Affiliates, their books of account, financial and other records (including accountant’s work papers), and such other information (A) as may be required by any Governmental Authority, including pursuant to any applicable Law or regulatory request or prepare to file any Tax related documentation,</w:t>
      </w:r>
    </w:p>
    <w:p>
      <w:pPr>
        <w:spacing w:after="0" w:line="2" w:lineRule="exact"/>
        <w:rPr>
          <w:rFonts w:ascii="Arial" w:cs="Arial" w:eastAsia="Arial" w:hAnsi="Arial"/>
          <w:sz w:val="16"/>
          <w:szCs w:val="16"/>
          <w:color w:val="auto"/>
        </w:rPr>
      </w:pPr>
    </w:p>
    <w:p>
      <w:pPr>
        <w:ind w:firstLine="4"/>
        <w:spacing w:after="0" w:line="254" w:lineRule="auto"/>
        <w:tabs>
          <w:tab w:leader="none" w:pos="28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as may be necessary for Rank or its Affiliates in connection with their ongoing financial reporting, accounting or other purpose related to Rank and its Affiliates’ affiliation with the Company, or (C) as may be necessary for Rank or its Affiliates to perform their respective obligations pursuant to this Agreement or in connection with any Litigation (other than any Litigation involving a dispute between the Parties), in each case subject to compliance with all applicable privacy Laws.</w:t>
      </w:r>
    </w:p>
    <w:p>
      <w:pPr>
        <w:spacing w:after="0" w:line="81" w:lineRule="exact"/>
        <w:rPr>
          <w:rFonts w:ascii="Arial" w:cs="Arial" w:eastAsia="Arial" w:hAnsi="Arial"/>
          <w:sz w:val="18"/>
          <w:szCs w:val="18"/>
          <w:color w:val="auto"/>
        </w:rPr>
      </w:pPr>
    </w:p>
    <w:p>
      <w:pPr>
        <w:ind w:right="40" w:firstLine="428"/>
        <w:spacing w:after="0" w:line="255" w:lineRule="auto"/>
        <w:tabs>
          <w:tab w:leader="none" w:pos="803" w:val="left"/>
        </w:tabs>
        <w:numPr>
          <w:ilvl w:val="1"/>
          <w:numId w:val="55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Party granting access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may withhold any document (or portions thereof) or information (i) that is subject to the terms of a non-disclosure agreement with a third party (provided that such party shall use commercially reasonable efforts to share such information in a manner that would not violate any such obligation), (ii) that may constitute privileged attorney-client communications or attorney work product and the transfer of which, or the provision of access to which, as reasonably determined by such Party’s counsel, constitutes a waiver of any such privilege (provided that such party shall use commercially reasonable efforts to share</w:t>
      </w:r>
    </w:p>
    <w:p>
      <w:pPr>
        <w:sectPr>
          <w:pgSz w:w="11900" w:h="16838" w:orient="portrait"/>
          <w:cols w:equalWidth="0" w:num="1">
            <w:col w:w="10580"/>
          </w:cols>
          <w:pgMar w:left="880" w:top="274" w:right="439" w:bottom="1440" w:gutter="0" w:footer="0" w:header="0"/>
        </w:sectPr>
      </w:pPr>
    </w:p>
    <w:bookmarkStart w:id="628" w:name="page629"/>
    <w:bookmarkEnd w:id="628"/>
    <w:p>
      <w:pPr>
        <w:ind w:lef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information in a manner that would not jeopardize any such privilege), or (iii) if the provision of access to such document (or portion thereof) or information, as determined by such Party’s counsel, would reasonably be expected to conflict with applicable Laws.</w:t>
      </w:r>
    </w:p>
    <w:p>
      <w:pPr>
        <w:spacing w:after="0" w:line="14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Non-Disclosure Agreements</w:t>
      </w:r>
      <w:r>
        <w:rPr>
          <w:rFonts w:ascii="Arial" w:cs="Arial" w:eastAsia="Arial" w:hAnsi="Arial"/>
          <w:sz w:val="18"/>
          <w:szCs w:val="18"/>
          <w:color w:val="auto"/>
        </w:rPr>
        <w:t>. To the extent that any third-party proprietor of information or software to be disclosed or made available to a Recipient in connection with performance of the Services requires a specific form of non-disclosure agreement as a condition of such third party’s consent to use the same for the benefit of the Recipient or to permit the Recipient access to such information or software, each Party shall, or shall cause its relevant Affiliate to, as a condition to the receipt of such portion of the Services, execute (and shall cause its Personnel to execute, if reasonably required) any such form.</w:t>
      </w:r>
    </w:p>
    <w:p>
      <w:pPr>
        <w:spacing w:after="0" w:line="18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b w:val="1"/>
          <w:bCs w:val="1"/>
          <w:color w:val="auto"/>
        </w:rPr>
        <w:t>.</w:t>
      </w:r>
    </w:p>
    <w:p>
      <w:pPr>
        <w:spacing w:after="0" w:line="121" w:lineRule="exact"/>
        <w:rPr>
          <w:sz w:val="20"/>
          <w:szCs w:val="20"/>
          <w:color w:val="auto"/>
        </w:rPr>
      </w:pPr>
    </w:p>
    <w:p>
      <w:pPr>
        <w:ind w:left="440" w:firstLine="428"/>
        <w:spacing w:after="0" w:line="269" w:lineRule="auto"/>
        <w:tabs>
          <w:tab w:leader="none" w:pos="1243" w:val="left"/>
        </w:tabs>
        <w:numPr>
          <w:ilvl w:val="0"/>
          <w:numId w:val="553"/>
        </w:numPr>
        <w:rPr>
          <w:rFonts w:ascii="Arial" w:cs="Arial" w:eastAsia="Arial" w:hAnsi="Arial"/>
          <w:sz w:val="17"/>
          <w:szCs w:val="17"/>
          <w:color w:val="auto"/>
        </w:rPr>
      </w:pPr>
      <w:r>
        <w:rPr>
          <w:rFonts w:ascii="Arial" w:cs="Arial" w:eastAsia="Arial" w:hAnsi="Arial"/>
          <w:sz w:val="17"/>
          <w:szCs w:val="17"/>
          <w:color w:val="auto"/>
        </w:rPr>
        <w:t xml:space="preserve">Each Party agrees to take the necessary steps to protect any Confidential Information of the other Party with at least the same degree of care that the receiving Party uses to protect its own confidential or proprietary information of like kind, but not less than reasonable care. Neither Party shall use the other Party’s Confidential Information other than to perform Services pursuant to this Agreement or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herein. The obligation of confidentiality hereunder shall not apply to information that (i) was already in the possession of the receiving Party without restriction on its use or disclosure prior to the receipt of the information from the disclosing Party, (ii) is or becomes available to the general public through no act or fault of the receiving Party, (iii) is rightfully disclosed to the receiving Party by a third party without restriction on its use or disclosure, (iv) is independently developed by employees and/or consultants of the receiving Party who have not had access to the disclosing Party’s Confidential Information, (v) is disclosed to the receiving Party after the receiving Party properly gave notice to the disclosing Party that the receiving Party no longer desired to receive any additional Confidential Information from the disclosing Party, or (vi) is required to be disclosed pursuant to judicial or governmental decree or order, provided that the disclosing Party is, where permitted, given prompt written notice of and the opportunity to defend against disclosure pursuant to such decree or order.</w:t>
      </w:r>
    </w:p>
    <w:p>
      <w:pPr>
        <w:spacing w:after="0" w:line="74" w:lineRule="exact"/>
        <w:rPr>
          <w:rFonts w:ascii="Arial" w:cs="Arial" w:eastAsia="Arial" w:hAnsi="Arial"/>
          <w:sz w:val="17"/>
          <w:szCs w:val="17"/>
          <w:color w:val="auto"/>
        </w:rPr>
      </w:pPr>
    </w:p>
    <w:p>
      <w:pPr>
        <w:ind w:left="440" w:right="40" w:firstLine="428"/>
        <w:spacing w:after="0" w:line="290" w:lineRule="auto"/>
        <w:tabs>
          <w:tab w:leader="none" w:pos="1253"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Upon any termination or expiration of this Agreement, at the written request of the other Party, each Party shall, and shall cause any of its Affiliates or third-party vendors used in connection with the provision or receipt of the Services to, deliver to the other Party (i) all records and data (including backup tapes, records and related information) received, computed, developed, processed and stored by it hereunder in a readable format reasonably acceptable to the other Party, and (ii) all other Confidential Information of such other Party, but excluding, in each case, (1) any information stored electronically in a back-up file pursuant to the receiving Party’s customary electronic back-up practices which may be retained by such Party solely for archival purposes and subject to the continuing confidentiality obligations set forth herein, and (2) any information obtained pursuant to Section 7.2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lieu of delivering all of the foregoing to the other Party, the relevant delivering Party may confirm in writing that it has destroyed, or has caused Rank or the Company, as the case may be, to destroy, all of the foregoing.</w:t>
      </w:r>
    </w:p>
    <w:p>
      <w:pPr>
        <w:sectPr>
          <w:pgSz w:w="11900" w:h="16838" w:orient="portrait"/>
          <w:cols w:equalWidth="0" w:num="1">
            <w:col w:w="11020"/>
          </w:cols>
          <w:pgMar w:left="440" w:top="273" w:right="439" w:bottom="1440" w:gutter="0" w:footer="0" w:header="0"/>
        </w:sectPr>
      </w:pPr>
    </w:p>
    <w:bookmarkStart w:id="629" w:name="page630"/>
    <w:bookmarkEnd w:id="62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INTELLECTUAL PROPERTY</w:t>
      </w:r>
    </w:p>
    <w:p>
      <w:pPr>
        <w:spacing w:after="0" w:line="195" w:lineRule="exact"/>
        <w:rPr>
          <w:sz w:val="20"/>
          <w:szCs w:val="20"/>
          <w:color w:val="auto"/>
        </w:rPr>
      </w:pPr>
    </w:p>
    <w:p>
      <w:pPr>
        <w:jc w:val="both"/>
        <w:ind w:right="420" w:firstLine="441"/>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Any intellectual property owned by a Party, its Affiliates or third-party vendors and used in connection with the provision or receipt of the Services, as applicable, shall remain the property of such Party, its Affiliates, or third-party vendors.</w:t>
      </w:r>
    </w:p>
    <w:p>
      <w:pPr>
        <w:spacing w:after="0" w:line="124"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License</w:t>
      </w:r>
      <w:r>
        <w:rPr>
          <w:rFonts w:ascii="Arial" w:cs="Arial" w:eastAsia="Arial" w:hAnsi="Arial"/>
          <w:sz w:val="18"/>
          <w:szCs w:val="18"/>
          <w:color w:val="auto"/>
        </w:rPr>
        <w:t>. Each Party grants, and shall cause its Affiliates to grant, to the other Party and its Affiliates, a royalty-free, non-exclusive, non-transferable, worldwide license, during the Term, to use the intellectual property owned by such Party or its Affiliates (but excluding any trademarks) only to the extent necessary for the other Party and its Affiliates to provide or receive the Services, as applicable. Other than the license granted to a Party and its Affiliates pursuant to the preceding sentence, neither Party nor its Affiliates shall have any right, title or interest in the intellectual property owned by the other Party or its Affiliates.</w:t>
      </w:r>
    </w:p>
    <w:p>
      <w:pPr>
        <w:spacing w:after="0" w:line="18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REMEDIES</w:t>
      </w:r>
    </w:p>
    <w:p>
      <w:pPr>
        <w:spacing w:after="0" w:line="19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each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agrees to indemnify, defend and hold harmless the other Party and its Affiliates and its and their respective directors, officers, employees, agents, representatives, successors and permitted assigns (collectively, the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all Losses imposed upon or incurred by an Indemnified Party to the extent arising out of or resulting from the Indemnifying Party’s or its Affiliates’ material breach of this Agreement, except to the extent that such Losses are primarily caused by the Indemnified Party.</w:t>
      </w:r>
    </w:p>
    <w:p>
      <w:pPr>
        <w:spacing w:after="0" w:line="188"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The indemnities provided for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be the sole and exclusive monetary remedy of the Parties hereto and their Affiliates and their respective officers, directors, employees, agents, representatives, successors and permitted assigns for any breach of or inaccuracy in any representation or warranty, or any breach, nonfulfillment or default in the performance of any of the covenants or agreements contained in this Agreement, and the Parties shall not be entitled to a rescission of this Agreement or to any further indemnification rights or claims of any nature whatsoever in respect thereof (including any common law rights of contribution), all of which the Parties hereto hereby waive.</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SET FORTH IN THIS AGREEMENT, (A) NO PARTY MAKES ANY REPRESENTATIONS OR WARRANTIES OF ANY KIND, EXPRESS OR IMPLIED, WITH RESPECT TO THE MATERIALS AND SERVICES, AS APPLICABLE, PROVIDED HEREUNDER, AND ALL SUCH MATERIALS AND SERVICES, AS APPLICABLE, ARE PROVIDED ON AN “AS IS” BASIS AND (B) EACH PARTY DISCLAIMS ANY AND ALL WARRANTIES, EXPRESS OR IMPLIED, INCLUDING ANY IMPLIED WARRANTIES OF MERCHANTABILITY, NON-INFRINGEMENT OR FITNESS FOR A PARTICULAR PURPOSE.</w:t>
      </w:r>
    </w:p>
    <w:p>
      <w:pPr>
        <w:spacing w:after="0" w:line="173"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117" w:lineRule="exact"/>
        <w:rPr>
          <w:sz w:val="20"/>
          <w:szCs w:val="20"/>
          <w:color w:val="auto"/>
        </w:rPr>
      </w:pPr>
    </w:p>
    <w:p>
      <w:pPr>
        <w:ind w:left="440" w:right="100" w:firstLine="428"/>
        <w:spacing w:after="0" w:line="264" w:lineRule="auto"/>
        <w:tabs>
          <w:tab w:leader="none" w:pos="1243"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IN NO EVENT SHALL ANY PARTY BE LIABLE TO THE OTHER PARTY FOR ANY INDIRECT, SPECIAL, EXEMPLARY, PUNITIVE OR CONSEQUENTIAL DAMAGES, OR LOST PROFITS OR LOST REVENUES THAT THE OTHER PARTY MAY INCUR BY REASON OF ITS HAVING</w:t>
      </w:r>
    </w:p>
    <w:p>
      <w:pPr>
        <w:sectPr>
          <w:pgSz w:w="11900" w:h="16838" w:orient="portrait"/>
          <w:cols w:equalWidth="0" w:num="1">
            <w:col w:w="11020"/>
          </w:cols>
          <w:pgMar w:left="440" w:top="267" w:right="439" w:bottom="1440" w:gutter="0" w:footer="0" w:header="0"/>
        </w:sectPr>
      </w:pPr>
    </w:p>
    <w:bookmarkStart w:id="630" w:name="page631"/>
    <w:bookmarkEnd w:id="630"/>
    <w:p>
      <w:pPr>
        <w:ind w:left="440" w:right="6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ENTERED INTO OR RELIED UPON THIS AGREEMENT, OR IN CONNECTION WITH ANY OF THE SERVICES PROVIDED HEREUNDER OR THE FAILURE THEREOF, REGARDLESS OF THE FORM OF ACTION IN WHICH SUCH DAMAGES ARE ASSERTED, WHETHER IN CONTRACT OR TORT (INCLUDING NEGLIGENCE) OR OTHERWISE, EVEN IF ADVISED OF THE POSSIBILITY OF THE SAME OTHER THAN TO THE EXTENT AWARDED IN A THIRD PARTY CLAIM.</w:t>
      </w:r>
    </w:p>
    <w:p>
      <w:pPr>
        <w:spacing w:after="0" w:line="63" w:lineRule="exact"/>
        <w:rPr>
          <w:sz w:val="20"/>
          <w:szCs w:val="20"/>
          <w:color w:val="auto"/>
        </w:rPr>
      </w:pPr>
    </w:p>
    <w:p>
      <w:pPr>
        <w:ind w:left="440" w:right="380" w:firstLine="428"/>
        <w:spacing w:after="0" w:line="264" w:lineRule="auto"/>
        <w:tabs>
          <w:tab w:leader="none" w:pos="1253" w:val="left"/>
        </w:tabs>
        <w:numPr>
          <w:ilvl w:val="0"/>
          <w:numId w:val="555"/>
        </w:numPr>
        <w:rPr>
          <w:rFonts w:ascii="Arial" w:cs="Arial" w:eastAsia="Arial" w:hAnsi="Arial"/>
          <w:sz w:val="18"/>
          <w:szCs w:val="18"/>
          <w:color w:val="auto"/>
        </w:rPr>
      </w:pPr>
      <w:r>
        <w:rPr>
          <w:rFonts w:ascii="Arial" w:cs="Arial" w:eastAsia="Arial" w:hAnsi="Arial"/>
          <w:sz w:val="18"/>
          <w:szCs w:val="18"/>
          <w:color w:val="auto"/>
        </w:rPr>
        <w:t>EXCEPT WITH RESPECT TO A MATERIAL BREACH CONSTITUTING WILLFUL MISCONDUCT BY A PROVIDER, REPEAT PERFORMANCE OF A SERVICE BY THE PROVIDER OR REFUND OF THE FEES PAID FOR A SERVICE SHALL BE THE SOLE AND EXCLUSIVE REMEDY FOR BREACH OF THE SERVICES STANDARD FOR SUCH SERVICE.</w:t>
      </w:r>
    </w:p>
    <w:p>
      <w:pPr>
        <w:spacing w:after="0" w:line="73" w:lineRule="exact"/>
        <w:rPr>
          <w:rFonts w:ascii="Arial" w:cs="Arial" w:eastAsia="Arial" w:hAnsi="Arial"/>
          <w:sz w:val="18"/>
          <w:szCs w:val="18"/>
          <w:color w:val="auto"/>
        </w:rPr>
      </w:pPr>
    </w:p>
    <w:p>
      <w:pPr>
        <w:ind w:left="440" w:right="600" w:firstLine="428"/>
        <w:spacing w:after="0" w:line="308" w:lineRule="auto"/>
        <w:tabs>
          <w:tab w:leader="none" w:pos="1243" w:val="left"/>
        </w:tabs>
        <w:numPr>
          <w:ilvl w:val="0"/>
          <w:numId w:val="555"/>
        </w:numPr>
        <w:rPr>
          <w:rFonts w:ascii="Arial" w:cs="Arial" w:eastAsia="Arial" w:hAnsi="Arial"/>
          <w:sz w:val="17"/>
          <w:szCs w:val="17"/>
          <w:color w:val="auto"/>
        </w:rPr>
      </w:pPr>
      <w:r>
        <w:rPr>
          <w:rFonts w:ascii="Arial" w:cs="Arial" w:eastAsia="Arial" w:hAnsi="Arial"/>
          <w:sz w:val="17"/>
          <w:szCs w:val="17"/>
          <w:color w:val="auto"/>
        </w:rPr>
        <w:t>IN NO EVENT SHALL A PARTY’S LIABILITY IN RELATION TO SERVICES PROVIDED UNDER THIS AGREEMENT EXCEED THE FEES PAID TO IT UNDER THIS AGREEMENT FOR THE SPECIFIC SERVICE THAT RESULTED IN THE LOSS.</w:t>
      </w:r>
    </w:p>
    <w:p>
      <w:pPr>
        <w:spacing w:after="0" w:line="14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obtain and maintain, for the Term (i) commercial general liability insurance with a single combined liability limit of at least $5,000,000 per occurrence, (ii) workers compensation/employer’s liability insurance with a liability limit of at least $1,000,000 per occurrence or, if greater, the statutory minimum, and (iii) “all risk” property insurance on a replacement cost basis adequate to cover all assets and business interruption Losses that a Party may suffer in connection with or arising out of this Agreement, subject to policy limits and, in the case of the policies described in clause (i) above, naming the other Party as an additional insured thereunder. Upon request, each Party shall provide the other Party a certificate of insurance as proof of insurance coverage.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19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Force Majeure</w:t>
      </w:r>
      <w:r>
        <w:rPr>
          <w:rFonts w:ascii="Arial" w:cs="Arial" w:eastAsia="Arial" w:hAnsi="Arial"/>
          <w:sz w:val="17"/>
          <w:szCs w:val="17"/>
          <w:color w:val="auto"/>
        </w:rPr>
        <w:t>. In the event that a Party is wholly or partially prevented from, or delayed in, providing one or more Services, or one or more Services are interrupted or suspended, by reason of events beyond their reasonable control, which by their nature were not foreseen, or, if it was foreseen, was not reasonably avoidable, including acts of God, act of Governmental Authority, act of the public enemy or due to fire, explosion, accident, floods, embargoes, epidemics, war, acts of terrorism, nuclear disaster, civil unrest or riots, civil commotion, insurrection, severe or adverse weather conditions, lack of or shortage of adequate electrical power, malfunctions of equipment or software (each,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such Party shall promptly give notice of any such Force Majeure Event to the other Party and shall indicate in such notice the effect of such event on their ability to perform hereunder and the anticipated duration of such event. The Party whose performance is affected by the Force Majeure Event shall not be obligated to deliver or cause to be delivered the affected Services during such period, and the applicable Party shall not be obligated to pay during such period for any affected Services not delivered. For the duration of a Force Majeure Event, the Party whose performance is affected by the Force Majeure Event shall, and shall cause their relevant Affiliates to, minimize to the extent practicable the effect of the Force Majeure Event on their obligations hereunder and use commercially reasonable efforts to avoid or remove such Force Majeure Event and to resume delivery of the affected Services with the least delay practicable.</w:t>
      </w:r>
    </w:p>
    <w:p>
      <w:pPr>
        <w:sectPr>
          <w:pgSz w:w="11900" w:h="16838" w:orient="portrait"/>
          <w:cols w:equalWidth="0" w:num="1">
            <w:col w:w="11020"/>
          </w:cols>
          <w:pgMar w:left="440" w:top="274" w:right="439" w:bottom="1440" w:gutter="0" w:footer="0" w:header="0"/>
        </w:sectPr>
      </w:pPr>
    </w:p>
    <w:bookmarkStart w:id="631" w:name="page632"/>
    <w:bookmarkEnd w:id="631"/>
    <w:p>
      <w:pPr>
        <w:ind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10.2 </w:t>
      </w:r>
      <w:r>
        <w:rPr>
          <w:rFonts w:ascii="Arial" w:cs="Arial" w:eastAsia="Arial" w:hAnsi="Arial"/>
          <w:sz w:val="16"/>
          <w:szCs w:val="16"/>
          <w:u w:val="single" w:color="auto"/>
          <w:color w:val="auto"/>
        </w:rPr>
        <w:t>Authority</w:t>
      </w:r>
      <w:r>
        <w:rPr>
          <w:rFonts w:ascii="Arial" w:cs="Arial" w:eastAsia="Arial" w:hAnsi="Arial"/>
          <w:sz w:val="16"/>
          <w:szCs w:val="16"/>
          <w:color w:val="auto"/>
        </w:rPr>
        <w:t>. A Provider shall not be permitted to bind a Recipient or any of its Affiliates or enter into any agreements (oral or written), contracts, leases, licenses or other documents (including the signing of checks, notes, bills of exchange or any other document, or accessing any funds from any bank accounts of the Recipient or any of its Affiliates) on behalf of the Recipient or any of its Affiliates except with the express prior written consent of the Recipient, which consent may be given from time to time as the need arises and for such limited purposes as expressed therein.</w:t>
      </w:r>
    </w:p>
    <w:p>
      <w:pPr>
        <w:spacing w:after="0" w:line="15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to prevent actual or threatened breaches of this Agreement and to enforce specifically the terms and provisions of this Agreement, this being in addition to any other remedy to which they are entitled at law or in equity. For the avoidance of doubt, nothing contained herein shall prevent a Party from seeking damages (to the extent permitted herein) in the event that specific performance is not available.</w:t>
      </w:r>
    </w:p>
    <w:p>
      <w:pPr>
        <w:spacing w:after="0" w:line="18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Status of Parties</w:t>
      </w:r>
      <w:r>
        <w:rPr>
          <w:rFonts w:ascii="Arial" w:cs="Arial" w:eastAsia="Arial" w:hAnsi="Arial"/>
          <w:sz w:val="18"/>
          <w:szCs w:val="18"/>
          <w:color w:val="auto"/>
        </w:rPr>
        <w:t>. This Agreement is not intended to create, nor will it be deemed or construed to create, any relationship between Rank and its Affiliates, on the one hand, and the Company and its respective Affiliates, on the other hand, other than that of independent entities contracting with each other solely for the purpose of effecting the provisions of this Agreement. Neither Rank and its Affiliates, on the one hand, nor the Company and its Affiliates, on the other hand, shall be construed to be the agent of the other.</w:t>
      </w:r>
    </w:p>
    <w:p>
      <w:pPr>
        <w:spacing w:after="0" w:line="18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by delivery in person, via email (followed by overnight courier), or by registered or certified mail (postage prepaid, return receipt requested) to the other Party hereto as follows: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1900 W. Field Court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Lake Forest, IL 60045</w:t>
      </w:r>
    </w:p>
    <w:p>
      <w:pPr>
        <w:spacing w:after="0" w:line="9"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Watson</w:t>
      </w:r>
    </w:p>
    <w:p>
      <w:pPr>
        <w:spacing w:after="0" w:line="9"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David.Watson@reynoldsbrands.com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Rank,</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Rank Group Limited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Nine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148 Quay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P.O. Box 3515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Auckland, New Zealand</w:t>
      </w:r>
    </w:p>
    <w:p>
      <w:pPr>
        <w:spacing w:after="0" w:line="9"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Helen Golding</w:t>
      </w:r>
    </w:p>
    <w:p>
      <w:pPr>
        <w:spacing w:after="0" w:line="9" w:lineRule="exact"/>
        <w:rPr>
          <w:sz w:val="20"/>
          <w:szCs w:val="20"/>
          <w:color w:val="auto"/>
        </w:rPr>
      </w:pPr>
    </w:p>
    <w:p>
      <w:pPr>
        <w:ind w:left="980"/>
        <w:spacing w:after="0"/>
        <w:tabs>
          <w:tab w:leader="none" w:pos="2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helen.golding@rankgroup.co.nz</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or such other address or email as such party may hereafter specify for the purpose by notice to the other Party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Notwithstanding the foregoing, normal business communications with respect to the Services may be given by the Parties by whatever means are usual and appropriate for such types of communications.</w:t>
      </w:r>
    </w:p>
    <w:p>
      <w:pPr>
        <w:sectPr>
          <w:pgSz w:w="11900" w:h="16838" w:orient="portrait"/>
          <w:cols w:equalWidth="0" w:num="1">
            <w:col w:w="11020"/>
          </w:cols>
          <w:pgMar w:left="440" w:top="273" w:right="439" w:bottom="1440" w:gutter="0" w:footer="0" w:header="0"/>
        </w:sectPr>
      </w:pPr>
    </w:p>
    <w:bookmarkStart w:id="632" w:name="page633"/>
    <w:bookmarkEnd w:id="632"/>
    <w:p>
      <w:pPr>
        <w:ind w:right="10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10.6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all Exhibits, constitute the sole and entire agreement and supersede all prior agreements, understandings and representations, both written and oral, between the Parties with respect to the subject matter hereof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nothing in this Agreement shall supersede any other agreement or understanding entered into in connection with the initial public offering of the Company</w:t>
      </w:r>
      <w:r>
        <w:rPr>
          <w:rFonts w:ascii="Arial" w:cs="Arial" w:eastAsia="Arial" w:hAnsi="Arial"/>
          <w:sz w:val="18"/>
          <w:szCs w:val="18"/>
          <w:color w:val="auto"/>
        </w:rPr>
        <w:t>.</w:t>
      </w:r>
    </w:p>
    <w:p>
      <w:pPr>
        <w:spacing w:after="0" w:line="187"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Waivers and Amendments; Non-Contractual Remedies; Preservation of Remedies</w:t>
      </w:r>
      <w:r>
        <w:rPr>
          <w:rFonts w:ascii="Arial" w:cs="Arial" w:eastAsia="Arial" w:hAnsi="Arial"/>
          <w:sz w:val="16"/>
          <w:szCs w:val="16"/>
          <w:color w:val="auto"/>
        </w:rPr>
        <w:t>. 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spacing w:after="0" w:line="16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Governing Law, etc</w:t>
      </w:r>
      <w:r>
        <w:rPr>
          <w:rFonts w:ascii="Arial" w:cs="Arial" w:eastAsia="Arial" w:hAnsi="Arial"/>
          <w:sz w:val="16"/>
          <w:szCs w:val="16"/>
          <w:color w:val="auto"/>
        </w:rPr>
        <w:t>.</w:t>
      </w:r>
    </w:p>
    <w:p>
      <w:pPr>
        <w:spacing w:after="0" w:line="117" w:lineRule="exact"/>
        <w:rPr>
          <w:sz w:val="20"/>
          <w:szCs w:val="20"/>
          <w:color w:val="auto"/>
        </w:rPr>
      </w:pPr>
    </w:p>
    <w:p>
      <w:pPr>
        <w:ind w:left="440" w:firstLine="428"/>
        <w:spacing w:after="0" w:line="287" w:lineRule="auto"/>
        <w:tabs>
          <w:tab w:leader="none" w:pos="124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This Agreement shall be governed in all respects, including as to validity, interpretation and effect, by the Laws of the State of Illinois, without giving effect to its principles or rules of conflict of laws, to the extent such principles or rules are not mandatorily applicable by statute and would permit or require the application of the Laws of another jurisdiction. Each of the Parties hereto submits to the jurisdiction of any state or federal court sitting in Lake County, Illinois, in any action or proceeding arising out of or relating to this Agreement, agrees to bring all claims under any theory of liability in respect of such action or proceeding exclusively in any such court and agrees not to bring any action or proceeding arising out of or relating to this Agreement in any other court. Each of the Parties hereto waives any defense of inconvenient forum to the maintenance of any action or proceeding so brought and waives any bond, surety or other security that might be required of any other party with respect thereto. Each Party hereto agrees that service of summons and complaint or any other process that might be served in any action or proceeding may be made on such Party by sending or delivering a copy of the process to the Party to be served at the address of the Party and in the manner provided for the giving of notices in Section 10.5. Nothing in this Section 10.8, however, shall affect the right of any Party to serve legal process in any other manner permitted by Law. Each Party hereto agrees that a final, non-appealable judgment in any action or proceeding so brought shall be conclusive and may be enforced by suit on the judgment or in any other manner provided by Law.</w:t>
      </w:r>
    </w:p>
    <w:p>
      <w:pPr>
        <w:spacing w:after="0" w:line="60" w:lineRule="exact"/>
        <w:rPr>
          <w:rFonts w:ascii="Arial" w:cs="Arial" w:eastAsia="Arial" w:hAnsi="Arial"/>
          <w:sz w:val="16"/>
          <w:szCs w:val="16"/>
          <w:color w:val="auto"/>
        </w:rPr>
      </w:pPr>
    </w:p>
    <w:p>
      <w:pPr>
        <w:jc w:val="both"/>
        <w:ind w:left="440" w:right="120" w:firstLine="428"/>
        <w:spacing w:after="0" w:line="264" w:lineRule="auto"/>
        <w:tabs>
          <w:tab w:leader="none" w:pos="125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 Parties each hereby waive, to the fullest extent permitted by Law, any right to trial by jury of any claim, demand, action, or cause of action (i) arising under this Agreement or (ii) in any way connected with or related or incidental to the dealings of the Parties hereto in respect of this Agreement or any of the transactions</w:t>
      </w:r>
    </w:p>
    <w:p>
      <w:pPr>
        <w:sectPr>
          <w:pgSz w:w="11900" w:h="16838" w:orient="portrait"/>
          <w:cols w:equalWidth="0" w:num="1">
            <w:col w:w="11000"/>
          </w:cols>
          <w:pgMar w:left="440" w:top="275" w:right="459" w:bottom="1440" w:gutter="0" w:footer="0" w:header="0"/>
        </w:sectPr>
      </w:pPr>
    </w:p>
    <w:bookmarkStart w:id="633" w:name="page634"/>
    <w:bookmarkEnd w:id="633"/>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hereto, in each case whether now existing or hereafter arising, and whether in contract, tort, equity, or otherwise. The Parties to this Agreement each hereby agree and consent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covenants and agrees that, without any additional consideration, it shall execute and deliver, or shall cause its Affiliates to execute and deliver, such documents and other papers and shall take, or shall cause its Affiliates to take, such further actions as may be reasonably required to carry out the provisions of this Agreement and give effect to the transactions contemplated by this Agreement.</w:t>
      </w:r>
    </w:p>
    <w:p>
      <w:pPr>
        <w:spacing w:after="0" w:line="147"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No Party may assign this Agreement, or any of its rights or obligations under this Agreement (whether by operation of Law or otherwise), without the prior written consent of the other Party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any Party may assign any or all of its rights or obligations under this Agreement without requiring the consent of the other Party if the Agreement is assigned to: (a) its Affiliates, (b) a purchaser of: (i) one or more of its Affiliates that is a Provider or Recipient under this Agreement;</w:t>
      </w:r>
    </w:p>
    <w:p>
      <w:pPr>
        <w:spacing w:after="0" w:line="2" w:lineRule="exact"/>
        <w:rPr>
          <w:sz w:val="20"/>
          <w:szCs w:val="20"/>
          <w:color w:val="auto"/>
        </w:rPr>
      </w:pPr>
    </w:p>
    <w:p>
      <w:pPr>
        <w:ind w:right="140" w:firstLine="4"/>
        <w:spacing w:after="0" w:line="253" w:lineRule="auto"/>
        <w:tabs>
          <w:tab w:leader="none" w:pos="26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xml:space="preserve">all or substantially all of the business or assets of one or more of its Affiliates that is a Provider or Recipient under this Agreement; or (iii) all or substantially all of such Party’s business or assets, or (c) its financing sources solely for collateral purposes, in each case so long as the assignee agrees to be bound by the terms of this Agreement. Any permitted assignment shall be binding upon and inure to the benefit of the Parties and their respective heirs, successors and permitted assigns. Any attempted assignment of this Agreement, or the rights or obligations herein, not in accordance with the terms of this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shall be void.</w:t>
      </w:r>
    </w:p>
    <w:p>
      <w:pPr>
        <w:spacing w:after="0" w:line="191"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Letters of Credit and Guarantees</w:t>
      </w:r>
      <w:r>
        <w:rPr>
          <w:rFonts w:ascii="Arial" w:cs="Arial" w:eastAsia="Arial" w:hAnsi="Arial"/>
          <w:sz w:val="16"/>
          <w:szCs w:val="16"/>
          <w:color w:val="auto"/>
        </w:rPr>
        <w:t>. Rank and the Company shall use commercially reasonable efforts to cause all Rank Letters of Credit and Rank Guarantees, in each case with respect to the Company, to be canceled or terminated, as of the Commencement Date such that Rank and its Affiliates shall be released and have no further obligation or liability (contingent or otherwise) under such Rank Letters of Credit or Rank Guarantees (to the extent applicable to the Company) from and after the Commencement Date. With respect to any Rank Letters of Credit or Rank Guarantees not terminated at the Commencement Date, RCP shall use commercially reasonable efforts to replace, cash collateralize or otherwise “backstop” such Rank Letters of Credit and Rank Guarantees at or prior to the Commencement Date. Following the Commencement Date, RCP shall indemnify Rank and its Affiliates against any and all losses suffered or incurred in connection with the Company under the Rank Letters of Credit or Rank Guarantees.</w:t>
      </w:r>
    </w:p>
    <w:p>
      <w:pPr>
        <w:spacing w:after="0" w:line="167"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determined by a court of competent jurisdiction to be invalid, illegal or unenforceable, all other provisions of this Agreement shall remain in full force and effect so long as the economic or legal substance of the transactions contemplated hereby is not affected in any manner materially adverse to any Party. Upon any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3"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sectPr>
      </w:pPr>
    </w:p>
    <w:bookmarkStart w:id="634" w:name="page635"/>
    <w:bookmarkEnd w:id="634"/>
    <w:p>
      <w:pPr>
        <w:ind w:left="440" w:right="180" w:firstLine="428"/>
        <w:spacing w:after="0" w:line="277" w:lineRule="auto"/>
        <w:tabs>
          <w:tab w:leader="none" w:pos="1240" w:val="left"/>
        </w:tabs>
        <w:numPr>
          <w:ilvl w:val="0"/>
          <w:numId w:val="5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acknowledge and agree that, except as specifically provided herein, they may pursue judicial remedies at law or equity in the event of a dispute with respect to the interpretation or construction of this Agreement.</w:t>
      </w:r>
    </w:p>
    <w:p>
      <w:pPr>
        <w:spacing w:after="0" w:line="62" w:lineRule="exact"/>
        <w:rPr>
          <w:rFonts w:ascii="Arial" w:cs="Arial" w:eastAsia="Arial" w:hAnsi="Arial"/>
          <w:sz w:val="18"/>
          <w:szCs w:val="18"/>
          <w:color w:val="auto"/>
        </w:rPr>
      </w:pPr>
    </w:p>
    <w:p>
      <w:pPr>
        <w:ind w:left="440" w:firstLine="428"/>
        <w:spacing w:after="0" w:line="277" w:lineRule="auto"/>
        <w:tabs>
          <w:tab w:leader="none" w:pos="125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provisions hereof without the aid of any canon, custom or rule of law requiring or suggesting constitution against the Party causing the drafting of the provision in question.</w:t>
      </w:r>
    </w:p>
    <w:p>
      <w:pPr>
        <w:spacing w:after="0" w:line="170" w:lineRule="exact"/>
        <w:rPr>
          <w:sz w:val="20"/>
          <w:szCs w:val="20"/>
          <w:color w:val="auto"/>
        </w:rPr>
      </w:pPr>
    </w:p>
    <w:p>
      <w:pPr>
        <w:ind w:right="340" w:firstLine="441"/>
        <w:spacing w:after="0" w:line="286"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Other than the rights granted to the Indemnified Parties under </w:t>
      </w:r>
      <w:r>
        <w:rPr>
          <w:rFonts w:ascii="Arial" w:cs="Arial" w:eastAsia="Arial" w:hAnsi="Arial"/>
          <w:sz w:val="17"/>
          <w:szCs w:val="17"/>
          <w:u w:val="single" w:color="auto"/>
          <w:color w:val="auto"/>
        </w:rPr>
        <w:t>Section 9.1</w:t>
      </w:r>
      <w:r>
        <w:rPr>
          <w:rFonts w:ascii="Arial" w:cs="Arial" w:eastAsia="Arial" w:hAnsi="Arial"/>
          <w:sz w:val="17"/>
          <w:szCs w:val="17"/>
          <w:color w:val="auto"/>
        </w:rPr>
        <w:t>, nothing in this Agreement is intended or shall be construed to give any person, other than the Parties hereto, their successors and permitted novates, transferees and assigns, any legal or equitable right, remedy or claim under or in respect of this Agreement or any provision contained herein.</w:t>
      </w:r>
    </w:p>
    <w:p>
      <w:pPr>
        <w:spacing w:after="0" w:line="166" w:lineRule="exact"/>
        <w:rPr>
          <w:sz w:val="20"/>
          <w:szCs w:val="20"/>
          <w:color w:val="auto"/>
        </w:rPr>
      </w:pPr>
    </w:p>
    <w:p>
      <w:pPr>
        <w:jc w:val="both"/>
        <w:ind w:right="440" w:firstLine="441"/>
        <w:spacing w:after="0" w:line="286"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several counterparts, each of which shall be deemed an original and all of which shall together constitute one and the same instrument. Delivery of an executed counterpart of a signature page to this Agreement by emailed scanned pages shall be effective as delivery of a manually executed counterpart to this Agreement.</w:t>
      </w:r>
    </w:p>
    <w:p>
      <w:pPr>
        <w:spacing w:after="0" w:line="166"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only and shall not affect the interpretation of this Agreement.</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Order of Precedence</w:t>
      </w:r>
      <w:r>
        <w:rPr>
          <w:rFonts w:ascii="Arial" w:cs="Arial" w:eastAsia="Arial" w:hAnsi="Arial"/>
          <w:sz w:val="18"/>
          <w:szCs w:val="18"/>
          <w:color w:val="auto"/>
        </w:rPr>
        <w:t>. In the event of any conflict between the provisions of any Exhibit and the other provisions of this Agreement, the other provisions of this Agreement shall govern, except to the extent that the relevant provision of the Exhibit expressly identifies the provision of this Agreement it supersedes and expressly indicates that such provision is being superseded or this Agreement expressly indicates that the Exhibit governs.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274" w:right="439" w:bottom="1440" w:gutter="0" w:footer="0" w:header="0"/>
        </w:sectPr>
      </w:pPr>
    </w:p>
    <w:bookmarkStart w:id="635" w:name="page636"/>
    <w:bookmarkEnd w:id="63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Rank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636" w:name="page637"/>
    <w:bookmarkEnd w:id="6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Transition Services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A: Financial Services</w:t>
      </w:r>
    </w:p>
    <w:p>
      <w:pPr>
        <w:sectPr>
          <w:pgSz w:w="11900" w:h="16838" w:orient="portrait"/>
          <w:cols w:equalWidth="0" w:num="1">
            <w:col w:w="11040"/>
          </w:cols>
          <w:pgMar w:left="440" w:top="270" w:right="41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spacing w:after="0"/>
              <w:rPr>
                <w:sz w:val="20"/>
                <w:szCs w:val="20"/>
                <w:color w:val="auto"/>
              </w:rPr>
            </w:pPr>
            <w:r>
              <w:rPr>
                <w:rFonts w:ascii="Arial" w:cs="Arial" w:eastAsia="Arial" w:hAnsi="Arial"/>
                <w:sz w:val="18"/>
                <w:szCs w:val="18"/>
                <w:color w:val="auto"/>
              </w:rPr>
              <w:t>A.1</w:t>
            </w:r>
          </w:p>
        </w:tc>
        <w:tc>
          <w:tcPr>
            <w:tcW w:w="240" w:type="dxa"/>
            <w:vAlign w:val="bottom"/>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Service Name</w:t>
            </w:r>
          </w:p>
        </w:tc>
        <w:tc>
          <w:tcPr>
            <w:tcW w:w="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 of Service</w:t>
            </w:r>
          </w:p>
        </w:tc>
        <w:tc>
          <w:tcPr>
            <w:tcW w:w="0" w:type="dxa"/>
            <w:vAlign w:val="bottom"/>
          </w:tcPr>
          <w:p>
            <w:pPr>
              <w:spacing w:after="0"/>
              <w:rPr>
                <w:sz w:val="1"/>
                <w:szCs w:val="1"/>
                <w:color w:val="auto"/>
              </w:rPr>
            </w:pPr>
          </w:p>
        </w:tc>
      </w:tr>
      <w:tr>
        <w:trPr>
          <w:trHeight w:val="195"/>
        </w:trPr>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Financial Services –</w:t>
            </w:r>
          </w:p>
        </w:tc>
        <w:tc>
          <w:tcPr>
            <w:tcW w:w="600" w:type="dxa"/>
            <w:vAlign w:val="bottom"/>
          </w:tcPr>
          <w:p>
            <w:pPr>
              <w:spacing w:after="0"/>
              <w:rPr>
                <w:sz w:val="16"/>
                <w:szCs w:val="16"/>
                <w:color w:val="auto"/>
              </w:rPr>
            </w:pPr>
          </w:p>
        </w:tc>
        <w:tc>
          <w:tcPr>
            <w:tcW w:w="4720" w:type="dxa"/>
            <w:vAlign w:val="bottom"/>
            <w:gridSpan w:val="2"/>
          </w:tcPr>
          <w:p>
            <w:pPr>
              <w:spacing w:after="0" w:line="195" w:lineRule="exact"/>
              <w:rPr>
                <w:sz w:val="20"/>
                <w:szCs w:val="20"/>
                <w:color w:val="auto"/>
              </w:rPr>
            </w:pPr>
            <w:r>
              <w:rPr>
                <w:rFonts w:ascii="Arial" w:cs="Arial" w:eastAsia="Arial" w:hAnsi="Arial"/>
                <w:sz w:val="18"/>
                <w:szCs w:val="18"/>
                <w:color w:val="auto"/>
                <w:w w:val="98"/>
              </w:rPr>
              <w:t>Provision of assistance to prepare and review interim and/or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Reporting and</w:t>
            </w: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annual RCP filings associated with financial reporting</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w w:val="94"/>
              </w:rPr>
              <w:t>Consultancy Services</w:t>
            </w:r>
          </w:p>
        </w:tc>
        <w:tc>
          <w:tcPr>
            <w:tcW w:w="5320" w:type="dxa"/>
            <w:vAlign w:val="bottom"/>
            <w:gridSpan w:val="3"/>
          </w:tcPr>
          <w:p>
            <w:pPr>
              <w:ind w:left="600"/>
              <w:spacing w:after="0"/>
              <w:rPr>
                <w:sz w:val="20"/>
                <w:szCs w:val="20"/>
                <w:color w:val="auto"/>
              </w:rPr>
            </w:pPr>
            <w:r>
              <w:rPr>
                <w:rFonts w:ascii="Arial" w:cs="Arial" w:eastAsia="Arial" w:hAnsi="Arial"/>
                <w:sz w:val="18"/>
                <w:szCs w:val="18"/>
                <w:color w:val="auto"/>
              </w:rPr>
              <w:t>obligations, including but not limited to:</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rPr>
              <w:t>Consultation / evaluation / documentation of specific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accounting matters;</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w w:val="90"/>
              </w:rPr>
              <w:t>Consultation / evaluation / assistance in the preparation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any component of the interim or annual filing;</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rPr>
              <w:t>Consultation / preparation / review of documentation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w w:val="98"/>
              </w:rPr>
              <w:t>accompanying interim or annual financial statements,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w w:val="94"/>
              </w:rPr>
              <w:t>including but not limited to management discussion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w w:val="91"/>
              </w:rPr>
              <w:t>analysis, covenant computations, CFO accounting paper,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earnings call slides;</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w w:val="93"/>
              </w:rPr>
              <w:t>Consultation / assistance in relation to documentation 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testing of internal controls over financial reporting,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w w:val="95"/>
              </w:rPr>
              <w:t>including the overall project to ensure that RPC is SOX</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404 ready; and</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4260" w:type="dxa"/>
            <w:vAlign w:val="bottom"/>
          </w:tcPr>
          <w:p>
            <w:pPr>
              <w:ind w:left="60"/>
              <w:spacing w:after="0"/>
              <w:rPr>
                <w:sz w:val="20"/>
                <w:szCs w:val="20"/>
                <w:color w:val="auto"/>
              </w:rPr>
            </w:pPr>
            <w:r>
              <w:rPr>
                <w:rFonts w:ascii="Arial" w:cs="Arial" w:eastAsia="Arial" w:hAnsi="Arial"/>
                <w:sz w:val="18"/>
                <w:szCs w:val="18"/>
                <w:color w:val="auto"/>
                <w:w w:val="92"/>
              </w:rPr>
              <w:t>Consultation / assistance to respond to matters raised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external auditors.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00" w:type="dxa"/>
            <w:vAlign w:val="bottom"/>
            <w:gridSpan w:val="2"/>
          </w:tcPr>
          <w:p>
            <w:pPr>
              <w:ind w:left="460"/>
              <w:spacing w:after="0"/>
              <w:rPr>
                <w:sz w:val="20"/>
                <w:szCs w:val="20"/>
                <w:color w:val="auto"/>
              </w:rPr>
            </w:pPr>
            <w:r>
              <w:rPr>
                <w:rFonts w:ascii="Arial" w:cs="Arial" w:eastAsia="Arial" w:hAnsi="Arial"/>
                <w:sz w:val="14"/>
                <w:szCs w:val="14"/>
                <w:b w:val="1"/>
                <w:bCs w:val="1"/>
                <w:color w:val="auto"/>
              </w:rPr>
              <w:t>Term</w:t>
            </w:r>
          </w:p>
        </w:tc>
        <w:tc>
          <w:tcPr>
            <w:tcW w:w="1760" w:type="dxa"/>
            <w:vAlign w:val="bottom"/>
          </w:tcPr>
          <w:p>
            <w:pPr>
              <w:jc w:val="right"/>
              <w:ind w:right="491"/>
              <w:spacing w:after="0"/>
              <w:rPr>
                <w:sz w:val="20"/>
                <w:szCs w:val="20"/>
                <w:color w:val="auto"/>
              </w:rPr>
            </w:pPr>
            <w:r>
              <w:rPr>
                <w:rFonts w:ascii="Arial" w:cs="Arial" w:eastAsia="Arial" w:hAnsi="Arial"/>
                <w:sz w:val="14"/>
                <w:szCs w:val="14"/>
                <w:b w:val="1"/>
                <w:bCs w:val="1"/>
                <w:color w:val="auto"/>
              </w:rPr>
              <w:t>Fee (USD)</w:t>
            </w:r>
          </w:p>
        </w:tc>
      </w:tr>
      <w:tr>
        <w:trPr>
          <w:trHeight w:val="191"/>
        </w:trPr>
        <w:tc>
          <w:tcPr>
            <w:tcW w:w="20" w:type="dxa"/>
            <w:vAlign w:val="bottom"/>
          </w:tcPr>
          <w:p>
            <w:pPr>
              <w:spacing w:after="0"/>
              <w:rPr>
                <w:sz w:val="16"/>
                <w:szCs w:val="16"/>
                <w:color w:val="auto"/>
              </w:rPr>
            </w:pPr>
          </w:p>
        </w:tc>
        <w:tc>
          <w:tcPr>
            <w:tcW w:w="1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24 months from</w:t>
            </w:r>
          </w:p>
        </w:tc>
        <w:tc>
          <w:tcPr>
            <w:tcW w:w="120" w:type="dxa"/>
            <w:vAlign w:val="bottom"/>
          </w:tcPr>
          <w:p>
            <w:pPr>
              <w:spacing w:after="0"/>
              <w:rPr>
                <w:sz w:val="16"/>
                <w:szCs w:val="16"/>
                <w:color w:val="auto"/>
              </w:rPr>
            </w:pPr>
          </w:p>
        </w:tc>
        <w:tc>
          <w:tcPr>
            <w:tcW w:w="1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Direct reports to</w:t>
            </w:r>
          </w:p>
        </w:tc>
      </w:tr>
      <w:tr>
        <w:trPr>
          <w:trHeight w:val="220"/>
        </w:trPr>
        <w:tc>
          <w:tcPr>
            <w:tcW w:w="1420" w:type="dxa"/>
            <w:vAlign w:val="bottom"/>
            <w:gridSpan w:val="3"/>
          </w:tcPr>
          <w:p>
            <w:pPr>
              <w:spacing w:after="0"/>
              <w:rPr>
                <w:sz w:val="20"/>
                <w:szCs w:val="20"/>
                <w:color w:val="auto"/>
              </w:rPr>
            </w:pPr>
            <w:r>
              <w:rPr>
                <w:rFonts w:ascii="Arial" w:cs="Arial" w:eastAsia="Arial" w:hAnsi="Arial"/>
                <w:sz w:val="18"/>
                <w:szCs w:val="18"/>
                <w:color w:val="auto"/>
              </w:rPr>
              <w:t>the</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Rank’s CFO:</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Commencement</w:t>
            </w:r>
          </w:p>
        </w:tc>
        <w:tc>
          <w:tcPr>
            <w:tcW w:w="1760" w:type="dxa"/>
            <w:vAlign w:val="bottom"/>
          </w:tcPr>
          <w:p>
            <w:pPr>
              <w:jc w:val="right"/>
              <w:spacing w:after="0"/>
              <w:rPr>
                <w:sz w:val="20"/>
                <w:szCs w:val="20"/>
                <w:color w:val="auto"/>
              </w:rPr>
            </w:pPr>
            <w:r>
              <w:rPr>
                <w:rFonts w:ascii="Arial" w:cs="Arial" w:eastAsia="Arial" w:hAnsi="Arial"/>
                <w:sz w:val="18"/>
                <w:szCs w:val="18"/>
                <w:color w:val="auto"/>
                <w:w w:val="99"/>
              </w:rPr>
              <w:t>$400 per person / per</w:t>
            </w:r>
          </w:p>
        </w:tc>
      </w:t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Date</w:t>
            </w:r>
          </w:p>
        </w:tc>
        <w:tc>
          <w:tcPr>
            <w:tcW w:w="1760" w:type="dxa"/>
            <w:vAlign w:val="bottom"/>
          </w:tcPr>
          <w:p>
            <w:pPr>
              <w:jc w:val="right"/>
              <w:spacing w:after="0"/>
              <w:rPr>
                <w:sz w:val="20"/>
                <w:szCs w:val="20"/>
                <w:color w:val="auto"/>
              </w:rPr>
            </w:pPr>
            <w:r>
              <w:rPr>
                <w:rFonts w:ascii="Arial" w:cs="Arial" w:eastAsia="Arial" w:hAnsi="Arial"/>
                <w:sz w:val="18"/>
                <w:szCs w:val="18"/>
                <w:color w:val="auto"/>
              </w:rPr>
              <w:t>hour</w:t>
            </w:r>
          </w:p>
        </w:tc>
      </w:tr>
      <w:tr>
        <w:trPr>
          <w:trHeight w:val="31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Indirect reports to</w:t>
            </w:r>
          </w:p>
        </w:tc>
      </w:tr>
      <w:tr>
        <w:trPr>
          <w:trHeight w:val="22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Rank’s CFO:</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w w:val="99"/>
              </w:rPr>
              <w:t>$200 per person / per</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hour</w:t>
            </w:r>
          </w:p>
        </w:tc>
      </w:tr>
      <w:tr>
        <w:trPr>
          <w:trHeight w:val="32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Plus pass-through of</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w w:val="94"/>
              </w:rPr>
              <w:t>actual third-party costs</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incurred in providing</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the service</w:t>
            </w:r>
          </w:p>
        </w:tc>
      </w:tr>
    </w:tbl>
    <w:p>
      <w:pPr>
        <w:spacing w:after="0" w:line="1861" w:lineRule="exact"/>
        <w:rPr>
          <w:sz w:val="20"/>
          <w:szCs w:val="20"/>
          <w:color w:val="auto"/>
        </w:rPr>
      </w:pPr>
    </w:p>
    <w:p>
      <w:pPr>
        <w:sectPr>
          <w:pgSz w:w="11900" w:h="16838" w:orient="portrait"/>
          <w:cols w:equalWidth="0" w:num="2">
            <w:col w:w="7740" w:space="120"/>
            <w:col w:w="3180"/>
          </w:cols>
          <w:pgMar w:left="440" w:top="270" w:right="41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A.2</w:t>
            </w:r>
          </w:p>
        </w:tc>
        <w:tc>
          <w:tcPr>
            <w:tcW w:w="2100" w:type="dxa"/>
            <w:vAlign w:val="bottom"/>
          </w:tcPr>
          <w:p>
            <w:pPr>
              <w:ind w:left="240"/>
              <w:spacing w:after="0"/>
              <w:rPr>
                <w:sz w:val="20"/>
                <w:szCs w:val="20"/>
                <w:color w:val="auto"/>
              </w:rPr>
            </w:pPr>
            <w:r>
              <w:rPr>
                <w:rFonts w:ascii="Arial" w:cs="Arial" w:eastAsia="Arial" w:hAnsi="Arial"/>
                <w:sz w:val="18"/>
                <w:szCs w:val="18"/>
                <w:color w:val="auto"/>
              </w:rPr>
              <w:t>Financial Services –</w:t>
            </w:r>
          </w:p>
        </w:tc>
        <w:tc>
          <w:tcPr>
            <w:tcW w:w="5080" w:type="dxa"/>
            <w:vAlign w:val="bottom"/>
            <w:gridSpan w:val="2"/>
          </w:tcPr>
          <w:p>
            <w:pPr>
              <w:ind w:left="400"/>
              <w:spacing w:after="0"/>
              <w:rPr>
                <w:sz w:val="20"/>
                <w:szCs w:val="20"/>
                <w:color w:val="auto"/>
              </w:rPr>
            </w:pPr>
            <w:r>
              <w:rPr>
                <w:rFonts w:ascii="Arial" w:cs="Arial" w:eastAsia="Arial" w:hAnsi="Arial"/>
                <w:sz w:val="18"/>
                <w:szCs w:val="18"/>
                <w:color w:val="auto"/>
                <w:w w:val="98"/>
              </w:rPr>
              <w:t>Reasonable provision of insurance administration handover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5080" w:type="dxa"/>
            <w:vAlign w:val="bottom"/>
            <w:gridSpan w:val="2"/>
          </w:tcPr>
          <w:p>
            <w:pPr>
              <w:ind w:left="400"/>
              <w:spacing w:after="0"/>
              <w:rPr>
                <w:sz w:val="20"/>
                <w:szCs w:val="20"/>
                <w:color w:val="auto"/>
              </w:rPr>
            </w:pPr>
            <w:r>
              <w:rPr>
                <w:rFonts w:ascii="Arial" w:cs="Arial" w:eastAsia="Arial" w:hAnsi="Arial"/>
                <w:sz w:val="18"/>
                <w:szCs w:val="18"/>
                <w:color w:val="auto"/>
              </w:rPr>
              <w:t>services, including: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Administration</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4220" w:type="dxa"/>
            <w:vAlign w:val="bottom"/>
            <w:vMerge w:val="restart"/>
          </w:tcPr>
          <w:p>
            <w:pPr>
              <w:ind w:left="60"/>
              <w:spacing w:after="0"/>
              <w:rPr>
                <w:sz w:val="20"/>
                <w:szCs w:val="20"/>
                <w:color w:val="auto"/>
              </w:rPr>
            </w:pPr>
            <w:r>
              <w:rPr>
                <w:rFonts w:ascii="Arial" w:cs="Arial" w:eastAsia="Arial" w:hAnsi="Arial"/>
                <w:sz w:val="18"/>
                <w:szCs w:val="18"/>
                <w:color w:val="auto"/>
                <w:w w:val="91"/>
              </w:rPr>
              <w:t>Assistance with the completion of policy applications and</w:t>
            </w: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2100" w:type="dxa"/>
            <w:vAlign w:val="bottom"/>
            <w:vMerge w:val="restart"/>
          </w:tcPr>
          <w:p>
            <w:pPr>
              <w:ind w:left="240"/>
              <w:spacing w:after="0"/>
              <w:rPr>
                <w:sz w:val="20"/>
                <w:szCs w:val="20"/>
                <w:color w:val="auto"/>
              </w:rPr>
            </w:pPr>
            <w:r>
              <w:rPr>
                <w:rFonts w:ascii="Arial" w:cs="Arial" w:eastAsia="Arial" w:hAnsi="Arial"/>
                <w:sz w:val="18"/>
                <w:szCs w:val="18"/>
                <w:color w:val="auto"/>
              </w:rPr>
              <w:t>Handover Services</w:t>
            </w:r>
          </w:p>
        </w:tc>
        <w:tc>
          <w:tcPr>
            <w:tcW w:w="860" w:type="dxa"/>
            <w:vAlign w:val="bottom"/>
            <w:vMerge w:val="continue"/>
          </w:tcPr>
          <w:p>
            <w:pPr>
              <w:spacing w:after="0"/>
              <w:rPr>
                <w:sz w:val="10"/>
                <w:szCs w:val="10"/>
                <w:color w:val="auto"/>
              </w:rPr>
            </w:pPr>
          </w:p>
        </w:tc>
        <w:tc>
          <w:tcPr>
            <w:tcW w:w="4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220" w:type="dxa"/>
            <w:vAlign w:val="bottom"/>
            <w:vMerge w:val="restart"/>
          </w:tcPr>
          <w:p>
            <w:pPr>
              <w:ind w:left="80"/>
              <w:spacing w:after="0"/>
              <w:rPr>
                <w:sz w:val="20"/>
                <w:szCs w:val="20"/>
                <w:color w:val="auto"/>
              </w:rPr>
            </w:pPr>
            <w:r>
              <w:rPr>
                <w:rFonts w:ascii="Arial" w:cs="Arial" w:eastAsia="Arial" w:hAnsi="Arial"/>
                <w:sz w:val="18"/>
                <w:szCs w:val="18"/>
                <w:color w:val="auto"/>
                <w:w w:val="93"/>
              </w:rPr>
              <w:t>the gathering of underwriting data for policy renewals in</w:t>
            </w:r>
          </w:p>
        </w:tc>
        <w:tc>
          <w:tcPr>
            <w:tcW w:w="0" w:type="dxa"/>
            <w:vAlign w:val="bottom"/>
          </w:tcPr>
          <w:p>
            <w:pPr>
              <w:spacing w:after="0"/>
              <w:rPr>
                <w:sz w:val="1"/>
                <w:szCs w:val="1"/>
                <w:color w:val="auto"/>
              </w:rPr>
            </w:pPr>
          </w:p>
        </w:tc>
      </w:tr>
      <w:tr>
        <w:trPr>
          <w:trHeight w:val="107"/>
        </w:trPr>
        <w:tc>
          <w:tcPr>
            <w:tcW w:w="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the years 2020 and 2021.</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w w:val="93"/>
              </w:rPr>
              <w:t>Assistance with policy placement for the 2020 and 2021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policy years as part of the Rank global program.</w:t>
            </w:r>
          </w:p>
        </w:tc>
        <w:tc>
          <w:tcPr>
            <w:tcW w:w="0" w:type="dxa"/>
            <w:vAlign w:val="bottom"/>
          </w:tcPr>
          <w:p>
            <w:pPr>
              <w:spacing w:after="0"/>
              <w:rPr>
                <w:sz w:val="1"/>
                <w:szCs w:val="1"/>
                <w:color w:val="auto"/>
              </w:rPr>
            </w:pPr>
          </w:p>
        </w:tc>
      </w:tr>
      <w:tr>
        <w:trPr>
          <w:trHeight w:val="338"/>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w w:val="94"/>
              </w:rPr>
              <w:t>Assistance with the appointment of brokerage services.</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w w:val="97"/>
              </w:rPr>
              <w:t>Assistance with transitioning the management of third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party risk consulting vendors.</w:t>
            </w:r>
          </w:p>
        </w:tc>
        <w:tc>
          <w:tcPr>
            <w:tcW w:w="0" w:type="dxa"/>
            <w:vAlign w:val="bottom"/>
          </w:tcPr>
          <w:p>
            <w:pPr>
              <w:spacing w:after="0"/>
              <w:rPr>
                <w:sz w:val="1"/>
                <w:szCs w:val="1"/>
                <w:color w:val="auto"/>
              </w:rPr>
            </w:pPr>
          </w:p>
        </w:tc>
      </w:tr>
      <w:tr>
        <w:trPr>
          <w:trHeight w:val="323"/>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w w:val="91"/>
              </w:rPr>
              <w:t>Assistance with transitioning insurance management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placements.</w:t>
            </w:r>
          </w:p>
        </w:tc>
        <w:tc>
          <w:tcPr>
            <w:tcW w:w="0" w:type="dxa"/>
            <w:vAlign w:val="bottom"/>
          </w:tcPr>
          <w:p>
            <w:pPr>
              <w:spacing w:after="0"/>
              <w:rPr>
                <w:sz w:val="1"/>
                <w:szCs w:val="1"/>
                <w:color w:val="auto"/>
              </w:rPr>
            </w:pPr>
          </w:p>
        </w:tc>
      </w:tr>
      <w:tr>
        <w:trPr>
          <w:trHeight w:val="338"/>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Assistance with claims management if required.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20" w:right="120"/>
        <w:spacing w:after="0" w:line="264" w:lineRule="auto"/>
        <w:rPr>
          <w:sz w:val="20"/>
          <w:szCs w:val="20"/>
          <w:color w:val="auto"/>
        </w:rPr>
      </w:pPr>
      <w:r>
        <w:rPr>
          <w:rFonts w:ascii="Arial" w:cs="Arial" w:eastAsia="Arial" w:hAnsi="Arial"/>
          <w:sz w:val="18"/>
          <w:szCs w:val="18"/>
          <w:color w:val="auto"/>
        </w:rPr>
        <w:t>Any costs for engaging external resources, including Aon services (which are separately charged in their annual fee), will be passed through to RCP.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 months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jc w:val="right"/>
        <w:ind w:left="120" w:right="20"/>
        <w:spacing w:after="0" w:line="277" w:lineRule="auto"/>
        <w:rPr>
          <w:sz w:val="20"/>
          <w:szCs w:val="20"/>
          <w:color w:val="auto"/>
        </w:rPr>
      </w:pPr>
      <w:r>
        <w:rPr>
          <w:rFonts w:ascii="Arial" w:cs="Arial" w:eastAsia="Arial" w:hAnsi="Arial"/>
          <w:sz w:val="18"/>
          <w:szCs w:val="18"/>
          <w:color w:val="auto"/>
        </w:rPr>
        <w:t>$400 per person / per hour</w:t>
      </w:r>
    </w:p>
    <w:p>
      <w:pPr>
        <w:spacing w:after="0" w:line="76" w:lineRule="exact"/>
        <w:rPr>
          <w:sz w:val="20"/>
          <w:szCs w:val="20"/>
          <w:color w:val="auto"/>
        </w:rPr>
      </w:pPr>
    </w:p>
    <w:p>
      <w:pPr>
        <w:jc w:val="right"/>
        <w:ind w:right="20"/>
        <w:spacing w:after="0" w:line="279" w:lineRule="auto"/>
        <w:rPr>
          <w:sz w:val="20"/>
          <w:szCs w:val="20"/>
          <w:color w:val="auto"/>
        </w:rPr>
      </w:pPr>
      <w:r>
        <w:rPr>
          <w:rFonts w:ascii="Arial" w:cs="Arial" w:eastAsia="Arial" w:hAnsi="Arial"/>
          <w:sz w:val="17"/>
          <w:szCs w:val="17"/>
          <w:color w:val="auto"/>
        </w:rPr>
        <w:t>Plus pass-through of actual third-party costs incurred in providing the service</w:t>
      </w:r>
    </w:p>
    <w:p>
      <w:pPr>
        <w:sectPr>
          <w:pgSz w:w="11900" w:h="16838" w:orient="portrait"/>
          <w:cols w:equalWidth="0" w:num="3">
            <w:col w:w="7700" w:space="160"/>
            <w:col w:w="1180" w:space="340"/>
            <w:col w:w="1660"/>
          </w:cols>
          <w:pgMar w:left="440" w:top="270" w:right="419" w:bottom="1440" w:gutter="0" w:footer="0" w:header="0"/>
          <w:type w:val="continuous"/>
        </w:sectPr>
      </w:pPr>
    </w:p>
    <w:bookmarkStart w:id="637" w:name="page638"/>
    <w:bookmarkEnd w:id="637"/>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spacing w:after="0"/>
              <w:rPr>
                <w:sz w:val="20"/>
                <w:szCs w:val="20"/>
                <w:color w:val="auto"/>
              </w:rPr>
            </w:pPr>
            <w:r>
              <w:rPr>
                <w:rFonts w:ascii="Arial" w:cs="Arial" w:eastAsia="Arial" w:hAnsi="Arial"/>
                <w:sz w:val="18"/>
                <w:szCs w:val="18"/>
                <w:color w:val="auto"/>
              </w:rPr>
              <w:t>A.3</w:t>
            </w:r>
          </w:p>
        </w:tc>
        <w:tc>
          <w:tcPr>
            <w:tcW w:w="240" w:type="dxa"/>
            <w:vAlign w:val="bottom"/>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Service Name</w:t>
            </w:r>
          </w:p>
        </w:tc>
        <w:tc>
          <w:tcPr>
            <w:tcW w:w="600" w:type="dxa"/>
            <w:vAlign w:val="bottom"/>
          </w:tcPr>
          <w:p>
            <w:pPr>
              <w:spacing w:after="0"/>
              <w:rPr>
                <w:sz w:val="16"/>
                <w:szCs w:val="16"/>
                <w:color w:val="auto"/>
              </w:rPr>
            </w:pPr>
          </w:p>
        </w:tc>
        <w:tc>
          <w:tcPr>
            <w:tcW w:w="472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95"/>
        </w:trPr>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Financial Services –</w:t>
            </w:r>
          </w:p>
        </w:tc>
        <w:tc>
          <w:tcPr>
            <w:tcW w:w="6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In connection with RCP’s obligation to comply with the</w:t>
            </w:r>
          </w:p>
        </w:tc>
        <w:tc>
          <w:tcPr>
            <w:tcW w:w="12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24 months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rPr>
              <w:t>SOX Compliance</w:t>
            </w: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0"/>
              </w:rPr>
              <w:t>Sarbanes-Oxley Act of 2002, provision of reasonable support and</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9"/>
              </w:rPr>
              <w:t>performance of key controls related to financial reporting as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w w:val="96"/>
              </w:rPr>
              <w:t>Commencement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agreed between the Parties.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br w:type="column"/>
      </w:r>
    </w:p>
    <w:p>
      <w:pPr>
        <w:ind w:left="44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15240</wp:posOffset>
            </wp:positionV>
            <wp:extent cx="111506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 w:lineRule="exact"/>
        <w:rPr>
          <w:sz w:val="20"/>
          <w:szCs w:val="20"/>
          <w:color w:val="auto"/>
        </w:rPr>
      </w:pPr>
    </w:p>
    <w:p>
      <w:pPr>
        <w:jc w:val="right"/>
        <w:ind w:left="120"/>
        <w:spacing w:after="0" w:line="275" w:lineRule="auto"/>
        <w:rPr>
          <w:sz w:val="20"/>
          <w:szCs w:val="20"/>
          <w:color w:val="auto"/>
        </w:rPr>
      </w:pPr>
      <w:r>
        <w:rPr>
          <w:rFonts w:ascii="Arial" w:cs="Arial" w:eastAsia="Arial" w:hAnsi="Arial"/>
          <w:sz w:val="18"/>
          <w:szCs w:val="18"/>
          <w:color w:val="auto"/>
        </w:rPr>
        <w:t>$200 per person / per hour</w:t>
      </w:r>
    </w:p>
    <w:p>
      <w:pPr>
        <w:spacing w:after="0" w:line="77" w:lineRule="exact"/>
        <w:rPr>
          <w:sz w:val="20"/>
          <w:szCs w:val="20"/>
          <w:color w:val="auto"/>
        </w:rPr>
      </w:pPr>
    </w:p>
    <w:p>
      <w:pPr>
        <w:jc w:val="right"/>
        <w:spacing w:after="0" w:line="279" w:lineRule="auto"/>
        <w:rPr>
          <w:sz w:val="20"/>
          <w:szCs w:val="20"/>
          <w:color w:val="auto"/>
        </w:rPr>
      </w:pPr>
      <w:r>
        <w:rPr>
          <w:rFonts w:ascii="Arial" w:cs="Arial" w:eastAsia="Arial" w:hAnsi="Arial"/>
          <w:sz w:val="17"/>
          <w:szCs w:val="17"/>
          <w:color w:val="auto"/>
        </w:rPr>
        <w:t>Plus pass-through of actual third-party costs incurred in providing the service</w:t>
      </w:r>
    </w:p>
    <w:p>
      <w:pPr>
        <w:spacing w:after="0" w:line="200" w:lineRule="exact"/>
        <w:rPr>
          <w:sz w:val="20"/>
          <w:szCs w:val="20"/>
          <w:color w:val="auto"/>
        </w:rPr>
      </w:pPr>
    </w:p>
    <w:p>
      <w:pPr>
        <w:sectPr>
          <w:pgSz w:w="11900" w:h="16838" w:orient="portrait"/>
          <w:cols w:equalWidth="0" w:num="2">
            <w:col w:w="9160" w:space="220"/>
            <w:col w:w="1640"/>
          </w:cols>
          <w:pgMar w:left="440" w:top="266" w:right="4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B: HR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vMerge w:val="restart"/>
          </w:tcPr>
          <w:p>
            <w:pPr>
              <w:spacing w:after="0"/>
              <w:rPr>
                <w:sz w:val="20"/>
                <w:szCs w:val="20"/>
                <w:color w:val="auto"/>
              </w:rPr>
            </w:pPr>
            <w:r>
              <w:rPr>
                <w:rFonts w:ascii="Arial" w:cs="Arial" w:eastAsia="Arial" w:hAnsi="Arial"/>
                <w:sz w:val="18"/>
                <w:szCs w:val="18"/>
                <w:color w:val="auto"/>
              </w:rPr>
              <w:t>B.1</w:t>
            </w:r>
          </w:p>
        </w:tc>
        <w:tc>
          <w:tcPr>
            <w:tcW w:w="260" w:type="dxa"/>
            <w:vAlign w:val="bottom"/>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Service Name</w:t>
            </w:r>
          </w:p>
        </w:tc>
        <w:tc>
          <w:tcPr>
            <w:tcW w:w="600" w:type="dxa"/>
            <w:vAlign w:val="bottom"/>
          </w:tcPr>
          <w:p>
            <w:pPr>
              <w:spacing w:after="0"/>
              <w:rPr>
                <w:sz w:val="16"/>
                <w:szCs w:val="16"/>
                <w:color w:val="auto"/>
              </w:rPr>
            </w:pPr>
          </w:p>
        </w:tc>
        <w:tc>
          <w:tcPr>
            <w:tcW w:w="472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General HR –</w:t>
            </w:r>
          </w:p>
        </w:tc>
        <w:tc>
          <w:tcPr>
            <w:tcW w:w="6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w w:val="96"/>
              </w:rPr>
              <w:t>Provision of general administrative transition support to share</w:t>
            </w:r>
          </w:p>
        </w:tc>
        <w:tc>
          <w:tcPr>
            <w:tcW w:w="12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12 months from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tcPr>
          <w:p>
            <w:pPr>
              <w:ind w:left="260"/>
              <w:spacing w:after="0"/>
              <w:rPr>
                <w:sz w:val="20"/>
                <w:szCs w:val="20"/>
                <w:color w:val="auto"/>
              </w:rPr>
            </w:pPr>
            <w:r>
              <w:rPr>
                <w:rFonts w:ascii="Arial" w:cs="Arial" w:eastAsia="Arial" w:hAnsi="Arial"/>
                <w:sz w:val="18"/>
                <w:szCs w:val="18"/>
                <w:color w:val="auto"/>
              </w:rPr>
              <w:t>Administrative</w:t>
            </w: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3"/>
              </w:rPr>
              <w:t>information and answer questions regarding current practices –</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tcPr>
          <w:p>
            <w:pPr>
              <w:ind w:left="260"/>
              <w:spacing w:after="0"/>
              <w:rPr>
                <w:sz w:val="20"/>
                <w:szCs w:val="20"/>
                <w:color w:val="auto"/>
              </w:rPr>
            </w:pPr>
            <w:r>
              <w:rPr>
                <w:rFonts w:ascii="Arial" w:cs="Arial" w:eastAsia="Arial" w:hAnsi="Arial"/>
                <w:sz w:val="18"/>
                <w:szCs w:val="18"/>
                <w:color w:val="auto"/>
              </w:rPr>
              <w:t>Services</w:t>
            </w: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0"/>
              </w:rPr>
              <w:t>such support to be provided by Steve Estes and/or Chris O’Brien,</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w w:val="96"/>
              </w:rPr>
              <w:t>Commencement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as required.</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B.2</w:t>
            </w:r>
          </w:p>
        </w:tc>
        <w:tc>
          <w:tcPr>
            <w:tcW w:w="2000" w:type="dxa"/>
            <w:vAlign w:val="bottom"/>
          </w:tcPr>
          <w:p>
            <w:pPr>
              <w:ind w:left="260"/>
              <w:spacing w:after="0"/>
              <w:rPr>
                <w:sz w:val="20"/>
                <w:szCs w:val="20"/>
                <w:color w:val="auto"/>
              </w:rPr>
            </w:pPr>
            <w:r>
              <w:rPr>
                <w:rFonts w:ascii="Arial" w:cs="Arial" w:eastAsia="Arial" w:hAnsi="Arial"/>
                <w:sz w:val="18"/>
                <w:szCs w:val="18"/>
                <w:color w:val="auto"/>
              </w:rPr>
              <w:t>General HR –</w:t>
            </w:r>
          </w:p>
        </w:tc>
        <w:tc>
          <w:tcPr>
            <w:tcW w:w="5280" w:type="dxa"/>
            <w:vAlign w:val="bottom"/>
          </w:tcPr>
          <w:p>
            <w:pPr>
              <w:ind w:left="520"/>
              <w:spacing w:after="0"/>
              <w:rPr>
                <w:sz w:val="20"/>
                <w:szCs w:val="20"/>
                <w:color w:val="auto"/>
              </w:rPr>
            </w:pPr>
            <w:r>
              <w:rPr>
                <w:rFonts w:ascii="Arial" w:cs="Arial" w:eastAsia="Arial" w:hAnsi="Arial"/>
                <w:sz w:val="18"/>
                <w:szCs w:val="18"/>
                <w:color w:val="auto"/>
                <w:w w:val="92"/>
              </w:rPr>
              <w:t>Provision of relationship support services to the RCP payroll and</w:t>
            </w:r>
          </w:p>
        </w:tc>
        <w:tc>
          <w:tcPr>
            <w:tcW w:w="1260" w:type="dxa"/>
            <w:vAlign w:val="bottom"/>
          </w:tcPr>
          <w:p>
            <w:pPr>
              <w:ind w:left="80"/>
              <w:spacing w:after="0"/>
              <w:rPr>
                <w:sz w:val="20"/>
                <w:szCs w:val="20"/>
                <w:color w:val="auto"/>
              </w:rPr>
            </w:pPr>
            <w:r>
              <w:rPr>
                <w:rFonts w:ascii="Arial" w:cs="Arial" w:eastAsia="Arial" w:hAnsi="Arial"/>
                <w:sz w:val="18"/>
                <w:szCs w:val="18"/>
                <w:color w:val="auto"/>
                <w:w w:val="92"/>
              </w:rPr>
              <w:t>12 months from</w:t>
            </w:r>
          </w:p>
        </w:tc>
      </w:tr>
      <w:tr>
        <w:trPr>
          <w:trHeight w:val="216"/>
        </w:trPr>
        <w:tc>
          <w:tcPr>
            <w:tcW w:w="500" w:type="dxa"/>
            <w:vAlign w:val="bottom"/>
          </w:tcPr>
          <w:p>
            <w:pPr>
              <w:spacing w:after="0"/>
              <w:rPr>
                <w:sz w:val="18"/>
                <w:szCs w:val="18"/>
                <w:color w:val="auto"/>
              </w:rPr>
            </w:pPr>
          </w:p>
        </w:tc>
        <w:tc>
          <w:tcPr>
            <w:tcW w:w="2000" w:type="dxa"/>
            <w:vAlign w:val="bottom"/>
          </w:tcPr>
          <w:p>
            <w:pPr>
              <w:ind w:left="260"/>
              <w:spacing w:after="0"/>
              <w:rPr>
                <w:sz w:val="20"/>
                <w:szCs w:val="20"/>
                <w:color w:val="auto"/>
              </w:rPr>
            </w:pPr>
            <w:r>
              <w:rPr>
                <w:rFonts w:ascii="Arial" w:cs="Arial" w:eastAsia="Arial" w:hAnsi="Arial"/>
                <w:sz w:val="18"/>
                <w:szCs w:val="18"/>
                <w:color w:val="auto"/>
              </w:rPr>
              <w:t>Relationship</w:t>
            </w:r>
          </w:p>
        </w:tc>
        <w:tc>
          <w:tcPr>
            <w:tcW w:w="5280" w:type="dxa"/>
            <w:vAlign w:val="bottom"/>
          </w:tcPr>
          <w:p>
            <w:pPr>
              <w:ind w:left="520"/>
              <w:spacing w:after="0"/>
              <w:rPr>
                <w:sz w:val="20"/>
                <w:szCs w:val="20"/>
                <w:color w:val="auto"/>
              </w:rPr>
            </w:pPr>
            <w:r>
              <w:rPr>
                <w:rFonts w:ascii="Arial" w:cs="Arial" w:eastAsia="Arial" w:hAnsi="Arial"/>
                <w:sz w:val="18"/>
                <w:szCs w:val="18"/>
                <w:color w:val="auto"/>
                <w:w w:val="95"/>
              </w:rPr>
              <w:t>benefits personnel relating to RCP’s establishment of separate</w:t>
            </w:r>
          </w:p>
        </w:tc>
        <w:tc>
          <w:tcPr>
            <w:tcW w:w="1260" w:type="dxa"/>
            <w:vAlign w:val="bottom"/>
          </w:tcPr>
          <w:p>
            <w:pPr>
              <w:ind w:left="80"/>
              <w:spacing w:after="0"/>
              <w:rPr>
                <w:sz w:val="20"/>
                <w:szCs w:val="20"/>
                <w:color w:val="auto"/>
              </w:rPr>
            </w:pPr>
            <w:r>
              <w:rPr>
                <w:rFonts w:ascii="Arial" w:cs="Arial" w:eastAsia="Arial" w:hAnsi="Arial"/>
                <w:sz w:val="18"/>
                <w:szCs w:val="18"/>
                <w:color w:val="auto"/>
              </w:rPr>
              <w:t>the</w:t>
            </w:r>
          </w:p>
        </w:tc>
      </w:tr>
      <w:tr>
        <w:trPr>
          <w:trHeight w:val="216"/>
        </w:trPr>
        <w:tc>
          <w:tcPr>
            <w:tcW w:w="500" w:type="dxa"/>
            <w:vAlign w:val="bottom"/>
          </w:tcPr>
          <w:p>
            <w:pPr>
              <w:spacing w:after="0"/>
              <w:rPr>
                <w:sz w:val="18"/>
                <w:szCs w:val="18"/>
                <w:color w:val="auto"/>
              </w:rPr>
            </w:pPr>
          </w:p>
        </w:tc>
        <w:tc>
          <w:tcPr>
            <w:tcW w:w="2000" w:type="dxa"/>
            <w:vAlign w:val="bottom"/>
          </w:tcPr>
          <w:p>
            <w:pPr>
              <w:ind w:left="260"/>
              <w:spacing w:after="0"/>
              <w:rPr>
                <w:sz w:val="20"/>
                <w:szCs w:val="20"/>
                <w:color w:val="auto"/>
              </w:rPr>
            </w:pPr>
            <w:r>
              <w:rPr>
                <w:rFonts w:ascii="Arial" w:cs="Arial" w:eastAsia="Arial" w:hAnsi="Arial"/>
                <w:sz w:val="18"/>
                <w:szCs w:val="18"/>
                <w:color w:val="auto"/>
              </w:rPr>
              <w:t>Support Services</w:t>
            </w:r>
          </w:p>
        </w:tc>
        <w:tc>
          <w:tcPr>
            <w:tcW w:w="5280" w:type="dxa"/>
            <w:vAlign w:val="bottom"/>
          </w:tcPr>
          <w:p>
            <w:pPr>
              <w:ind w:left="520"/>
              <w:spacing w:after="0"/>
              <w:rPr>
                <w:sz w:val="20"/>
                <w:szCs w:val="20"/>
                <w:color w:val="auto"/>
              </w:rPr>
            </w:pPr>
            <w:r>
              <w:rPr>
                <w:rFonts w:ascii="Arial" w:cs="Arial" w:eastAsia="Arial" w:hAnsi="Arial"/>
                <w:sz w:val="18"/>
                <w:szCs w:val="18"/>
                <w:color w:val="auto"/>
                <w:w w:val="94"/>
              </w:rPr>
              <w:t>instances of ADP and Empyrean, and separation of key vendor</w:t>
            </w:r>
          </w:p>
        </w:tc>
        <w:tc>
          <w:tcPr>
            <w:tcW w:w="1260" w:type="dxa"/>
            <w:vAlign w:val="bottom"/>
          </w:tcPr>
          <w:p>
            <w:pPr>
              <w:ind w:left="80"/>
              <w:spacing w:after="0"/>
              <w:rPr>
                <w:sz w:val="20"/>
                <w:szCs w:val="20"/>
                <w:color w:val="auto"/>
              </w:rPr>
            </w:pPr>
            <w:r>
              <w:rPr>
                <w:rFonts w:ascii="Arial" w:cs="Arial" w:eastAsia="Arial" w:hAnsi="Arial"/>
                <w:sz w:val="18"/>
                <w:szCs w:val="18"/>
                <w:color w:val="auto"/>
                <w:w w:val="87"/>
              </w:rPr>
              <w:t>Commencement</w:t>
            </w:r>
          </w:p>
        </w:tc>
      </w:tr>
      <w:tr>
        <w:trPr>
          <w:trHeight w:val="216"/>
        </w:trPr>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80" w:type="dxa"/>
            <w:vAlign w:val="bottom"/>
          </w:tcPr>
          <w:p>
            <w:pPr>
              <w:ind w:left="520"/>
              <w:spacing w:after="0"/>
              <w:rPr>
                <w:sz w:val="20"/>
                <w:szCs w:val="20"/>
                <w:color w:val="auto"/>
              </w:rPr>
            </w:pPr>
            <w:r>
              <w:rPr>
                <w:rFonts w:ascii="Arial" w:cs="Arial" w:eastAsia="Arial" w:hAnsi="Arial"/>
                <w:sz w:val="18"/>
                <w:szCs w:val="18"/>
                <w:color w:val="auto"/>
                <w:w w:val="94"/>
              </w:rPr>
              <w:t>relationships including ADP, Empyrean, Lockton, and others as</w:t>
            </w:r>
          </w:p>
        </w:tc>
        <w:tc>
          <w:tcPr>
            <w:tcW w:w="1260" w:type="dxa"/>
            <w:vAlign w:val="bottom"/>
          </w:tcPr>
          <w:p>
            <w:pPr>
              <w:ind w:left="80"/>
              <w:spacing w:after="0"/>
              <w:rPr>
                <w:sz w:val="20"/>
                <w:szCs w:val="20"/>
                <w:color w:val="auto"/>
              </w:rPr>
            </w:pPr>
            <w:r>
              <w:rPr>
                <w:rFonts w:ascii="Arial" w:cs="Arial" w:eastAsia="Arial" w:hAnsi="Arial"/>
                <w:sz w:val="18"/>
                <w:szCs w:val="18"/>
                <w:color w:val="auto"/>
              </w:rPr>
              <w:t>Date</w:t>
            </w:r>
          </w:p>
        </w:tc>
      </w:tr>
      <w:tr>
        <w:trPr>
          <w:trHeight w:val="216"/>
        </w:trPr>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80" w:type="dxa"/>
            <w:vAlign w:val="bottom"/>
          </w:tcPr>
          <w:p>
            <w:pPr>
              <w:ind w:left="520"/>
              <w:spacing w:after="0"/>
              <w:rPr>
                <w:sz w:val="20"/>
                <w:szCs w:val="20"/>
                <w:color w:val="auto"/>
              </w:rPr>
            </w:pPr>
            <w:r>
              <w:rPr>
                <w:rFonts w:ascii="Arial" w:cs="Arial" w:eastAsia="Arial" w:hAnsi="Arial"/>
                <w:sz w:val="18"/>
                <w:szCs w:val="18"/>
                <w:color w:val="auto"/>
                <w:w w:val="95"/>
              </w:rPr>
              <w:t>required – such services to be provided by Steve Estes and/or</w:t>
            </w:r>
          </w:p>
        </w:tc>
        <w:tc>
          <w:tcPr>
            <w:tcW w:w="12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80" w:type="dxa"/>
            <w:vAlign w:val="bottom"/>
          </w:tcPr>
          <w:p>
            <w:pPr>
              <w:ind w:left="520"/>
              <w:spacing w:after="0"/>
              <w:rPr>
                <w:sz w:val="20"/>
                <w:szCs w:val="20"/>
                <w:color w:val="auto"/>
              </w:rPr>
            </w:pPr>
            <w:r>
              <w:rPr>
                <w:rFonts w:ascii="Arial" w:cs="Arial" w:eastAsia="Arial" w:hAnsi="Arial"/>
                <w:sz w:val="18"/>
                <w:szCs w:val="18"/>
                <w:color w:val="auto"/>
              </w:rPr>
              <w:t>Chris O’Brien, as required.</w:t>
            </w: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15240</wp:posOffset>
            </wp:positionV>
            <wp:extent cx="111506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 w:lineRule="exact"/>
        <w:rPr>
          <w:sz w:val="20"/>
          <w:szCs w:val="20"/>
          <w:color w:val="auto"/>
        </w:rPr>
      </w:pPr>
    </w:p>
    <w:p>
      <w:pPr>
        <w:jc w:val="right"/>
        <w:ind w:left="120"/>
        <w:spacing w:after="0" w:line="275" w:lineRule="auto"/>
        <w:rPr>
          <w:sz w:val="20"/>
          <w:szCs w:val="20"/>
          <w:color w:val="auto"/>
        </w:rPr>
      </w:pPr>
      <w:r>
        <w:rPr>
          <w:rFonts w:ascii="Arial" w:cs="Arial" w:eastAsia="Arial" w:hAnsi="Arial"/>
          <w:sz w:val="18"/>
          <w:szCs w:val="18"/>
          <w:color w:val="auto"/>
        </w:rPr>
        <w:t>$400 per person / per hour</w:t>
      </w:r>
    </w:p>
    <w:p>
      <w:pPr>
        <w:spacing w:after="0" w:line="77" w:lineRule="exact"/>
        <w:rPr>
          <w:sz w:val="20"/>
          <w:szCs w:val="20"/>
          <w:color w:val="auto"/>
        </w:rPr>
      </w:pPr>
    </w:p>
    <w:p>
      <w:pPr>
        <w:jc w:val="right"/>
        <w:spacing w:after="0" w:line="279" w:lineRule="auto"/>
        <w:rPr>
          <w:sz w:val="20"/>
          <w:szCs w:val="20"/>
          <w:color w:val="auto"/>
        </w:rPr>
      </w:pPr>
      <w:r>
        <w:rPr>
          <w:rFonts w:ascii="Arial" w:cs="Arial" w:eastAsia="Arial" w:hAnsi="Arial"/>
          <w:sz w:val="17"/>
          <w:szCs w:val="17"/>
          <w:color w:val="auto"/>
        </w:rPr>
        <w:t>Plus pass-through of actual third-party costs incurred in providing the service</w:t>
      </w:r>
    </w:p>
    <w:p>
      <w:pPr>
        <w:spacing w:after="0" w:line="185" w:lineRule="exact"/>
        <w:rPr>
          <w:sz w:val="20"/>
          <w:szCs w:val="20"/>
          <w:color w:val="auto"/>
        </w:rPr>
      </w:pPr>
    </w:p>
    <w:p>
      <w:pPr>
        <w:jc w:val="both"/>
        <w:ind w:left="1320" w:hanging="1199"/>
        <w:spacing w:after="0" w:line="381" w:lineRule="auto"/>
        <w:rPr>
          <w:sz w:val="20"/>
          <w:szCs w:val="20"/>
          <w:color w:val="auto"/>
        </w:rPr>
      </w:pPr>
      <w:r>
        <w:rPr>
          <w:rFonts w:ascii="Arial" w:cs="Arial" w:eastAsia="Arial" w:hAnsi="Arial"/>
          <w:sz w:val="15"/>
          <w:szCs w:val="15"/>
          <w:color w:val="auto"/>
        </w:rPr>
        <w:t>$400 per person / per hour</w:t>
      </w:r>
    </w:p>
    <w:p>
      <w:pPr>
        <w:spacing w:after="0" w:line="6" w:lineRule="exact"/>
        <w:rPr>
          <w:sz w:val="20"/>
          <w:szCs w:val="20"/>
          <w:color w:val="auto"/>
        </w:rPr>
      </w:pPr>
    </w:p>
    <w:p>
      <w:pPr>
        <w:jc w:val="right"/>
        <w:spacing w:after="0" w:line="279" w:lineRule="auto"/>
        <w:rPr>
          <w:sz w:val="20"/>
          <w:szCs w:val="20"/>
          <w:color w:val="auto"/>
        </w:rPr>
      </w:pPr>
      <w:r>
        <w:rPr>
          <w:rFonts w:ascii="Arial" w:cs="Arial" w:eastAsia="Arial" w:hAnsi="Arial"/>
          <w:sz w:val="17"/>
          <w:szCs w:val="17"/>
          <w:color w:val="auto"/>
        </w:rPr>
        <w:t>Plus pass-through of actual third-party costs incurred in providing the service</w:t>
      </w:r>
    </w:p>
    <w:p>
      <w:pPr>
        <w:spacing w:after="0" w:line="200" w:lineRule="exact"/>
        <w:rPr>
          <w:sz w:val="20"/>
          <w:szCs w:val="20"/>
          <w:color w:val="auto"/>
        </w:rPr>
      </w:pPr>
    </w:p>
    <w:p>
      <w:pPr>
        <w:sectPr>
          <w:pgSz w:w="11900" w:h="16838" w:orient="portrait"/>
          <w:cols w:equalWidth="0" w:num="2">
            <w:col w:w="9160" w:space="220"/>
            <w:col w:w="1640"/>
          </w:cols>
          <w:pgMar w:left="440" w:top="266" w:right="4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C: Legal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vMerge w:val="restart"/>
          </w:tcPr>
          <w:p>
            <w:pPr>
              <w:spacing w:after="0"/>
              <w:rPr>
                <w:sz w:val="20"/>
                <w:szCs w:val="20"/>
                <w:color w:val="auto"/>
              </w:rPr>
            </w:pPr>
            <w:r>
              <w:rPr>
                <w:rFonts w:ascii="Arial" w:cs="Arial" w:eastAsia="Arial" w:hAnsi="Arial"/>
                <w:sz w:val="18"/>
                <w:szCs w:val="18"/>
                <w:color w:val="auto"/>
              </w:rPr>
              <w:t>C.1</w:t>
            </w:r>
          </w:p>
        </w:tc>
        <w:tc>
          <w:tcPr>
            <w:tcW w:w="260" w:type="dxa"/>
            <w:vAlign w:val="bottom"/>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Service Name</w:t>
            </w:r>
          </w:p>
        </w:tc>
        <w:tc>
          <w:tcPr>
            <w:tcW w:w="600" w:type="dxa"/>
            <w:vAlign w:val="bottom"/>
          </w:tcPr>
          <w:p>
            <w:pPr>
              <w:spacing w:after="0"/>
              <w:rPr>
                <w:sz w:val="16"/>
                <w:szCs w:val="16"/>
                <w:color w:val="auto"/>
              </w:rPr>
            </w:pPr>
          </w:p>
        </w:tc>
        <w:tc>
          <w:tcPr>
            <w:tcW w:w="472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Legal Support</w:t>
            </w:r>
          </w:p>
        </w:tc>
        <w:tc>
          <w:tcPr>
            <w:tcW w:w="6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w w:val="96"/>
              </w:rPr>
              <w:t>Provision of legal and related support services with respect to</w:t>
            </w:r>
          </w:p>
        </w:tc>
        <w:tc>
          <w:tcPr>
            <w:tcW w:w="12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24 months from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920" w:type="dxa"/>
            <w:vAlign w:val="bottom"/>
            <w:gridSpan w:val="2"/>
          </w:tcPr>
          <w:p>
            <w:pPr>
              <w:ind w:left="260"/>
              <w:spacing w:after="0"/>
              <w:rPr>
                <w:sz w:val="20"/>
                <w:szCs w:val="20"/>
                <w:color w:val="auto"/>
              </w:rPr>
            </w:pPr>
            <w:r>
              <w:rPr>
                <w:rFonts w:ascii="Arial" w:cs="Arial" w:eastAsia="Arial" w:hAnsi="Arial"/>
                <w:sz w:val="18"/>
                <w:szCs w:val="18"/>
                <w:color w:val="auto"/>
              </w:rPr>
              <w:t>Services</w:t>
            </w: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(i) all legal matters (if any) being handled by Rank and its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9"/>
              </w:rPr>
              <w:t>Affiliates prior to the Commencement Date, and (ii) ongoing</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w w:val="96"/>
              </w:rPr>
              <w:t>Commencement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2"/>
              </w:rPr>
              <w:t>compliance advice in relation to certain agreements entered into</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w w:val="99"/>
              </w:rPr>
              <w:t>in connection with the initial public offering of the Company,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including the Company’s financing arrangements.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15240</wp:posOffset>
            </wp:positionV>
            <wp:extent cx="111506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 w:lineRule="exact"/>
        <w:rPr>
          <w:sz w:val="20"/>
          <w:szCs w:val="20"/>
          <w:color w:val="auto"/>
        </w:rPr>
      </w:pPr>
    </w:p>
    <w:p>
      <w:pPr>
        <w:jc w:val="right"/>
        <w:ind w:left="120"/>
        <w:spacing w:after="0" w:line="275" w:lineRule="auto"/>
        <w:rPr>
          <w:sz w:val="20"/>
          <w:szCs w:val="20"/>
          <w:color w:val="auto"/>
        </w:rPr>
      </w:pPr>
      <w:r>
        <w:rPr>
          <w:rFonts w:ascii="Arial" w:cs="Arial" w:eastAsia="Arial" w:hAnsi="Arial"/>
          <w:sz w:val="18"/>
          <w:szCs w:val="18"/>
          <w:color w:val="auto"/>
        </w:rPr>
        <w:t>$400 per person / per hour</w:t>
      </w:r>
    </w:p>
    <w:p>
      <w:pPr>
        <w:spacing w:after="0" w:line="77" w:lineRule="exact"/>
        <w:rPr>
          <w:sz w:val="20"/>
          <w:szCs w:val="20"/>
          <w:color w:val="auto"/>
        </w:rPr>
      </w:pPr>
    </w:p>
    <w:p>
      <w:pPr>
        <w:jc w:val="right"/>
        <w:spacing w:after="0" w:line="279" w:lineRule="auto"/>
        <w:rPr>
          <w:sz w:val="20"/>
          <w:szCs w:val="20"/>
          <w:color w:val="auto"/>
        </w:rPr>
      </w:pPr>
      <w:r>
        <w:rPr>
          <w:rFonts w:ascii="Arial" w:cs="Arial" w:eastAsia="Arial" w:hAnsi="Arial"/>
          <w:sz w:val="17"/>
          <w:szCs w:val="17"/>
          <w:color w:val="auto"/>
        </w:rPr>
        <w:t>Plus pass-through of actual third-party costs incurred in providing the service</w:t>
      </w:r>
    </w:p>
    <w:p>
      <w:pPr>
        <w:sectPr>
          <w:pgSz w:w="11900" w:h="16838" w:orient="portrait"/>
          <w:cols w:equalWidth="0" w:num="2">
            <w:col w:w="9160" w:space="220"/>
            <w:col w:w="1640"/>
          </w:cols>
          <w:pgMar w:left="440" w:top="266" w:right="439" w:bottom="1440" w:gutter="0" w:footer="0" w:header="0"/>
          <w:type w:val="continuous"/>
        </w:sectPr>
      </w:pPr>
    </w:p>
    <w:bookmarkStart w:id="638" w:name="page639"/>
    <w:bookmarkEnd w:id="63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D: Corporate Secretarial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spacing w:after="0"/>
              <w:rPr>
                <w:sz w:val="20"/>
                <w:szCs w:val="20"/>
                <w:color w:val="auto"/>
              </w:rPr>
            </w:pPr>
            <w:r>
              <w:rPr>
                <w:rFonts w:ascii="Arial" w:cs="Arial" w:eastAsia="Arial" w:hAnsi="Arial"/>
                <w:sz w:val="18"/>
                <w:szCs w:val="18"/>
                <w:color w:val="auto"/>
              </w:rPr>
              <w:t>D.1</w:t>
            </w:r>
          </w:p>
        </w:tc>
        <w:tc>
          <w:tcPr>
            <w:tcW w:w="240" w:type="dxa"/>
            <w:vAlign w:val="bottom"/>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Service Name</w:t>
            </w:r>
          </w:p>
        </w:tc>
        <w:tc>
          <w:tcPr>
            <w:tcW w:w="600" w:type="dxa"/>
            <w:vAlign w:val="bottom"/>
          </w:tcPr>
          <w:p>
            <w:pPr>
              <w:spacing w:after="0"/>
              <w:rPr>
                <w:sz w:val="16"/>
                <w:szCs w:val="16"/>
                <w:color w:val="auto"/>
              </w:rPr>
            </w:pPr>
          </w:p>
        </w:tc>
        <w:tc>
          <w:tcPr>
            <w:tcW w:w="472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Description of Service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95"/>
        </w:trPr>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line="195" w:lineRule="exact"/>
              <w:rPr>
                <w:sz w:val="20"/>
                <w:szCs w:val="20"/>
                <w:color w:val="auto"/>
              </w:rPr>
            </w:pPr>
            <w:r>
              <w:rPr>
                <w:rFonts w:ascii="Arial" w:cs="Arial" w:eastAsia="Arial" w:hAnsi="Arial"/>
                <w:sz w:val="18"/>
                <w:szCs w:val="18"/>
                <w:color w:val="auto"/>
              </w:rPr>
              <w:t>General Services –</w:t>
            </w:r>
          </w:p>
        </w:tc>
        <w:tc>
          <w:tcPr>
            <w:tcW w:w="6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w w:val="95"/>
              </w:rPr>
              <w:t>Provision of corporate secretarial duties and government filing</w:t>
            </w:r>
          </w:p>
        </w:tc>
        <w:tc>
          <w:tcPr>
            <w:tcW w:w="120" w:type="dxa"/>
            <w:vAlign w:val="bottom"/>
          </w:tcPr>
          <w:p>
            <w:pPr>
              <w:spacing w:after="0"/>
              <w:rPr>
                <w:sz w:val="16"/>
                <w:szCs w:val="16"/>
                <w:color w:val="auto"/>
              </w:rPr>
            </w:pPr>
          </w:p>
        </w:tc>
        <w:tc>
          <w:tcPr>
            <w:tcW w:w="1300" w:type="dxa"/>
            <w:vAlign w:val="bottom"/>
          </w:tcPr>
          <w:p>
            <w:pPr>
              <w:spacing w:after="0" w:line="195" w:lineRule="exact"/>
              <w:rPr>
                <w:sz w:val="20"/>
                <w:szCs w:val="20"/>
                <w:color w:val="auto"/>
              </w:rPr>
            </w:pPr>
            <w:r>
              <w:rPr>
                <w:rFonts w:ascii="Arial" w:cs="Arial" w:eastAsia="Arial" w:hAnsi="Arial"/>
                <w:sz w:val="18"/>
                <w:szCs w:val="18"/>
                <w:color w:val="auto"/>
              </w:rPr>
              <w:t>24 months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w w:val="95"/>
              </w:rPr>
              <w:t>Corporate Secretarial</w:t>
            </w: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assistance.</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w w:val="96"/>
              </w:rPr>
              <w:t>Commencement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Fee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15240</wp:posOffset>
            </wp:positionV>
            <wp:extent cx="111506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5" w:lineRule="exact"/>
        <w:rPr>
          <w:sz w:val="20"/>
          <w:szCs w:val="20"/>
          <w:color w:val="auto"/>
        </w:rPr>
      </w:pPr>
    </w:p>
    <w:p>
      <w:pPr>
        <w:jc w:val="right"/>
        <w:ind w:left="140"/>
        <w:spacing w:after="0" w:line="275" w:lineRule="auto"/>
        <w:rPr>
          <w:sz w:val="20"/>
          <w:szCs w:val="20"/>
          <w:color w:val="auto"/>
        </w:rPr>
      </w:pPr>
      <w:r>
        <w:rPr>
          <w:rFonts w:ascii="Arial" w:cs="Arial" w:eastAsia="Arial" w:hAnsi="Arial"/>
          <w:sz w:val="18"/>
          <w:szCs w:val="18"/>
          <w:color w:val="auto"/>
        </w:rPr>
        <w:t>$190 per person / per hour</w:t>
      </w:r>
    </w:p>
    <w:p>
      <w:pPr>
        <w:spacing w:after="0" w:line="75" w:lineRule="exact"/>
        <w:rPr>
          <w:sz w:val="20"/>
          <w:szCs w:val="20"/>
          <w:color w:val="auto"/>
        </w:rPr>
      </w:pPr>
    </w:p>
    <w:p>
      <w:pPr>
        <w:jc w:val="right"/>
        <w:spacing w:after="0" w:line="282" w:lineRule="auto"/>
        <w:rPr>
          <w:sz w:val="20"/>
          <w:szCs w:val="20"/>
          <w:color w:val="auto"/>
        </w:rPr>
      </w:pPr>
      <w:r>
        <w:rPr>
          <w:rFonts w:ascii="Arial" w:cs="Arial" w:eastAsia="Arial" w:hAnsi="Arial"/>
          <w:sz w:val="18"/>
          <w:szCs w:val="18"/>
          <w:color w:val="auto"/>
        </w:rPr>
        <w:t>Plus pass-through of actual third-party costs incurred in providing the service</w:t>
      </w:r>
    </w:p>
    <w:p>
      <w:pPr>
        <w:sectPr>
          <w:pgSz w:w="11900" w:h="16838" w:orient="portrait"/>
          <w:cols w:equalWidth="0" w:num="2">
            <w:col w:w="9160" w:space="200"/>
            <w:col w:w="1660"/>
          </w:cols>
          <w:pgMar w:left="440" w:top="270" w:right="439" w:bottom="1440" w:gutter="0" w:footer="0" w:header="0"/>
        </w:sectPr>
      </w:pPr>
    </w:p>
    <w:bookmarkStart w:id="639" w:name="page640"/>
    <w:bookmarkEnd w:id="639"/>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u w:val="single" w:color="auto"/>
          <w:color w:val="auto"/>
        </w:rPr>
        <w:t>Service Coordinators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designated in writing from time to time by each party.</w:t>
      </w:r>
    </w:p>
    <w:p>
      <w:pPr>
        <w:sectPr>
          <w:pgSz w:w="11900" w:h="16838" w:orient="portrait"/>
          <w:cols w:equalWidth="0" w:num="1">
            <w:col w:w="10019"/>
          </w:cols>
          <w:pgMar w:left="440" w:top="270" w:right="1440" w:bottom="1440" w:gutter="0" w:footer="0" w:header="0"/>
        </w:sectPr>
      </w:pPr>
    </w:p>
    <w:bookmarkStart w:id="640" w:name="page641"/>
    <w:bookmarkEnd w:id="64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Subsidiaries of Reynolds Consumer Products Inc.</w:t>
      </w:r>
    </w:p>
    <w:p>
      <w:pPr>
        <w:spacing w:after="0" w:line="23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Jurisdiction of</w:t>
            </w:r>
          </w:p>
        </w:tc>
      </w:t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Organization</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Legal Name of Subsidiary</w:t>
            </w: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Consumer Products Canada Inc.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Ontario, Canada</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Reynolds Consumer Products Holdings LLC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Consumer Products LLC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Reynolds Europe Services LLC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Manufacturing, Inc.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Reynolds Metals (Shanghai) Ltd.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China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Presto Products Inc.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 Western Polymers, Inc.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020"/>
          </w:cols>
          <w:pgMar w:left="1440" w:top="122" w:right="4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use in this Registration Statement on Form S-1 of Reynolds Consumer Products Inc. of our report dated August 28, 2019, except for the effects of the segment change described in Note 13, as to which the date is October 25, 2019, relating to the financial statements of Reynolds Consumer Group,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2019</w:t>
      </w:r>
    </w:p>
    <w:p>
      <w:pPr>
        <w:sectPr>
          <w:pgSz w:w="11900" w:h="16838" w:orient="portrait"/>
          <w:cols w:equalWidth="0" w:num="1">
            <w:col w:w="11020"/>
          </w:cols>
          <w:pgMar w:left="440" w:top="121" w:right="439" w:bottom="1440" w:gutter="0" w:footer="0" w:header="0"/>
        </w:sectPr>
      </w:pPr>
    </w:p>
    <w:bookmarkStart w:id="642" w:name="page643"/>
    <w:bookmarkEnd w:id="64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accordance with Rule 438 under the Securities Act of 1933, as amended, the undersigned hereby consents to being named as a nominee to the board of directors of Reynolds Consumer Products Inc. (the “</w:t>
      </w:r>
      <w:r>
        <w:rPr>
          <w:rFonts w:ascii="Arial" w:cs="Arial" w:eastAsia="Arial" w:hAnsi="Arial"/>
          <w:sz w:val="16"/>
          <w:szCs w:val="16"/>
          <w:u w:val="single" w:color="auto"/>
          <w:color w:val="auto"/>
        </w:rPr>
        <w:t>Company</w:t>
      </w:r>
      <w:r>
        <w:rPr>
          <w:rFonts w:ascii="Arial" w:cs="Arial" w:eastAsia="Arial" w:hAnsi="Arial"/>
          <w:sz w:val="16"/>
          <w:szCs w:val="16"/>
          <w:color w:val="auto"/>
        </w:rPr>
        <w:t>”) in the Company’s registration statement on Form S-1 and in all amendments thereto, including post-effective amendments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connection with the initial public offering of the Company’s common stock. The undersigned also consents to the filing of this consent as an exhibit to such Registration Statement and any amendments thereto.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18, 2019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Marla Gottschalk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Marla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643" w:name="page644"/>
    <w:bookmarkEnd w:id="64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accordance with Rule 438 under the Securities Act of 1933, as amended, the undersigned hereby consents to being named as a nominee to the board of directors of Reynolds Consumer Products Inc. (the “</w:t>
      </w:r>
      <w:r>
        <w:rPr>
          <w:rFonts w:ascii="Arial" w:cs="Arial" w:eastAsia="Arial" w:hAnsi="Arial"/>
          <w:sz w:val="16"/>
          <w:szCs w:val="16"/>
          <w:u w:val="single" w:color="auto"/>
          <w:color w:val="auto"/>
        </w:rPr>
        <w:t>Company</w:t>
      </w:r>
      <w:r>
        <w:rPr>
          <w:rFonts w:ascii="Arial" w:cs="Arial" w:eastAsia="Arial" w:hAnsi="Arial"/>
          <w:sz w:val="16"/>
          <w:szCs w:val="16"/>
          <w:color w:val="auto"/>
        </w:rPr>
        <w:t>”) in the Company’s registration statement on Form S-1 and in all amendments thereto, including post-effective amendments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connection with the initial public offering of the Company’s common stock. The undersigned also consents to the filing of this consent as an exhibit to such Registration Statement and any amendments thereto.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18, 2019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Richard Noll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6E008B"/>
    <w:multiLevelType w:val="hybridMultilevel"/>
    <w:lvl w:ilvl="0">
      <w:lvlJc w:val="left"/>
      <w:lvlText w:val="(%1)"/>
      <w:numFmt w:val="decimal"/>
      <w:start w:val="2"/>
    </w:lvl>
  </w:abstractNum>
  <w:abstractNum w:abstractNumId="1">
    <w:nsid w:val="34DFBC00"/>
    <w:multiLevelType w:val="hybridMultilevel"/>
    <w:lvl w:ilvl="0">
      <w:lvlJc w:val="left"/>
      <w:lvlText w:val="•"/>
      <w:numFmt w:val="bullet"/>
      <w:start w:val="1"/>
    </w:lvl>
  </w:abstractNum>
  <w:abstractNum w:abstractNumId="2">
    <w:nsid w:val="1F9EC322"/>
    <w:multiLevelType w:val="hybridMultilevel"/>
    <w:lvl w:ilvl="0">
      <w:lvlJc w:val="left"/>
      <w:lvlText w:val="•"/>
      <w:numFmt w:val="bullet"/>
      <w:start w:val="1"/>
    </w:lvl>
  </w:abstractNum>
  <w:abstractNum w:abstractNumId="3">
    <w:nsid w:val="3410ED56"/>
    <w:multiLevelType w:val="hybridMultilevel"/>
    <w:lvl w:ilvl="0">
      <w:lvlJc w:val="left"/>
      <w:lvlText w:val="•"/>
      <w:numFmt w:val="bullet"/>
      <w:start w:val="1"/>
    </w:lvl>
  </w:abstractNum>
  <w:abstractNum w:abstractNumId="4">
    <w:nsid w:val="23C049A"/>
    <w:multiLevelType w:val="hybridMultilevel"/>
    <w:lvl w:ilvl="0">
      <w:lvlJc w:val="left"/>
      <w:lvlText w:val="•"/>
      <w:numFmt w:val="bullet"/>
      <w:start w:val="1"/>
    </w:lvl>
  </w:abstractNum>
  <w:abstractNum w:abstractNumId="5">
    <w:nsid w:val="5BDA35D4"/>
    <w:multiLevelType w:val="hybridMultilevel"/>
    <w:lvl w:ilvl="0">
      <w:lvlJc w:val="left"/>
      <w:lvlText w:val="•"/>
      <w:numFmt w:val="bullet"/>
      <w:start w:val="1"/>
    </w:lvl>
  </w:abstractNum>
  <w:abstractNum w:abstractNumId="6">
    <w:nsid w:val="496FB218"/>
    <w:multiLevelType w:val="hybridMultilevel"/>
    <w:lvl w:ilvl="0">
      <w:lvlJc w:val="left"/>
      <w:lvlText w:val="•"/>
      <w:numFmt w:val="bullet"/>
      <w:start w:val="1"/>
    </w:lvl>
  </w:abstractNum>
  <w:abstractNum w:abstractNumId="7">
    <w:nsid w:val="680EA5D1"/>
    <w:multiLevelType w:val="hybridMultilevel"/>
    <w:lvl w:ilvl="0">
      <w:lvlJc w:val="left"/>
      <w:lvlText w:val="•"/>
      <w:numFmt w:val="bullet"/>
      <w:start w:val="1"/>
    </w:lvl>
  </w:abstractNum>
  <w:abstractNum w:abstractNumId="8">
    <w:nsid w:val="4A9554FE"/>
    <w:multiLevelType w:val="hybridMultilevel"/>
    <w:lvl w:ilvl="0">
      <w:lvlJc w:val="left"/>
      <w:lvlText w:val="•"/>
      <w:numFmt w:val="bullet"/>
      <w:start w:val="1"/>
    </w:lvl>
  </w:abstractNum>
  <w:abstractNum w:abstractNumId="9">
    <w:nsid w:val="392EDBE4"/>
    <w:multiLevelType w:val="hybridMultilevel"/>
    <w:lvl w:ilvl="0">
      <w:lvlJc w:val="left"/>
      <w:lvlText w:val="•"/>
      <w:numFmt w:val="bullet"/>
      <w:start w:val="1"/>
    </w:lvl>
  </w:abstractNum>
  <w:abstractNum w:abstractNumId="10">
    <w:nsid w:val="3D1A2DD9"/>
    <w:multiLevelType w:val="hybridMultilevel"/>
    <w:lvl w:ilvl="0">
      <w:lvlJc w:val="left"/>
      <w:lvlText w:val="•"/>
      <w:numFmt w:val="bullet"/>
      <w:start w:val="1"/>
    </w:lvl>
  </w:abstractNum>
  <w:abstractNum w:abstractNumId="11">
    <w:nsid w:val="7F618FCD"/>
    <w:multiLevelType w:val="hybridMultilevel"/>
    <w:lvl w:ilvl="0">
      <w:lvlJc w:val="left"/>
      <w:lvlText w:val="•"/>
      <w:numFmt w:val="bullet"/>
      <w:start w:val="1"/>
    </w:lvl>
  </w:abstractNum>
  <w:abstractNum w:abstractNumId="12">
    <w:nsid w:val="7843E45"/>
    <w:multiLevelType w:val="hybridMultilevel"/>
    <w:lvl w:ilvl="0">
      <w:lvlJc w:val="left"/>
      <w:lvlText w:val="•"/>
      <w:numFmt w:val="bullet"/>
      <w:start w:val="1"/>
    </w:lvl>
  </w:abstractNum>
  <w:abstractNum w:abstractNumId="13">
    <w:nsid w:val="9815DA3"/>
    <w:multiLevelType w:val="hybridMultilevel"/>
    <w:lvl w:ilvl="0">
      <w:lvlJc w:val="left"/>
      <w:lvlText w:val="(%1)"/>
      <w:numFmt w:val="decimal"/>
      <w:start w:val="1"/>
    </w:lvl>
  </w:abstractNum>
  <w:abstractNum w:abstractNumId="14">
    <w:nsid w:val="5204A191"/>
    <w:multiLevelType w:val="hybridMultilevel"/>
    <w:lvl w:ilvl="0">
      <w:lvlJc w:val="left"/>
      <w:lvlText w:val="(%1)"/>
      <w:numFmt w:val="decimal"/>
      <w:start w:val="5"/>
    </w:lvl>
  </w:abstractNum>
  <w:abstractNum w:abstractNumId="15">
    <w:nsid w:val="4C73A9C6"/>
    <w:multiLevelType w:val="hybridMultilevel"/>
    <w:lvl w:ilvl="0">
      <w:lvlJc w:val="left"/>
      <w:lvlText w:val="(%1)"/>
      <w:numFmt w:val="lowerLetter"/>
      <w:start w:val="1"/>
    </w:lvl>
  </w:abstractNum>
  <w:abstractNum w:abstractNumId="16">
    <w:nsid w:val="1C7E3C01"/>
    <w:multiLevelType w:val="hybridMultilevel"/>
    <w:lvl w:ilvl="0">
      <w:lvlJc w:val="left"/>
      <w:lvlText w:val="•"/>
      <w:numFmt w:val="bullet"/>
      <w:start w:val="1"/>
    </w:lvl>
  </w:abstractNum>
  <w:abstractNum w:abstractNumId="17">
    <w:nsid w:val="1C2201FF"/>
    <w:multiLevelType w:val="hybridMultilevel"/>
    <w:lvl w:ilvl="0">
      <w:lvlJc w:val="left"/>
      <w:lvlText w:val="•"/>
      <w:numFmt w:val="bullet"/>
      <w:start w:val="1"/>
    </w:lvl>
  </w:abstractNum>
  <w:abstractNum w:abstractNumId="18">
    <w:nsid w:val="50ABCEC9"/>
    <w:multiLevelType w:val="hybridMultilevel"/>
    <w:lvl w:ilvl="0">
      <w:lvlJc w:val="left"/>
      <w:lvlText w:val="•"/>
      <w:numFmt w:val="bullet"/>
      <w:start w:val="1"/>
    </w:lvl>
  </w:abstractNum>
  <w:abstractNum w:abstractNumId="19">
    <w:nsid w:val="7635AA2A"/>
    <w:multiLevelType w:val="hybridMultilevel"/>
    <w:lvl w:ilvl="0">
      <w:lvlJc w:val="left"/>
      <w:lvlText w:val="•"/>
      <w:numFmt w:val="bullet"/>
      <w:start w:val="1"/>
    </w:lvl>
  </w:abstractNum>
  <w:abstractNum w:abstractNumId="20">
    <w:nsid w:val="5E74C4D9"/>
    <w:multiLevelType w:val="hybridMultilevel"/>
    <w:lvl w:ilvl="0">
      <w:lvlJc w:val="left"/>
      <w:lvlText w:val="•"/>
      <w:numFmt w:val="bullet"/>
      <w:start w:val="1"/>
    </w:lvl>
  </w:abstractNum>
  <w:abstractNum w:abstractNumId="21">
    <w:nsid w:val="3B3EBE15"/>
    <w:multiLevelType w:val="hybridMultilevel"/>
    <w:lvl w:ilvl="0">
      <w:lvlJc w:val="left"/>
      <w:lvlText w:val="•"/>
      <w:numFmt w:val="bullet"/>
      <w:start w:val="1"/>
    </w:lvl>
  </w:abstractNum>
  <w:abstractNum w:abstractNumId="22">
    <w:nsid w:val="3822CB01"/>
    <w:multiLevelType w:val="hybridMultilevel"/>
    <w:lvl w:ilvl="0">
      <w:lvlJc w:val="left"/>
      <w:lvlText w:val="•"/>
      <w:numFmt w:val="bullet"/>
      <w:start w:val="1"/>
    </w:lvl>
  </w:abstractNum>
  <w:abstractNum w:abstractNumId="23">
    <w:nsid w:val="6CE00443"/>
    <w:multiLevelType w:val="hybridMultilevel"/>
    <w:lvl w:ilvl="0">
      <w:lvlJc w:val="left"/>
      <w:lvlText w:val="•"/>
      <w:numFmt w:val="bullet"/>
      <w:start w:val="1"/>
    </w:lvl>
  </w:abstractNum>
  <w:abstractNum w:abstractNumId="24">
    <w:nsid w:val="79F0D62F"/>
    <w:multiLevelType w:val="hybridMultilevel"/>
    <w:lvl w:ilvl="0">
      <w:lvlJc w:val="left"/>
      <w:lvlText w:val="•"/>
      <w:numFmt w:val="bullet"/>
      <w:start w:val="1"/>
    </w:lvl>
  </w:abstractNum>
  <w:abstractNum w:abstractNumId="25">
    <w:nsid w:val="7975E8EE"/>
    <w:multiLevelType w:val="hybridMultilevel"/>
    <w:lvl w:ilvl="0">
      <w:lvlJc w:val="left"/>
      <w:lvlText w:val="•"/>
      <w:numFmt w:val="bullet"/>
      <w:start w:val="1"/>
    </w:lvl>
  </w:abstractNum>
  <w:abstractNum w:abstractNumId="26">
    <w:nsid w:val="73154115"/>
    <w:multiLevelType w:val="hybridMultilevel"/>
    <w:lvl w:ilvl="0">
      <w:lvlJc w:val="left"/>
      <w:lvlText w:val="•"/>
      <w:numFmt w:val="bullet"/>
      <w:start w:val="1"/>
    </w:lvl>
  </w:abstractNum>
  <w:abstractNum w:abstractNumId="27">
    <w:nsid w:val="622D8102"/>
    <w:multiLevelType w:val="hybridMultilevel"/>
    <w:lvl w:ilvl="0">
      <w:lvlJc w:val="left"/>
      <w:lvlText w:val="•"/>
      <w:numFmt w:val="bullet"/>
      <w:start w:val="1"/>
    </w:lvl>
  </w:abstractNum>
  <w:abstractNum w:abstractNumId="28">
    <w:nsid w:val="2AB26587"/>
    <w:multiLevelType w:val="hybridMultilevel"/>
    <w:lvl w:ilvl="0">
      <w:lvlJc w:val="left"/>
      <w:lvlText w:val="•"/>
      <w:numFmt w:val="bullet"/>
      <w:start w:val="1"/>
    </w:lvl>
  </w:abstractNum>
  <w:abstractNum w:abstractNumId="29">
    <w:nsid w:val="44B3FA61"/>
    <w:multiLevelType w:val="hybridMultilevel"/>
    <w:lvl w:ilvl="0">
      <w:lvlJc w:val="left"/>
      <w:lvlText w:val="•"/>
      <w:numFmt w:val="bullet"/>
      <w:start w:val="1"/>
    </w:lvl>
  </w:abstractNum>
  <w:abstractNum w:abstractNumId="30">
    <w:nsid w:val="1C0CA67C"/>
    <w:multiLevelType w:val="hybridMultilevel"/>
    <w:lvl w:ilvl="0">
      <w:lvlJc w:val="left"/>
      <w:lvlText w:val="•"/>
      <w:numFmt w:val="bullet"/>
      <w:start w:val="1"/>
    </w:lvl>
  </w:abstractNum>
  <w:abstractNum w:abstractNumId="31">
    <w:nsid w:val="3D206613"/>
    <w:multiLevelType w:val="hybridMultilevel"/>
    <w:lvl w:ilvl="0">
      <w:lvlJc w:val="left"/>
      <w:lvlText w:val="•"/>
      <w:numFmt w:val="bullet"/>
      <w:start w:val="1"/>
    </w:lvl>
    <w:lvl w:ilvl="1">
      <w:lvlJc w:val="left"/>
      <w:lvlText w:val="•"/>
      <w:numFmt w:val="bullet"/>
      <w:start w:val="1"/>
    </w:lvl>
  </w:abstractNum>
  <w:abstractNum w:abstractNumId="32">
    <w:nsid w:val="7993B662"/>
    <w:multiLevelType w:val="hybridMultilevel"/>
    <w:lvl w:ilvl="0">
      <w:lvlJc w:val="left"/>
      <w:lvlText w:val="(%1)"/>
      <w:numFmt w:val="decimal"/>
      <w:start w:val="1"/>
    </w:lvl>
  </w:abstractNum>
  <w:abstractNum w:abstractNumId="33">
    <w:nsid w:val="3BAB699E"/>
    <w:multiLevelType w:val="hybridMultilevel"/>
    <w:lvl w:ilvl="0">
      <w:lvlJc w:val="left"/>
      <w:lvlText w:val="(%1)"/>
      <w:numFmt w:val="decimal"/>
      <w:start w:val="4"/>
    </w:lvl>
  </w:abstractNum>
  <w:abstractNum w:abstractNumId="34">
    <w:nsid w:val="71315369"/>
    <w:multiLevelType w:val="hybridMultilevel"/>
    <w:lvl w:ilvl="0">
      <w:lvlJc w:val="left"/>
      <w:lvlText w:val="(%1)"/>
      <w:numFmt w:val="decimal"/>
      <w:start w:val="1"/>
    </w:lvl>
  </w:abstractNum>
  <w:abstractNum w:abstractNumId="35">
    <w:nsid w:val="7BCFBAFC"/>
    <w:multiLevelType w:val="hybridMultilevel"/>
    <w:lvl w:ilvl="0">
      <w:lvlJc w:val="left"/>
      <w:lvlText w:val="(%1)"/>
      <w:numFmt w:val="decimal"/>
      <w:start w:val="2"/>
    </w:lvl>
  </w:abstractNum>
  <w:abstractNum w:abstractNumId="36">
    <w:nsid w:val="17859F72"/>
    <w:multiLevelType w:val="hybridMultilevel"/>
    <w:lvl w:ilvl="0">
      <w:lvlJc w:val="left"/>
      <w:lvlText w:val="(%1)"/>
      <w:numFmt w:val="decimal"/>
      <w:start w:val="7"/>
    </w:lvl>
  </w:abstractNum>
  <w:abstractNum w:abstractNumId="37">
    <w:nsid w:val="3AA10581"/>
    <w:multiLevelType w:val="hybridMultilevel"/>
    <w:lvl w:ilvl="0">
      <w:lvlJc w:val="left"/>
      <w:lvlText w:val="%1)"/>
      <w:numFmt w:val="lowerLetter"/>
      <w:start w:val="1"/>
    </w:lvl>
  </w:abstractNum>
  <w:abstractNum w:abstractNumId="38">
    <w:nsid w:val="63DE60CD"/>
    <w:multiLevelType w:val="hybridMultilevel"/>
    <w:lvl w:ilvl="0">
      <w:lvlJc w:val="left"/>
      <w:lvlText w:val="%1"/>
      <w:numFmt w:val="decimal"/>
      <w:start w:val="1"/>
    </w:lvl>
    <w:lvl w:ilvl="1">
      <w:lvlJc w:val="left"/>
      <w:lvlText w:val="%2)"/>
      <w:numFmt w:val="lowerLetter"/>
      <w:start w:val="6"/>
    </w:lvl>
  </w:abstractNum>
  <w:abstractNum w:abstractNumId="39">
    <w:nsid w:val="621AF471"/>
    <w:multiLevelType w:val="hybridMultilevel"/>
    <w:lvl w:ilvl="0">
      <w:lvlJc w:val="left"/>
      <w:lvlText w:val="(%1)"/>
      <w:numFmt w:val="decimal"/>
      <w:start w:val="8"/>
    </w:lvl>
    <w:lvl w:ilvl="1">
      <w:lvlJc w:val="left"/>
      <w:lvlText w:val="%2"/>
      <w:numFmt w:val="lowerLetter"/>
      <w:start w:val="1"/>
    </w:lvl>
  </w:abstractNum>
  <w:abstractNum w:abstractNumId="40">
    <w:nsid w:val="73CFE165"/>
    <w:multiLevelType w:val="hybridMultilevel"/>
    <w:lvl w:ilvl="0">
      <w:lvlJc w:val="left"/>
      <w:lvlText w:val="•"/>
      <w:numFmt w:val="bullet"/>
      <w:start w:val="1"/>
    </w:lvl>
  </w:abstractNum>
  <w:abstractNum w:abstractNumId="41">
    <w:nsid w:val="20F88EA6"/>
    <w:multiLevelType w:val="hybridMultilevel"/>
    <w:lvl w:ilvl="0">
      <w:lvlJc w:val="left"/>
      <w:lvlText w:val="•"/>
      <w:numFmt w:val="bullet"/>
      <w:start w:val="1"/>
    </w:lvl>
  </w:abstractNum>
  <w:abstractNum w:abstractNumId="42">
    <w:nsid w:val="617C843E"/>
    <w:multiLevelType w:val="hybridMultilevel"/>
    <w:lvl w:ilvl="0">
      <w:lvlJc w:val="left"/>
      <w:lvlText w:val="•"/>
      <w:numFmt w:val="bullet"/>
      <w:start w:val="1"/>
    </w:lvl>
  </w:abstractNum>
  <w:abstractNum w:abstractNumId="43">
    <w:nsid w:val="7B541FAB"/>
    <w:multiLevelType w:val="hybridMultilevel"/>
    <w:lvl w:ilvl="0">
      <w:lvlJc w:val="left"/>
      <w:lvlText w:val="$"/>
      <w:numFmt w:val="bullet"/>
      <w:start w:val="1"/>
    </w:lvl>
  </w:abstractNum>
  <w:abstractNum w:abstractNumId="44">
    <w:nsid w:val="2A79EC49"/>
    <w:multiLevelType w:val="hybridMultilevel"/>
    <w:lvl w:ilvl="0">
      <w:lvlJc w:val="left"/>
      <w:lvlText w:val="$"/>
      <w:numFmt w:val="bullet"/>
      <w:start w:val="1"/>
    </w:lvl>
  </w:abstractNum>
  <w:abstractNum w:abstractNumId="45">
    <w:nsid w:val="338125CF"/>
    <w:multiLevelType w:val="hybridMultilevel"/>
    <w:lvl w:ilvl="0">
      <w:lvlJc w:val="left"/>
      <w:lvlText w:val="•"/>
      <w:numFmt w:val="bullet"/>
      <w:start w:val="1"/>
    </w:lvl>
  </w:abstractNum>
  <w:abstractNum w:abstractNumId="46">
    <w:nsid w:val="47C7C971"/>
    <w:multiLevelType w:val="hybridMultilevel"/>
    <w:lvl w:ilvl="0">
      <w:lvlJc w:val="left"/>
      <w:lvlText w:val="•"/>
      <w:numFmt w:val="bullet"/>
      <w:start w:val="1"/>
    </w:lvl>
  </w:abstractNum>
  <w:abstractNum w:abstractNumId="47">
    <w:nsid w:val="46F8284B"/>
    <w:multiLevelType w:val="hybridMultilevel"/>
    <w:lvl w:ilvl="0">
      <w:lvlJc w:val="left"/>
      <w:lvlText w:val="(%1)"/>
      <w:numFmt w:val="decimal"/>
      <w:start w:val="1"/>
    </w:lvl>
  </w:abstractNum>
  <w:abstractNum w:abstractNumId="48">
    <w:nsid w:val="4FA327CE"/>
    <w:multiLevelType w:val="hybridMultilevel"/>
    <w:lvl w:ilvl="0">
      <w:lvlJc w:val="left"/>
      <w:lvlText w:val="(%1)"/>
      <w:numFmt w:val="decimal"/>
      <w:start w:val="5"/>
    </w:lvl>
  </w:abstractNum>
  <w:abstractNum w:abstractNumId="49">
    <w:nsid w:val="1873983A"/>
    <w:multiLevelType w:val="hybridMultilevel"/>
    <w:lvl w:ilvl="0">
      <w:lvlJc w:val="left"/>
      <w:lvlText w:val="(%1)"/>
      <w:numFmt w:val="decimal"/>
      <w:start w:val="1"/>
    </w:lvl>
  </w:abstractNum>
  <w:abstractNum w:abstractNumId="50">
    <w:nsid w:val="3D2DD275"/>
    <w:multiLevelType w:val="hybridMultilevel"/>
    <w:lvl w:ilvl="0">
      <w:lvlJc w:val="left"/>
      <w:lvlText w:val="(%1)"/>
      <w:numFmt w:val="decimal"/>
      <w:start w:val="1"/>
    </w:lvl>
  </w:abstractNum>
  <w:abstractNum w:abstractNumId="51">
    <w:nsid w:val="2E17ECA7"/>
    <w:multiLevelType w:val="hybridMultilevel"/>
    <w:lvl w:ilvl="0">
      <w:lvlJc w:val="left"/>
      <w:lvlText w:val="(%1)"/>
      <w:numFmt w:val="decimal"/>
      <w:start w:val="1"/>
    </w:lvl>
  </w:abstractNum>
  <w:abstractNum w:abstractNumId="52">
    <w:nsid w:val="53B2564F"/>
    <w:multiLevelType w:val="hybridMultilevel"/>
    <w:lvl w:ilvl="0">
      <w:lvlJc w:val="left"/>
      <w:lvlText w:val="(%1)"/>
      <w:numFmt w:val="decimal"/>
      <w:start w:val="1"/>
    </w:lvl>
  </w:abstractNum>
  <w:abstractNum w:abstractNumId="53">
    <w:nsid w:val="75509D76"/>
    <w:multiLevelType w:val="hybridMultilevel"/>
    <w:lvl w:ilvl="0">
      <w:lvlJc w:val="left"/>
      <w:lvlText w:val="•"/>
      <w:numFmt w:val="bullet"/>
      <w:start w:val="1"/>
    </w:lvl>
  </w:abstractNum>
  <w:abstractNum w:abstractNumId="54">
    <w:nsid w:val="1AF7F0EA"/>
    <w:multiLevelType w:val="hybridMultilevel"/>
    <w:lvl w:ilvl="0">
      <w:lvlJc w:val="left"/>
      <w:lvlText w:val="(%1)"/>
      <w:numFmt w:val="decimal"/>
      <w:start w:val="1"/>
    </w:lvl>
  </w:abstractNum>
  <w:abstractNum w:abstractNumId="55">
    <w:nsid w:val="4DA32C7E"/>
    <w:multiLevelType w:val="hybridMultilevel"/>
    <w:lvl w:ilvl="0">
      <w:lvlJc w:val="left"/>
      <w:lvlText w:val="(%1)"/>
      <w:numFmt w:val="lowerRoman"/>
      <w:start w:val="2"/>
    </w:lvl>
  </w:abstractNum>
  <w:abstractNum w:abstractNumId="56">
    <w:nsid w:val="6EC68664"/>
    <w:multiLevelType w:val="hybridMultilevel"/>
    <w:lvl w:ilvl="0">
      <w:lvlJc w:val="left"/>
      <w:lvlText w:val="•"/>
      <w:numFmt w:val="bullet"/>
      <w:start w:val="1"/>
    </w:lvl>
  </w:abstractNum>
  <w:abstractNum w:abstractNumId="57">
    <w:nsid w:val="E0D31FF"/>
    <w:multiLevelType w:val="hybridMultilevel"/>
    <w:lvl w:ilvl="0">
      <w:lvlJc w:val="left"/>
      <w:lvlText w:val="•"/>
      <w:numFmt w:val="bullet"/>
      <w:start w:val="1"/>
    </w:lvl>
  </w:abstractNum>
  <w:abstractNum w:abstractNumId="58">
    <w:nsid w:val="2FD0AD81"/>
    <w:multiLevelType w:val="hybridMultilevel"/>
    <w:lvl w:ilvl="0">
      <w:lvlJc w:val="left"/>
      <w:lvlText w:val="•"/>
      <w:numFmt w:val="bullet"/>
      <w:start w:val="1"/>
    </w:lvl>
  </w:abstractNum>
  <w:abstractNum w:abstractNumId="59">
    <w:nsid w:val="1978EBEB"/>
    <w:multiLevelType w:val="hybridMultilevel"/>
    <w:lvl w:ilvl="0">
      <w:lvlJc w:val="left"/>
      <w:lvlText w:val="•"/>
      <w:numFmt w:val="bullet"/>
      <w:start w:val="1"/>
    </w:lvl>
  </w:abstractNum>
  <w:abstractNum w:abstractNumId="60">
    <w:nsid w:val="52C12C61"/>
    <w:multiLevelType w:val="hybridMultilevel"/>
    <w:lvl w:ilvl="0">
      <w:lvlJc w:val="left"/>
      <w:lvlText w:val="•"/>
      <w:numFmt w:val="bullet"/>
      <w:start w:val="1"/>
    </w:lvl>
  </w:abstractNum>
  <w:abstractNum w:abstractNumId="61">
    <w:nsid w:val="4BDD53FD"/>
    <w:multiLevelType w:val="hybridMultilevel"/>
    <w:lvl w:ilvl="0">
      <w:lvlJc w:val="left"/>
      <w:lvlText w:val="•"/>
      <w:numFmt w:val="bullet"/>
      <w:start w:val="1"/>
    </w:lvl>
  </w:abstractNum>
  <w:abstractNum w:abstractNumId="62">
    <w:nsid w:val="569951FE"/>
    <w:multiLevelType w:val="hybridMultilevel"/>
    <w:lvl w:ilvl="0">
      <w:lvlJc w:val="left"/>
      <w:lvlText w:val="•"/>
      <w:numFmt w:val="bullet"/>
      <w:start w:val="1"/>
    </w:lvl>
  </w:abstractNum>
  <w:abstractNum w:abstractNumId="63">
    <w:nsid w:val="4C54E2C3"/>
    <w:multiLevelType w:val="hybridMultilevel"/>
    <w:lvl w:ilvl="0">
      <w:lvlJc w:val="left"/>
      <w:lvlText w:val="•"/>
      <w:numFmt w:val="bullet"/>
      <w:start w:val="1"/>
    </w:lvl>
  </w:abstractNum>
  <w:abstractNum w:abstractNumId="64">
    <w:nsid w:val="788BD9B"/>
    <w:multiLevelType w:val="hybridMultilevel"/>
    <w:lvl w:ilvl="0">
      <w:lvlJc w:val="left"/>
      <w:lvlText w:val="•"/>
      <w:numFmt w:val="bullet"/>
      <w:start w:val="1"/>
    </w:lvl>
  </w:abstractNum>
  <w:abstractNum w:abstractNumId="65">
    <w:nsid w:val="47CAA567"/>
    <w:multiLevelType w:val="hybridMultilevel"/>
    <w:lvl w:ilvl="0">
      <w:lvlJc w:val="left"/>
      <w:lvlText w:val="•"/>
      <w:numFmt w:val="bullet"/>
      <w:start w:val="1"/>
    </w:lvl>
  </w:abstractNum>
  <w:abstractNum w:abstractNumId="66">
    <w:nsid w:val="48249DBF"/>
    <w:multiLevelType w:val="hybridMultilevel"/>
    <w:lvl w:ilvl="0">
      <w:lvlJc w:val="left"/>
      <w:lvlText w:val="•"/>
      <w:numFmt w:val="bullet"/>
      <w:start w:val="1"/>
    </w:lvl>
  </w:abstractNum>
  <w:abstractNum w:abstractNumId="67">
    <w:nsid w:val="1F0E5D0D"/>
    <w:multiLevelType w:val="hybridMultilevel"/>
    <w:lvl w:ilvl="0">
      <w:lvlJc w:val="left"/>
      <w:lvlText w:val="•"/>
      <w:numFmt w:val="bullet"/>
      <w:start w:val="1"/>
    </w:lvl>
  </w:abstractNum>
  <w:abstractNum w:abstractNumId="68">
    <w:nsid w:val="26BAAE9"/>
    <w:multiLevelType w:val="hybridMultilevel"/>
    <w:lvl w:ilvl="0">
      <w:lvlJc w:val="left"/>
      <w:lvlText w:val="•"/>
      <w:numFmt w:val="bullet"/>
      <w:start w:val="1"/>
    </w:lvl>
  </w:abstractNum>
  <w:abstractNum w:abstractNumId="69">
    <w:nsid w:val="2C02FE8C"/>
    <w:multiLevelType w:val="hybridMultilevel"/>
    <w:lvl w:ilvl="0">
      <w:lvlJc w:val="left"/>
      <w:lvlText w:val="•"/>
      <w:numFmt w:val="bullet"/>
      <w:start w:val="1"/>
    </w:lvl>
  </w:abstractNum>
  <w:abstractNum w:abstractNumId="70">
    <w:nsid w:val="129517E"/>
    <w:multiLevelType w:val="hybridMultilevel"/>
    <w:lvl w:ilvl="0">
      <w:lvlJc w:val="left"/>
      <w:lvlText w:val="•"/>
      <w:numFmt w:val="bullet"/>
      <w:start w:val="1"/>
    </w:lvl>
  </w:abstractNum>
  <w:abstractNum w:abstractNumId="71">
    <w:nsid w:val="763B8C4E"/>
    <w:multiLevelType w:val="hybridMultilevel"/>
    <w:lvl w:ilvl="0">
      <w:lvlJc w:val="left"/>
      <w:lvlText w:val="•"/>
      <w:numFmt w:val="bullet"/>
      <w:start w:val="1"/>
    </w:lvl>
  </w:abstractNum>
  <w:abstractNum w:abstractNumId="72">
    <w:nsid w:val="4CFB8D32"/>
    <w:multiLevelType w:val="hybridMultilevel"/>
    <w:lvl w:ilvl="0">
      <w:lvlJc w:val="left"/>
      <w:lvlText w:val="(%1)"/>
      <w:numFmt w:val="decimal"/>
      <w:start w:val="1"/>
    </w:lvl>
  </w:abstractNum>
  <w:abstractNum w:abstractNumId="73">
    <w:nsid w:val="62A5D5BD"/>
    <w:multiLevelType w:val="hybridMultilevel"/>
    <w:lvl w:ilvl="0">
      <w:lvlJc w:val="left"/>
      <w:lvlText w:val="(%1)"/>
      <w:numFmt w:val="decimal"/>
      <w:start w:val="2"/>
    </w:lvl>
  </w:abstractNum>
  <w:abstractNum w:abstractNumId="74">
    <w:nsid w:val="718FABF9"/>
    <w:multiLevelType w:val="hybridMultilevel"/>
    <w:lvl w:ilvl="0">
      <w:lvlJc w:val="left"/>
      <w:lvlText w:val="(%1)"/>
      <w:numFmt w:val="decimal"/>
      <w:start w:val="3"/>
    </w:lvl>
  </w:abstractNum>
  <w:abstractNum w:abstractNumId="75">
    <w:nsid w:val="7775797C"/>
    <w:multiLevelType w:val="hybridMultilevel"/>
    <w:lvl w:ilvl="0">
      <w:lvlJc w:val="left"/>
      <w:lvlText w:val="(%1)"/>
      <w:numFmt w:val="decimal"/>
      <w:start w:val="1"/>
    </w:lvl>
  </w:abstractNum>
  <w:abstractNum w:abstractNumId="76">
    <w:nsid w:val="1626FB8C"/>
    <w:multiLevelType w:val="hybridMultilevel"/>
    <w:lvl w:ilvl="0">
      <w:lvlJc w:val="left"/>
      <w:lvlText w:val="•"/>
      <w:numFmt w:val="bullet"/>
      <w:start w:val="1"/>
    </w:lvl>
  </w:abstractNum>
  <w:abstractNum w:abstractNumId="77">
    <w:nsid w:val="3957756A"/>
    <w:multiLevelType w:val="hybridMultilevel"/>
    <w:lvl w:ilvl="0">
      <w:lvlJc w:val="left"/>
      <w:lvlText w:val="•"/>
      <w:numFmt w:val="bullet"/>
      <w:start w:val="1"/>
    </w:lvl>
  </w:abstractNum>
  <w:abstractNum w:abstractNumId="78">
    <w:nsid w:val="3E6DA1C7"/>
    <w:multiLevelType w:val="hybridMultilevel"/>
    <w:lvl w:ilvl="0">
      <w:lvlJc w:val="left"/>
      <w:lvlText w:val="•"/>
      <w:numFmt w:val="bullet"/>
      <w:start w:val="1"/>
    </w:lvl>
  </w:abstractNum>
  <w:abstractNum w:abstractNumId="79">
    <w:nsid w:val="65CA235B"/>
    <w:multiLevelType w:val="hybridMultilevel"/>
    <w:lvl w:ilvl="0">
      <w:lvlJc w:val="left"/>
      <w:lvlText w:val="•"/>
      <w:numFmt w:val="bullet"/>
      <w:start w:val="1"/>
    </w:lvl>
  </w:abstractNum>
  <w:abstractNum w:abstractNumId="80">
    <w:nsid w:val="51CB0DA4"/>
    <w:multiLevelType w:val="hybridMultilevel"/>
    <w:lvl w:ilvl="0">
      <w:lvlJc w:val="left"/>
      <w:lvlText w:val="•"/>
      <w:numFmt w:val="bullet"/>
      <w:start w:val="1"/>
    </w:lvl>
  </w:abstractNum>
  <w:abstractNum w:abstractNumId="81">
    <w:nsid w:val="7B9B743C"/>
    <w:multiLevelType w:val="hybridMultilevel"/>
    <w:lvl w:ilvl="0">
      <w:lvlJc w:val="left"/>
      <w:lvlText w:val="•"/>
      <w:numFmt w:val="bullet"/>
      <w:start w:val="1"/>
    </w:lvl>
  </w:abstractNum>
  <w:abstractNum w:abstractNumId="82">
    <w:nsid w:val="13E21002"/>
    <w:multiLevelType w:val="hybridMultilevel"/>
    <w:lvl w:ilvl="0">
      <w:lvlJc w:val="left"/>
      <w:lvlText w:val="(%1)"/>
      <w:numFmt w:val="decimal"/>
      <w:start w:val="1"/>
    </w:lvl>
  </w:abstractNum>
  <w:abstractNum w:abstractNumId="83">
    <w:nsid w:val="257D63F4"/>
    <w:multiLevelType w:val="hybridMultilevel"/>
    <w:lvl w:ilvl="0">
      <w:lvlJc w:val="left"/>
      <w:lvlText w:val="•"/>
      <w:numFmt w:val="bullet"/>
      <w:start w:val="1"/>
    </w:lvl>
  </w:abstractNum>
  <w:abstractNum w:abstractNumId="84">
    <w:nsid w:val="70EC11B2"/>
    <w:multiLevelType w:val="hybridMultilevel"/>
    <w:lvl w:ilvl="0">
      <w:lvlJc w:val="left"/>
      <w:lvlText w:val="•"/>
      <w:numFmt w:val="bullet"/>
      <w:start w:val="1"/>
    </w:lvl>
  </w:abstractNum>
  <w:abstractNum w:abstractNumId="85">
    <w:nsid w:val="2EDA00ED"/>
    <w:multiLevelType w:val="hybridMultilevel"/>
    <w:lvl w:ilvl="0">
      <w:lvlJc w:val="left"/>
      <w:lvlText w:val="•"/>
      <w:numFmt w:val="bullet"/>
      <w:start w:val="1"/>
    </w:lvl>
  </w:abstractNum>
  <w:abstractNum w:abstractNumId="86">
    <w:nsid w:val="73209072"/>
    <w:multiLevelType w:val="hybridMultilevel"/>
    <w:lvl w:ilvl="0">
      <w:lvlJc w:val="left"/>
      <w:lvlText w:val="•"/>
      <w:numFmt w:val="bullet"/>
      <w:start w:val="1"/>
    </w:lvl>
  </w:abstractNum>
  <w:abstractNum w:abstractNumId="87">
    <w:nsid w:val="5FB29816"/>
    <w:multiLevelType w:val="hybridMultilevel"/>
    <w:lvl w:ilvl="0">
      <w:lvlJc w:val="left"/>
      <w:lvlText w:val="•"/>
      <w:numFmt w:val="bullet"/>
      <w:start w:val="1"/>
    </w:lvl>
  </w:abstractNum>
  <w:abstractNum w:abstractNumId="88">
    <w:nsid w:val="3CE732EC"/>
    <w:multiLevelType w:val="hybridMultilevel"/>
    <w:lvl w:ilvl="0">
      <w:lvlJc w:val="left"/>
      <w:lvlText w:val="•"/>
      <w:numFmt w:val="bullet"/>
      <w:start w:val="1"/>
    </w:lvl>
  </w:abstractNum>
  <w:abstractNum w:abstractNumId="89">
    <w:nsid w:val="22F13DF3"/>
    <w:multiLevelType w:val="hybridMultilevel"/>
    <w:lvl w:ilvl="0">
      <w:lvlJc w:val="left"/>
      <w:lvlText w:val="•"/>
      <w:numFmt w:val="bullet"/>
      <w:start w:val="1"/>
    </w:lvl>
  </w:abstractNum>
  <w:abstractNum w:abstractNumId="90">
    <w:nsid w:val="792B8401"/>
    <w:multiLevelType w:val="hybridMultilevel"/>
    <w:lvl w:ilvl="0">
      <w:lvlJc w:val="left"/>
      <w:lvlText w:val="•"/>
      <w:numFmt w:val="bullet"/>
      <w:start w:val="1"/>
    </w:lvl>
  </w:abstractNum>
  <w:abstractNum w:abstractNumId="91">
    <w:nsid w:val="FA85F4D"/>
    <w:multiLevelType w:val="hybridMultilevel"/>
    <w:lvl w:ilvl="0">
      <w:lvlJc w:val="left"/>
      <w:lvlText w:val="•"/>
      <w:numFmt w:val="bullet"/>
      <w:start w:val="1"/>
    </w:lvl>
  </w:abstractNum>
  <w:abstractNum w:abstractNumId="92">
    <w:nsid w:val="6ECE91F0"/>
    <w:multiLevelType w:val="hybridMultilevel"/>
    <w:lvl w:ilvl="0">
      <w:lvlJc w:val="left"/>
      <w:lvlText w:val="•"/>
      <w:numFmt w:val="bullet"/>
      <w:start w:val="1"/>
    </w:lvl>
  </w:abstractNum>
  <w:abstractNum w:abstractNumId="93">
    <w:nsid w:val="4FC4D600"/>
    <w:multiLevelType w:val="hybridMultilevel"/>
    <w:lvl w:ilvl="0">
      <w:lvlJc w:val="left"/>
      <w:lvlText w:val="•"/>
      <w:numFmt w:val="bullet"/>
      <w:start w:val="1"/>
    </w:lvl>
  </w:abstractNum>
  <w:abstractNum w:abstractNumId="94">
    <w:nsid w:val="5BFD4210"/>
    <w:multiLevelType w:val="hybridMultilevel"/>
    <w:lvl w:ilvl="0">
      <w:lvlJc w:val="left"/>
      <w:lvlText w:val="•"/>
      <w:numFmt w:val="bullet"/>
      <w:start w:val="1"/>
    </w:lvl>
  </w:abstractNum>
  <w:abstractNum w:abstractNumId="95">
    <w:nsid w:val="76574F8B"/>
    <w:multiLevelType w:val="hybridMultilevel"/>
    <w:lvl w:ilvl="0">
      <w:lvlJc w:val="left"/>
      <w:lvlText w:val="•"/>
      <w:numFmt w:val="bullet"/>
      <w:start w:val="1"/>
    </w:lvl>
  </w:abstractNum>
  <w:abstractNum w:abstractNumId="96">
    <w:nsid w:val="178F7B67"/>
    <w:multiLevelType w:val="hybridMultilevel"/>
    <w:lvl w:ilvl="0">
      <w:lvlJc w:val="left"/>
      <w:lvlText w:val="•"/>
      <w:numFmt w:val="bullet"/>
      <w:start w:val="1"/>
    </w:lvl>
  </w:abstractNum>
  <w:abstractNum w:abstractNumId="97">
    <w:nsid w:val="2421DFCF"/>
    <w:multiLevelType w:val="hybridMultilevel"/>
    <w:lvl w:ilvl="0">
      <w:lvlJc w:val="left"/>
      <w:lvlText w:val="•"/>
      <w:numFmt w:val="bullet"/>
      <w:start w:val="1"/>
    </w:lvl>
  </w:abstractNum>
  <w:abstractNum w:abstractNumId="98">
    <w:nsid w:val="1565AC99"/>
    <w:multiLevelType w:val="hybridMultilevel"/>
    <w:lvl w:ilvl="0">
      <w:lvlJc w:val="left"/>
      <w:lvlText w:val="&amp;"/>
      <w:numFmt w:val="bullet"/>
      <w:start w:val="1"/>
    </w:lvl>
  </w:abstractNum>
  <w:abstractNum w:abstractNumId="99">
    <w:nsid w:val="19FB2650"/>
    <w:multiLevelType w:val="hybridMultilevel"/>
    <w:lvl w:ilvl="0">
      <w:lvlJc w:val="left"/>
      <w:lvlText w:val="(%1)"/>
      <w:numFmt w:val="lowerLetter"/>
      <w:start w:val="1"/>
    </w:lvl>
  </w:abstractNum>
  <w:abstractNum w:abstractNumId="100">
    <w:nsid w:val="5024DE5B"/>
    <w:multiLevelType w:val="hybridMultilevel"/>
    <w:lvl w:ilvl="0">
      <w:lvlJc w:val="left"/>
      <w:lvlText w:val="(%1)"/>
      <w:numFmt w:val="lowerLetter"/>
      <w:start w:val="1"/>
    </w:lvl>
  </w:abstractNum>
  <w:abstractNum w:abstractNumId="101">
    <w:nsid w:val="168EFE17"/>
    <w:multiLevelType w:val="hybridMultilevel"/>
    <w:lvl w:ilvl="0">
      <w:lvlJc w:val="left"/>
      <w:lvlText w:val="(%1)"/>
      <w:numFmt w:val="lowerRoman"/>
      <w:start w:val="1"/>
    </w:lvl>
  </w:abstractNum>
  <w:abstractNum w:abstractNumId="102">
    <w:nsid w:val="1036B29F"/>
    <w:multiLevelType w:val="hybridMultilevel"/>
    <w:lvl w:ilvl="0">
      <w:lvlJc w:val="left"/>
      <w:lvlText w:val="(%1)"/>
      <w:numFmt w:val="lowerLetter"/>
      <w:start w:val="1"/>
    </w:lvl>
  </w:abstractNum>
  <w:abstractNum w:abstractNumId="103">
    <w:nsid w:val="1D206B8E"/>
    <w:multiLevelType w:val="hybridMultilevel"/>
    <w:lvl w:ilvl="0">
      <w:lvlJc w:val="left"/>
      <w:lvlText w:val="(%1)"/>
      <w:numFmt w:val="lowerLetter"/>
      <w:start w:val="2"/>
    </w:lvl>
  </w:abstractNum>
  <w:abstractNum w:abstractNumId="104">
    <w:nsid w:val="7934D3D4"/>
    <w:multiLevelType w:val="hybridMultilevel"/>
    <w:lvl w:ilvl="0">
      <w:lvlJc w:val="left"/>
      <w:lvlText w:val="(%1)"/>
      <w:numFmt w:val="lowerLetter"/>
      <w:start w:val="1"/>
    </w:lvl>
  </w:abstractNum>
  <w:abstractNum w:abstractNumId="105">
    <w:nsid w:val="1C65E98"/>
    <w:multiLevelType w:val="hybridMultilevel"/>
    <w:lvl w:ilvl="0">
      <w:lvlJc w:val="left"/>
      <w:lvlText w:val="(%1)"/>
      <w:numFmt w:val="lowerLetter"/>
      <w:start w:val="2"/>
    </w:lvl>
  </w:abstractNum>
  <w:abstractNum w:abstractNumId="106">
    <w:nsid w:val="1495E50A"/>
    <w:multiLevelType w:val="hybridMultilevel"/>
    <w:lvl w:ilvl="0">
      <w:lvlJc w:val="left"/>
      <w:lvlText w:val="(%1)"/>
      <w:numFmt w:val="lowerLetter"/>
      <w:start w:val="2"/>
    </w:lvl>
  </w:abstractNum>
  <w:abstractNum w:abstractNumId="107">
    <w:nsid w:val="F5BCF61"/>
    <w:multiLevelType w:val="hybridMultilevel"/>
    <w:lvl w:ilvl="0">
      <w:lvlJc w:val="left"/>
      <w:lvlText w:val="•"/>
      <w:numFmt w:val="bullet"/>
      <w:start w:val="1"/>
    </w:lvl>
  </w:abstractNum>
  <w:abstractNum w:abstractNumId="108">
    <w:nsid w:val="3B1DD403"/>
    <w:multiLevelType w:val="hybridMultilevel"/>
    <w:lvl w:ilvl="0">
      <w:lvlJc w:val="left"/>
      <w:lvlText w:val="(%1)"/>
      <w:numFmt w:val="decimal"/>
      <w:start w:val="1"/>
    </w:lvl>
  </w:abstractNum>
  <w:abstractNum w:abstractNumId="109">
    <w:nsid w:val="530386D1"/>
    <w:multiLevelType w:val="hybridMultilevel"/>
    <w:lvl w:ilvl="0">
      <w:lvlJc w:val="left"/>
      <w:lvlText w:val="(%1)"/>
      <w:numFmt w:val="decimal"/>
      <w:start w:val="1"/>
    </w:lvl>
  </w:abstractNum>
  <w:abstractNum w:abstractNumId="110">
    <w:nsid w:val="7525F2BC"/>
    <w:multiLevelType w:val="hybridMultilevel"/>
    <w:lvl w:ilvl="0">
      <w:lvlJc w:val="left"/>
      <w:lvlText w:val="•"/>
      <w:numFmt w:val="bullet"/>
      <w:start w:val="1"/>
    </w:lvl>
  </w:abstractNum>
  <w:abstractNum w:abstractNumId="111">
    <w:nsid w:val="CE8E1A7"/>
    <w:multiLevelType w:val="hybridMultilevel"/>
    <w:lvl w:ilvl="0">
      <w:lvlJc w:val="left"/>
      <w:lvlText w:val="•"/>
      <w:numFmt w:val="bullet"/>
      <w:start w:val="1"/>
    </w:lvl>
  </w:abstractNum>
  <w:abstractNum w:abstractNumId="112">
    <w:nsid w:val="4E9EFB0D"/>
    <w:multiLevelType w:val="hybridMultilevel"/>
    <w:lvl w:ilvl="0">
      <w:lvlJc w:val="left"/>
      <w:lvlText w:val="(%1)"/>
      <w:numFmt w:val="decimal"/>
      <w:start w:val="1"/>
    </w:lvl>
  </w:abstractNum>
  <w:abstractNum w:abstractNumId="113">
    <w:nsid w:val="90802BE"/>
    <w:multiLevelType w:val="hybridMultilevel"/>
    <w:lvl w:ilvl="0">
      <w:lvlJc w:val="left"/>
      <w:lvlText w:val="(%1)"/>
      <w:numFmt w:val="decimal"/>
      <w:start w:val="1"/>
    </w:lvl>
  </w:abstractNum>
  <w:abstractNum w:abstractNumId="114">
    <w:nsid w:val="3266459B"/>
    <w:multiLevelType w:val="hybridMultilevel"/>
    <w:lvl w:ilvl="0">
      <w:lvlJc w:val="left"/>
      <w:lvlText w:val="(%1)"/>
      <w:numFmt w:val="decimal"/>
      <w:start w:val="1"/>
    </w:lvl>
  </w:abstractNum>
  <w:abstractNum w:abstractNumId="115">
    <w:nsid w:val="3F8B0CBF"/>
    <w:multiLevelType w:val="hybridMultilevel"/>
    <w:lvl w:ilvl="0">
      <w:lvlJc w:val="left"/>
      <w:lvlText w:val="(%1)"/>
      <w:numFmt w:val="decimal"/>
      <w:start w:val="1"/>
    </w:lvl>
  </w:abstractNum>
  <w:abstractNum w:abstractNumId="116">
    <w:nsid w:val="37E203AB"/>
    <w:multiLevelType w:val="hybridMultilevel"/>
    <w:lvl w:ilvl="0">
      <w:lvlJc w:val="left"/>
      <w:lvlText w:val="(%1)"/>
      <w:numFmt w:val="decimal"/>
      <w:start w:val="1"/>
    </w:lvl>
  </w:abstractNum>
  <w:abstractNum w:abstractNumId="117">
    <w:nsid w:val="2586D60E"/>
    <w:multiLevelType w:val="hybridMultilevel"/>
    <w:lvl w:ilvl="0">
      <w:lvlJc w:val="left"/>
      <w:lvlText w:val="$"/>
      <w:numFmt w:val="bullet"/>
      <w:start w:val="1"/>
    </w:lvl>
  </w:abstractNum>
  <w:abstractNum w:abstractNumId="118">
    <w:nsid w:val="1F3DA4D5"/>
    <w:multiLevelType w:val="hybridMultilevel"/>
    <w:lvl w:ilvl="0">
      <w:lvlJc w:val="left"/>
      <w:lvlText w:val="$"/>
      <w:numFmt w:val="bullet"/>
      <w:start w:val="1"/>
    </w:lvl>
  </w:abstractNum>
  <w:abstractNum w:abstractNumId="119">
    <w:nsid w:val="74C93698"/>
    <w:multiLevelType w:val="hybridMultilevel"/>
    <w:lvl w:ilvl="0">
      <w:lvlJc w:val="left"/>
      <w:lvlText w:val="(%1)"/>
      <w:numFmt w:val="decimal"/>
      <w:start w:val="1"/>
    </w:lvl>
  </w:abstractNum>
  <w:abstractNum w:abstractNumId="120">
    <w:nsid w:val="48781401"/>
    <w:multiLevelType w:val="hybridMultilevel"/>
    <w:lvl w:ilvl="0">
      <w:lvlJc w:val="left"/>
      <w:lvlText w:val="•"/>
      <w:numFmt w:val="bullet"/>
      <w:start w:val="1"/>
    </w:lvl>
  </w:abstractNum>
  <w:abstractNum w:abstractNumId="121">
    <w:nsid w:val="186928D6"/>
    <w:multiLevelType w:val="hybridMultilevel"/>
    <w:lvl w:ilvl="0">
      <w:lvlJc w:val="left"/>
      <w:lvlText w:val="(%1)"/>
      <w:numFmt w:val="decimal"/>
      <w:start w:val="1"/>
    </w:lvl>
  </w:abstractNum>
  <w:abstractNum w:abstractNumId="122">
    <w:nsid w:val="47195E5"/>
    <w:multiLevelType w:val="hybridMultilevel"/>
    <w:lvl w:ilvl="0">
      <w:lvlJc w:val="left"/>
      <w:lvlText w:val="(%1)"/>
      <w:numFmt w:val="decimal"/>
      <w:start w:val="1"/>
    </w:lvl>
  </w:abstractNum>
  <w:abstractNum w:abstractNumId="123">
    <w:nsid w:val="3746A5F2"/>
    <w:multiLevelType w:val="hybridMultilevel"/>
    <w:lvl w:ilvl="0">
      <w:lvlJc w:val="left"/>
      <w:lvlText w:val="*"/>
      <w:numFmt w:val="bullet"/>
      <w:start w:val="1"/>
    </w:lvl>
  </w:abstractNum>
  <w:abstractNum w:abstractNumId="124">
    <w:nsid w:val="682DFED6"/>
    <w:multiLevelType w:val="hybridMultilevel"/>
    <w:lvl w:ilvl="0">
      <w:lvlJc w:val="left"/>
      <w:lvlText w:val="†"/>
      <w:numFmt w:val="bullet"/>
      <w:start w:val="1"/>
    </w:lvl>
  </w:abstractNum>
  <w:abstractNum w:abstractNumId="125">
    <w:nsid w:val="606ED7F6"/>
    <w:multiLevelType w:val="hybridMultilevel"/>
    <w:lvl w:ilvl="0">
      <w:lvlJc w:val="left"/>
      <w:lvlText w:val="(%1)"/>
      <w:numFmt w:val="lowerLetter"/>
      <w:start w:val="2"/>
    </w:lvl>
  </w:abstractNum>
  <w:abstractNum w:abstractNumId="126">
    <w:nsid w:val="2D9DF57D"/>
    <w:multiLevelType w:val="hybridMultilevel"/>
    <w:lvl w:ilvl="0">
      <w:lvlJc w:val="left"/>
      <w:lvlText w:val="(%1)"/>
      <w:numFmt w:val="lowerLetter"/>
      <w:start w:val="1"/>
    </w:lvl>
  </w:abstractNum>
  <w:abstractNum w:abstractNumId="127">
    <w:nsid w:val="7FBD7A3E"/>
    <w:multiLevelType w:val="hybridMultilevel"/>
    <w:lvl w:ilvl="0">
      <w:lvlJc w:val="left"/>
      <w:lvlText w:val="(%1)"/>
      <w:numFmt w:val="lowerLetter"/>
      <w:start w:val="2"/>
    </w:lvl>
    <w:lvl w:ilvl="1">
      <w:lvlJc w:val="left"/>
      <w:lvlText w:val="(%2)"/>
      <w:numFmt w:val="decimal"/>
      <w:start w:val="1"/>
    </w:lvl>
  </w:abstractNum>
  <w:abstractNum w:abstractNumId="128">
    <w:nsid w:val="490B7C5"/>
    <w:multiLevelType w:val="hybridMultilevel"/>
    <w:lvl w:ilvl="0">
      <w:lvlJc w:val="left"/>
      <w:lvlText w:val="†"/>
      <w:numFmt w:val="bullet"/>
      <w:start w:val="1"/>
    </w:lvl>
  </w:abstractNum>
  <w:abstractNum w:abstractNumId="129">
    <w:nsid w:val="4303A216"/>
    <w:multiLevelType w:val="hybridMultilevel"/>
    <w:lvl w:ilvl="0">
      <w:lvlJc w:val="left"/>
      <w:lvlText w:val="%1"/>
      <w:numFmt w:val="upperLetter"/>
      <w:start w:val="1"/>
    </w:lvl>
    <w:lvl w:ilvl="1">
      <w:lvlJc w:val="left"/>
      <w:lvlText w:val="%2."/>
      <w:numFmt w:val="decimal"/>
      <w:start w:val="2"/>
    </w:lvl>
  </w:abstractNum>
  <w:abstractNum w:abstractNumId="130">
    <w:nsid w:val="19B8A08E"/>
    <w:multiLevelType w:val="hybridMultilevel"/>
    <w:lvl w:ilvl="0">
      <w:lvlJc w:val="left"/>
      <w:lvlText w:val="(%1)"/>
      <w:numFmt w:val="upperLetter"/>
      <w:start w:val="2"/>
    </w:lvl>
    <w:lvl w:ilvl="1">
      <w:lvlJc w:val="left"/>
      <w:lvlText w:val="%2"/>
      <w:numFmt w:val="decimal"/>
      <w:start w:val="1"/>
    </w:lvl>
  </w:abstractNum>
  <w:abstractNum w:abstractNumId="131">
    <w:nsid w:val="54B59621"/>
    <w:multiLevelType w:val="hybridMultilevel"/>
    <w:lvl w:ilvl="0">
      <w:lvlJc w:val="left"/>
      <w:lvlText w:val="(%1)"/>
      <w:numFmt w:val="upperLetter"/>
      <w:start w:val="1"/>
    </w:lvl>
  </w:abstractNum>
  <w:abstractNum w:abstractNumId="132">
    <w:nsid w:val="5992A02E"/>
    <w:multiLevelType w:val="hybridMultilevel"/>
    <w:lvl w:ilvl="0">
      <w:lvlJc w:val="left"/>
      <w:lvlText w:val="(%1)"/>
      <w:numFmt w:val="upperLetter"/>
      <w:start w:val="3"/>
    </w:lvl>
    <w:lvl w:ilvl="1">
      <w:lvlJc w:val="left"/>
      <w:lvlText w:val="(%2)"/>
      <w:numFmt w:val="decimal"/>
      <w:start w:val="1"/>
    </w:lvl>
  </w:abstractNum>
  <w:abstractNum w:abstractNumId="133">
    <w:nsid w:val="29EF532D"/>
    <w:multiLevelType w:val="hybridMultilevel"/>
    <w:lvl w:ilvl="0">
      <w:lvlJc w:val="left"/>
      <w:lvlText w:val="(%1)"/>
      <w:numFmt w:val="upperLetter"/>
      <w:start w:val="4"/>
    </w:lvl>
  </w:abstractNum>
  <w:abstractNum w:abstractNumId="134">
    <w:nsid w:val="71D601AF"/>
    <w:multiLevelType w:val="hybridMultilevel"/>
    <w:lvl w:ilvl="0">
      <w:lvlJc w:val="left"/>
      <w:lvlText w:val="(%1)"/>
      <w:numFmt w:val="upperLetter"/>
      <w:start w:val="5"/>
    </w:lvl>
  </w:abstractNum>
  <w:abstractNum w:abstractNumId="135">
    <w:nsid w:val="52C77402"/>
    <w:multiLevelType w:val="hybridMultilevel"/>
    <w:lvl w:ilvl="0">
      <w:lvlJc w:val="left"/>
      <w:lvlText w:val="(%1)"/>
      <w:numFmt w:val="upperLetter"/>
      <w:start w:val="1"/>
    </w:lvl>
  </w:abstractNum>
  <w:abstractNum w:abstractNumId="136">
    <w:nsid w:val="2BB5B1C6"/>
    <w:multiLevelType w:val="hybridMultilevel"/>
    <w:lvl w:ilvl="0">
      <w:lvlJc w:val="left"/>
      <w:lvlText w:val="(%1)"/>
      <w:numFmt w:val="decimal"/>
      <w:start w:val="1"/>
    </w:lvl>
  </w:abstractNum>
  <w:abstractNum w:abstractNumId="137">
    <w:nsid w:val="66BE6B9"/>
    <w:multiLevelType w:val="hybridMultilevel"/>
    <w:lvl w:ilvl="0">
      <w:lvlJc w:val="left"/>
      <w:lvlText w:val="(%1)"/>
      <w:numFmt w:val="upperLetter"/>
      <w:start w:val="3"/>
    </w:lvl>
  </w:abstractNum>
  <w:abstractNum w:abstractNumId="138">
    <w:nsid w:val="62234363"/>
    <w:multiLevelType w:val="hybridMultilevel"/>
    <w:lvl w:ilvl="0">
      <w:lvlJc w:val="left"/>
      <w:lvlText w:val="(%1)"/>
      <w:numFmt w:val="decimal"/>
      <w:start w:val="1"/>
    </w:lvl>
  </w:abstractNum>
  <w:abstractNum w:abstractNumId="139">
    <w:nsid w:val="66D385C9"/>
    <w:multiLevelType w:val="hybridMultilevel"/>
    <w:lvl w:ilvl="0">
      <w:lvlJc w:val="left"/>
      <w:lvlText w:val="(%1)"/>
      <w:numFmt w:val="upperLetter"/>
      <w:start w:val="1"/>
    </w:lvl>
    <w:lvl w:ilvl="1">
      <w:lvlJc w:val="left"/>
      <w:lvlText w:val="(%2)"/>
      <w:numFmt w:val="decimal"/>
      <w:start w:val="1"/>
    </w:lvl>
  </w:abstractNum>
  <w:abstractNum w:abstractNumId="140">
    <w:nsid w:val="596F6D8A"/>
    <w:multiLevelType w:val="hybridMultilevel"/>
    <w:lvl w:ilvl="0">
      <w:lvlJc w:val="left"/>
      <w:lvlText w:val="%1"/>
      <w:numFmt w:val="upperLetter"/>
      <w:start w:val="1"/>
    </w:lvl>
    <w:lvl w:ilvl="1">
      <w:lvlJc w:val="left"/>
      <w:lvlText w:val="(%2)"/>
      <w:numFmt w:val="decimal"/>
      <w:start w:val="2"/>
    </w:lvl>
  </w:abstractNum>
  <w:abstractNum w:abstractNumId="141">
    <w:nsid w:val="5749361F"/>
    <w:multiLevelType w:val="hybridMultilevel"/>
    <w:lvl w:ilvl="0">
      <w:lvlJc w:val="left"/>
      <w:lvlText w:val="(%1)"/>
      <w:numFmt w:val="upperLetter"/>
      <w:start w:val="3"/>
    </w:lvl>
    <w:lvl w:ilvl="1">
      <w:lvlJc w:val="left"/>
      <w:lvlText w:val="%2"/>
      <w:numFmt w:val="decimal"/>
      <w:start w:val="1"/>
    </w:lvl>
  </w:abstractNum>
  <w:abstractNum w:abstractNumId="142">
    <w:nsid w:val="73BC6770"/>
    <w:multiLevelType w:val="hybridMultilevel"/>
    <w:lvl w:ilvl="0">
      <w:lvlJc w:val="left"/>
      <w:lvlText w:val="(%1)"/>
      <w:numFmt w:val="decimal"/>
      <w:start w:val="1"/>
    </w:lvl>
  </w:abstractNum>
  <w:abstractNum w:abstractNumId="143">
    <w:nsid w:val="280E6897"/>
    <w:multiLevelType w:val="hybridMultilevel"/>
    <w:lvl w:ilvl="0">
      <w:lvlJc w:val="left"/>
      <w:lvlText w:val="(%1)"/>
      <w:numFmt w:val="lowerLetter"/>
      <w:start w:val="2"/>
    </w:lvl>
  </w:abstractNum>
  <w:abstractNum w:abstractNumId="144">
    <w:nsid w:val="605138DE"/>
    <w:multiLevelType w:val="hybridMultilevel"/>
    <w:lvl w:ilvl="0">
      <w:lvlJc w:val="left"/>
      <w:lvlText w:val="(%1)"/>
      <w:numFmt w:val="lowerLetter"/>
      <w:start w:val="2"/>
    </w:lvl>
  </w:abstractNum>
  <w:abstractNum w:abstractNumId="145">
    <w:nsid w:val="2622AD0C"/>
    <w:multiLevelType w:val="hybridMultilevel"/>
    <w:lvl w:ilvl="0">
      <w:lvlJc w:val="left"/>
      <w:lvlText w:val="%1"/>
      <w:numFmt w:val="decimal"/>
      <w:start w:val="1"/>
    </w:lvl>
    <w:lvl w:ilvl="1">
      <w:lvlJc w:val="left"/>
      <w:lvlText w:val="(%2)"/>
      <w:numFmt w:val="lowerLetter"/>
      <w:start w:val="2"/>
    </w:lvl>
  </w:abstractNum>
  <w:abstractNum w:abstractNumId="146">
    <w:nsid w:val="67997556"/>
    <w:multiLevelType w:val="hybridMultilevel"/>
    <w:lvl w:ilvl="0">
      <w:lvlJc w:val="left"/>
      <w:lvlText w:val="(%1)"/>
      <w:numFmt w:val="decimal"/>
      <w:start w:val="3"/>
    </w:lvl>
    <w:lvl w:ilvl="1">
      <w:lvlJc w:val="left"/>
      <w:lvlText w:val="%2"/>
      <w:numFmt w:val="lowerLetter"/>
      <w:start w:val="1"/>
    </w:lvl>
  </w:abstractNum>
  <w:abstractNum w:abstractNumId="147">
    <w:nsid w:val="18333C89"/>
    <w:multiLevelType w:val="hybridMultilevel"/>
    <w:lvl w:ilvl="0">
      <w:lvlJc w:val="left"/>
      <w:lvlText w:val="(%1)"/>
      <w:numFmt w:val="lowerLetter"/>
      <w:start w:val="1"/>
    </w:lvl>
    <w:lvl w:ilvl="1">
      <w:lvlJc w:val="left"/>
      <w:lvlText w:val="(%2)"/>
      <w:numFmt w:val="lowerLetter"/>
      <w:start w:val="35"/>
    </w:lvl>
  </w:abstractNum>
  <w:abstractNum w:abstractNumId="148">
    <w:nsid w:val="4BA9831A"/>
    <w:multiLevelType w:val="hybridMultilevel"/>
    <w:lvl w:ilvl="0">
      <w:lvlJc w:val="left"/>
      <w:lvlText w:val="(%1)"/>
      <w:numFmt w:val="lowerRoman"/>
      <w:start w:val="3"/>
    </w:lvl>
    <w:lvl w:ilvl="1">
      <w:lvlJc w:val="left"/>
      <w:lvlText w:val="(%2)"/>
      <w:numFmt w:val="decimal"/>
      <w:start w:val="1"/>
    </w:lvl>
  </w:abstractNum>
  <w:abstractNum w:abstractNumId="149">
    <w:nsid w:val="6D71A2B"/>
    <w:multiLevelType w:val="hybridMultilevel"/>
    <w:lvl w:ilvl="0">
      <w:lvlJc w:val="left"/>
      <w:lvlText w:val="%1"/>
      <w:numFmt w:val="lowerRoman"/>
      <w:start w:val="1"/>
    </w:lvl>
    <w:lvl w:ilvl="1">
      <w:lvlJc w:val="left"/>
      <w:lvlText w:val="(%2)"/>
      <w:numFmt w:val="decimal"/>
      <w:start w:val="6"/>
    </w:lvl>
  </w:abstractNum>
  <w:abstractNum w:abstractNumId="150">
    <w:nsid w:val="CFC7321"/>
    <w:multiLevelType w:val="hybridMultilevel"/>
    <w:lvl w:ilvl="0">
      <w:lvlJc w:val="left"/>
      <w:lvlText w:val="(%1)"/>
      <w:numFmt w:val="lowerRoman"/>
      <w:start w:val="1"/>
    </w:lvl>
    <w:lvl w:ilvl="1">
      <w:lvlJc w:val="left"/>
      <w:lvlText w:val="(%2)"/>
      <w:numFmt w:val="decimal"/>
      <w:start w:val="7"/>
    </w:lvl>
  </w:abstractNum>
  <w:abstractNum w:abstractNumId="151">
    <w:nsid w:val="1421971B"/>
    <w:multiLevelType w:val="hybridMultilevel"/>
    <w:lvl w:ilvl="0">
      <w:lvlJc w:val="left"/>
      <w:lvlText w:val="(%1)"/>
      <w:numFmt w:val="lowerLetter"/>
      <w:start w:val="2"/>
    </w:lvl>
  </w:abstractNum>
  <w:abstractNum w:abstractNumId="152">
    <w:nsid w:val="1F404301"/>
    <w:multiLevelType w:val="hybridMultilevel"/>
    <w:lvl w:ilvl="0">
      <w:lvlJc w:val="left"/>
      <w:lvlText w:val="(%1)"/>
      <w:numFmt w:val="lowerRoman"/>
      <w:start w:val="2"/>
    </w:lvl>
  </w:abstractNum>
  <w:abstractNum w:abstractNumId="153">
    <w:nsid w:val="116E0907"/>
    <w:multiLevelType w:val="hybridMultilevel"/>
    <w:lvl w:ilvl="0">
      <w:lvlJc w:val="left"/>
      <w:lvlText w:val="(%1)"/>
      <w:numFmt w:val="lowerRoman"/>
      <w:start w:val="5"/>
    </w:lvl>
  </w:abstractNum>
  <w:abstractNum w:abstractNumId="154">
    <w:nsid w:val="4B683D0D"/>
    <w:multiLevelType w:val="hybridMultilevel"/>
    <w:lvl w:ilvl="0">
      <w:lvlJc w:val="left"/>
      <w:lvlText w:val="(%1)"/>
      <w:numFmt w:val="lowerLetter"/>
      <w:start w:val="2"/>
    </w:lvl>
  </w:abstractNum>
  <w:abstractNum w:abstractNumId="155">
    <w:nsid w:val="76E41D8"/>
    <w:multiLevelType w:val="hybridMultilevel"/>
    <w:lvl w:ilvl="0">
      <w:lvlJc w:val="left"/>
      <w:lvlText w:val="(%1)"/>
      <w:numFmt w:val="lowerRoman"/>
      <w:start w:val="1"/>
    </w:lvl>
  </w:abstractNum>
  <w:abstractNum w:abstractNumId="156">
    <w:nsid w:val="71DCE0FD"/>
    <w:multiLevelType w:val="hybridMultilevel"/>
    <w:lvl w:ilvl="0">
      <w:lvlJc w:val="left"/>
      <w:lvlText w:val="%1"/>
      <w:numFmt w:val="lowerLetter"/>
      <w:start w:val="1"/>
    </w:lvl>
    <w:lvl w:ilvl="1">
      <w:lvlJc w:val="left"/>
      <w:lvlText w:val="(%2)"/>
      <w:numFmt w:val="lowerRoman"/>
      <w:start w:val="1"/>
    </w:lvl>
  </w:abstractNum>
  <w:abstractNum w:abstractNumId="157">
    <w:nsid w:val="7906328B"/>
    <w:multiLevelType w:val="hybridMultilevel"/>
    <w:lvl w:ilvl="0">
      <w:lvlJc w:val="left"/>
      <w:lvlText w:val="(%1)"/>
      <w:numFmt w:val="lowerLetter"/>
      <w:start w:val="2"/>
    </w:lvl>
    <w:lvl w:ilvl="1">
      <w:lvlJc w:val="left"/>
      <w:lvlText w:val="%2"/>
      <w:numFmt w:val="lowerRoman"/>
      <w:start w:val="1"/>
    </w:lvl>
  </w:abstractNum>
  <w:abstractNum w:abstractNumId="158">
    <w:nsid w:val="72BBC16"/>
    <w:multiLevelType w:val="hybridMultilevel"/>
    <w:lvl w:ilvl="0">
      <w:lvlJc w:val="left"/>
      <w:lvlText w:val="(%1)"/>
      <w:numFmt w:val="lowerLetter"/>
      <w:start w:val="1"/>
    </w:lvl>
  </w:abstractNum>
  <w:abstractNum w:abstractNumId="159">
    <w:nsid w:val="766D98C2"/>
    <w:multiLevelType w:val="hybridMultilevel"/>
    <w:lvl w:ilvl="0">
      <w:lvlJc w:val="left"/>
      <w:lvlText w:val="(%1)"/>
      <w:numFmt w:val="lowerLetter"/>
      <w:start w:val="2"/>
    </w:lvl>
  </w:abstractNum>
  <w:abstractNum w:abstractNumId="160">
    <w:nsid w:val="3C09D4A1"/>
    <w:multiLevelType w:val="hybridMultilevel"/>
    <w:lvl w:ilvl="0">
      <w:lvlJc w:val="left"/>
      <w:lvlText w:val="(%1)"/>
      <w:numFmt w:val="lowerLetter"/>
      <w:start w:val="2"/>
    </w:lvl>
  </w:abstractNum>
  <w:abstractNum w:abstractNumId="161">
    <w:nsid w:val="20E45CA4"/>
    <w:multiLevelType w:val="hybridMultilevel"/>
    <w:lvl w:ilvl="0">
      <w:lvlJc w:val="left"/>
      <w:lvlText w:val="(%1)"/>
      <w:numFmt w:val="lowerLetter"/>
      <w:start w:val="2"/>
    </w:lvl>
  </w:abstractNum>
  <w:abstractNum w:abstractNumId="162">
    <w:nsid w:val="4B232EE3"/>
    <w:multiLevelType w:val="hybridMultilevel"/>
    <w:lvl w:ilvl="0">
      <w:lvlJc w:val="left"/>
      <w:lvlText w:val="(%1)"/>
      <w:numFmt w:val="lowerLetter"/>
      <w:start w:val="2"/>
    </w:lvl>
  </w:abstractNum>
  <w:abstractNum w:abstractNumId="163">
    <w:nsid w:val="159C74CF"/>
    <w:multiLevelType w:val="hybridMultilevel"/>
    <w:lvl w:ilvl="0">
      <w:lvlJc w:val="left"/>
      <w:lvlText w:val="(%1)"/>
      <w:numFmt w:val="lowerLetter"/>
      <w:start w:val="2"/>
    </w:lvl>
  </w:abstractNum>
  <w:abstractNum w:abstractNumId="164">
    <w:nsid w:val="4AD3AFD2"/>
    <w:multiLevelType w:val="hybridMultilevel"/>
    <w:lvl w:ilvl="0">
      <w:lvlJc w:val="left"/>
      <w:lvlText w:val="(%1)"/>
      <w:numFmt w:val="lowerLetter"/>
      <w:start w:val="5"/>
    </w:lvl>
  </w:abstractNum>
  <w:abstractNum w:abstractNumId="165">
    <w:nsid w:val="3CF93092"/>
    <w:multiLevelType w:val="hybridMultilevel"/>
    <w:lvl w:ilvl="0">
      <w:lvlJc w:val="left"/>
      <w:lvlText w:val="(%1)"/>
      <w:numFmt w:val="lowerLetter"/>
      <w:start w:val="2"/>
    </w:lvl>
  </w:abstractNum>
  <w:abstractNum w:abstractNumId="166">
    <w:nsid w:val="6863E8D2"/>
    <w:multiLevelType w:val="hybridMultilevel"/>
    <w:lvl w:ilvl="0">
      <w:lvlJc w:val="left"/>
      <w:lvlText w:val="(%1)"/>
      <w:numFmt w:val="lowerLetter"/>
      <w:start w:val="2"/>
    </w:lvl>
  </w:abstractNum>
  <w:abstractNum w:abstractNumId="167">
    <w:nsid w:val="76896198"/>
    <w:multiLevelType w:val="hybridMultilevel"/>
    <w:lvl w:ilvl="0">
      <w:lvlJc w:val="left"/>
      <w:lvlText w:val="(%1)"/>
      <w:numFmt w:val="lowerLetter"/>
      <w:start w:val="1"/>
    </w:lvl>
  </w:abstractNum>
  <w:abstractNum w:abstractNumId="168">
    <w:nsid w:val="4365174B"/>
    <w:multiLevelType w:val="hybridMultilevel"/>
    <w:lvl w:ilvl="0">
      <w:lvlJc w:val="left"/>
      <w:lvlText w:val="(%1)"/>
      <w:numFmt w:val="lowerLetter"/>
      <w:start w:val="1"/>
    </w:lvl>
  </w:abstractNum>
  <w:abstractNum w:abstractNumId="169">
    <w:nsid w:val="4A872C35"/>
    <w:multiLevelType w:val="hybridMultilevel"/>
    <w:lvl w:ilvl="0">
      <w:lvlJc w:val="left"/>
      <w:lvlText w:val="%1"/>
      <w:numFmt w:val="lowerRoman"/>
      <w:start w:val="1"/>
    </w:lvl>
    <w:lvl w:ilvl="1">
      <w:lvlJc w:val="left"/>
      <w:lvlText w:val="(%2)"/>
      <w:numFmt w:val="lowerLetter"/>
      <w:start w:val="3"/>
    </w:lvl>
  </w:abstractNum>
  <w:abstractNum w:abstractNumId="170">
    <w:nsid w:val="5D5CE761"/>
    <w:multiLevelType w:val="hybridMultilevel"/>
    <w:lvl w:ilvl="0">
      <w:lvlJc w:val="left"/>
      <w:lvlText w:val="(%1)"/>
      <w:numFmt w:val="lowerRoman"/>
      <w:start w:val="1"/>
    </w:lvl>
    <w:lvl w:ilvl="1">
      <w:lvlJc w:val="left"/>
      <w:lvlText w:val="%2"/>
      <w:numFmt w:val="lowerLetter"/>
      <w:start w:val="1"/>
    </w:lvl>
  </w:abstractNum>
  <w:abstractNum w:abstractNumId="171">
    <w:nsid w:val="1CD484D5"/>
    <w:multiLevelType w:val="hybridMultilevel"/>
    <w:lvl w:ilvl="0">
      <w:lvlJc w:val="left"/>
      <w:lvlText w:val="(%1)"/>
      <w:numFmt w:val="lowerRoman"/>
      <w:start w:val="3"/>
    </w:lvl>
    <w:lvl w:ilvl="1">
      <w:lvlJc w:val="left"/>
      <w:lvlText w:val="%2"/>
      <w:numFmt w:val="lowerLetter"/>
      <w:start w:val="1"/>
    </w:lvl>
  </w:abstractNum>
  <w:abstractNum w:abstractNumId="172">
    <w:nsid w:val="21D06255"/>
    <w:multiLevelType w:val="hybridMultilevel"/>
    <w:lvl w:ilvl="0">
      <w:lvlJc w:val="left"/>
      <w:lvlText w:val="(%1)"/>
      <w:numFmt w:val="lowerRoman"/>
      <w:start w:val="11"/>
    </w:lvl>
    <w:lvl w:ilvl="1">
      <w:lvlJc w:val="left"/>
      <w:lvlText w:val="(%2)"/>
      <w:numFmt w:val="lowerLetter"/>
      <w:start w:val="4"/>
    </w:lvl>
  </w:abstractNum>
  <w:abstractNum w:abstractNumId="173">
    <w:nsid w:val="51194ED1"/>
    <w:multiLevelType w:val="hybridMultilevel"/>
    <w:lvl w:ilvl="0">
      <w:lvlJc w:val="left"/>
      <w:lvlText w:val="(%1)"/>
      <w:numFmt w:val="lowerLetter"/>
      <w:start w:val="1"/>
    </w:lvl>
  </w:abstractNum>
  <w:abstractNum w:abstractNumId="174">
    <w:nsid w:val="44E2ED6C"/>
    <w:multiLevelType w:val="hybridMultilevel"/>
    <w:lvl w:ilvl="0">
      <w:lvlJc w:val="left"/>
      <w:lvlText w:val="%1"/>
      <w:numFmt w:val="lowerRoman"/>
      <w:start w:val="1"/>
    </w:lvl>
    <w:lvl w:ilvl="1">
      <w:lvlJc w:val="left"/>
      <w:lvlText w:val="(%2)"/>
      <w:numFmt w:val="lowerLetter"/>
      <w:start w:val="2"/>
    </w:lvl>
  </w:abstractNum>
  <w:abstractNum w:abstractNumId="175">
    <w:nsid w:val="2219B33"/>
    <w:multiLevelType w:val="hybridMultilevel"/>
    <w:lvl w:ilvl="0">
      <w:lvlJc w:val="left"/>
      <w:lvlText w:val="(%1)"/>
      <w:numFmt w:val="lowerRoman"/>
      <w:start w:val="1"/>
    </w:lvl>
    <w:lvl w:ilvl="1">
      <w:lvlJc w:val="left"/>
      <w:lvlText w:val="%2"/>
      <w:numFmt w:val="lowerLetter"/>
      <w:start w:val="1"/>
    </w:lvl>
  </w:abstractNum>
  <w:abstractNum w:abstractNumId="176">
    <w:nsid w:val="773BFBDD"/>
    <w:multiLevelType w:val="hybridMultilevel"/>
    <w:lvl w:ilvl="0">
      <w:lvlJc w:val="left"/>
      <w:lvlText w:val="(%1)"/>
      <w:numFmt w:val="lowerLetter"/>
      <w:start w:val="4"/>
    </w:lvl>
  </w:abstractNum>
  <w:abstractNum w:abstractNumId="177">
    <w:nsid w:val="2C7C62C2"/>
    <w:multiLevelType w:val="hybridMultilevel"/>
    <w:lvl w:ilvl="0">
      <w:lvlJc w:val="left"/>
      <w:lvlText w:val="(%1)"/>
      <w:numFmt w:val="lowerLetter"/>
      <w:start w:val="1"/>
    </w:lvl>
  </w:abstractNum>
  <w:abstractNum w:abstractNumId="178">
    <w:nsid w:val="1A54D7BC"/>
    <w:multiLevelType w:val="hybridMultilevel"/>
    <w:lvl w:ilvl="0">
      <w:lvlJc w:val="left"/>
      <w:lvlText w:val="(%1)"/>
      <w:numFmt w:val="lowerLetter"/>
      <w:start w:val="2"/>
    </w:lvl>
  </w:abstractNum>
  <w:abstractNum w:abstractNumId="179">
    <w:nsid w:val="42E57EF7"/>
    <w:multiLevelType w:val="hybridMultilevel"/>
    <w:lvl w:ilvl="0">
      <w:lvlJc w:val="left"/>
      <w:lvlText w:val="(%1)"/>
      <w:numFmt w:val="lowerLetter"/>
      <w:start w:val="1"/>
    </w:lvl>
  </w:abstractNum>
  <w:abstractNum w:abstractNumId="180">
    <w:nsid w:val="33537CED"/>
    <w:multiLevelType w:val="hybridMultilevel"/>
    <w:lvl w:ilvl="0">
      <w:lvlJc w:val="left"/>
      <w:lvlText w:val="(%1)"/>
      <w:numFmt w:val="lowerLetter"/>
      <w:start w:val="3"/>
    </w:lvl>
  </w:abstractNum>
  <w:abstractNum w:abstractNumId="181">
    <w:nsid w:val="27514ADE"/>
    <w:multiLevelType w:val="hybridMultilevel"/>
    <w:lvl w:ilvl="0">
      <w:lvlJc w:val="left"/>
      <w:lvlText w:val="(%1)"/>
      <w:numFmt w:val="lowerLetter"/>
      <w:start w:val="1"/>
    </w:lvl>
  </w:abstractNum>
  <w:abstractNum w:abstractNumId="182">
    <w:nsid w:val="57071613"/>
    <w:multiLevelType w:val="hybridMultilevel"/>
    <w:lvl w:ilvl="0">
      <w:lvlJc w:val="left"/>
      <w:lvlText w:val="(%1)"/>
      <w:numFmt w:val="lowerLetter"/>
      <w:start w:val="7"/>
    </w:lvl>
  </w:abstractNum>
  <w:abstractNum w:abstractNumId="183">
    <w:nsid w:val="5293BFEF"/>
    <w:multiLevelType w:val="hybridMultilevel"/>
    <w:lvl w:ilvl="0">
      <w:lvlJc w:val="left"/>
      <w:lvlText w:val="(%1)"/>
      <w:numFmt w:val="lowerLetter"/>
      <w:start w:val="1"/>
    </w:lvl>
  </w:abstractNum>
  <w:abstractNum w:abstractNumId="184">
    <w:nsid w:val="38BF53E5"/>
    <w:multiLevelType w:val="hybridMultilevel"/>
    <w:lvl w:ilvl="0">
      <w:lvlJc w:val="left"/>
      <w:lvlText w:val="(%1)"/>
      <w:numFmt w:val="lowerLetter"/>
      <w:start w:val="3"/>
    </w:lvl>
  </w:abstractNum>
  <w:abstractNum w:abstractNumId="185">
    <w:nsid w:val="226F5320"/>
    <w:multiLevelType w:val="hybridMultilevel"/>
    <w:lvl w:ilvl="0">
      <w:lvlJc w:val="left"/>
      <w:lvlText w:val="(%1)"/>
      <w:numFmt w:val="lowerLetter"/>
      <w:start w:val="1"/>
    </w:lvl>
  </w:abstractNum>
  <w:abstractNum w:abstractNumId="186">
    <w:nsid w:val="5A0201C7"/>
    <w:multiLevelType w:val="hybridMultilevel"/>
    <w:lvl w:ilvl="0">
      <w:lvlJc w:val="left"/>
      <w:lvlText w:val="(%1)"/>
      <w:numFmt w:val="lowerLetter"/>
      <w:start w:val="1"/>
    </w:lvl>
  </w:abstractNum>
  <w:abstractNum w:abstractNumId="187">
    <w:nsid w:val="2A9C34E2"/>
    <w:multiLevelType w:val="hybridMultilevel"/>
    <w:lvl w:ilvl="0">
      <w:lvlJc w:val="left"/>
      <w:lvlText w:val="(%1)"/>
      <w:numFmt w:val="lowerLetter"/>
      <w:start w:val="5"/>
    </w:lvl>
  </w:abstractNum>
  <w:abstractNum w:abstractNumId="188">
    <w:nsid w:val="1B7585AB"/>
    <w:multiLevelType w:val="hybridMultilevel"/>
    <w:lvl w:ilvl="0">
      <w:lvlJc w:val="left"/>
      <w:lvlText w:val="(%1)"/>
      <w:numFmt w:val="lowerLetter"/>
      <w:start w:val="1"/>
    </w:lvl>
  </w:abstractNum>
  <w:abstractNum w:abstractNumId="189">
    <w:nsid w:val="612DBDDD"/>
    <w:multiLevelType w:val="hybridMultilevel"/>
    <w:lvl w:ilvl="0">
      <w:lvlJc w:val="left"/>
      <w:lvlText w:val="(%1)"/>
      <w:numFmt w:val="lowerLetter"/>
      <w:start w:val="4"/>
    </w:lvl>
  </w:abstractNum>
  <w:abstractNum w:abstractNumId="190">
    <w:nsid w:val="2109CDA4"/>
    <w:multiLevelType w:val="hybridMultilevel"/>
    <w:lvl w:ilvl="0">
      <w:lvlJc w:val="left"/>
      <w:lvlText w:val="(%1)"/>
      <w:numFmt w:val="upperLetter"/>
      <w:start w:val="2"/>
    </w:lvl>
  </w:abstractNum>
  <w:abstractNum w:abstractNumId="191">
    <w:nsid w:val="577F5A4D"/>
    <w:multiLevelType w:val="hybridMultilevel"/>
    <w:lvl w:ilvl="0">
      <w:lvlJc w:val="left"/>
      <w:lvlText w:val="(%1)"/>
      <w:numFmt w:val="lowerLetter"/>
      <w:start w:val="1"/>
    </w:lvl>
  </w:abstractNum>
  <w:abstractNum w:abstractNumId="192">
    <w:nsid w:val="2121A81"/>
    <w:multiLevelType w:val="hybridMultilevel"/>
    <w:lvl w:ilvl="0">
      <w:lvlJc w:val="left"/>
      <w:lvlText w:val="(%1)"/>
      <w:numFmt w:val="lowerLetter"/>
      <w:start w:val="5"/>
    </w:lvl>
  </w:abstractNum>
  <w:abstractNum w:abstractNumId="193">
    <w:nsid w:val="6C2CFC88"/>
    <w:multiLevelType w:val="hybridMultilevel"/>
    <w:lvl w:ilvl="0">
      <w:lvlJc w:val="left"/>
      <w:lvlText w:val="(%1)"/>
      <w:numFmt w:val="lowerLetter"/>
      <w:start w:val="9"/>
    </w:lvl>
  </w:abstractNum>
  <w:abstractNum w:abstractNumId="194">
    <w:nsid w:val="6D1BCF1C"/>
    <w:multiLevelType w:val="hybridMultilevel"/>
    <w:lvl w:ilvl="0">
      <w:lvlJc w:val="left"/>
      <w:lvlText w:val="(%1)"/>
      <w:numFmt w:val="lowerLetter"/>
      <w:start w:val="1"/>
    </w:lvl>
  </w:abstractNum>
  <w:abstractNum w:abstractNumId="195">
    <w:nsid w:val="4CE5CA53"/>
    <w:multiLevelType w:val="hybridMultilevel"/>
    <w:lvl w:ilvl="0">
      <w:lvlJc w:val="left"/>
      <w:lvlText w:val="(%1)"/>
      <w:numFmt w:val="lowerRoman"/>
      <w:start w:val="1"/>
    </w:lvl>
  </w:abstractNum>
  <w:abstractNum w:abstractNumId="196">
    <w:nsid w:val="29262D1A"/>
    <w:multiLevelType w:val="hybridMultilevel"/>
    <w:lvl w:ilvl="0">
      <w:lvlJc w:val="left"/>
      <w:lvlText w:val="(%1)"/>
      <w:numFmt w:val="lowerLetter"/>
      <w:start w:val="1"/>
    </w:lvl>
  </w:abstractNum>
  <w:abstractNum w:abstractNumId="197">
    <w:nsid w:val="557FB7EE"/>
    <w:multiLevelType w:val="hybridMultilevel"/>
    <w:lvl w:ilvl="0">
      <w:lvlJc w:val="left"/>
      <w:lvlText w:val="%1"/>
      <w:numFmt w:val="lowerLetter"/>
      <w:start w:val="1"/>
    </w:lvl>
    <w:lvl w:ilvl="1">
      <w:lvlJc w:val="left"/>
      <w:lvlText w:val="(%2)"/>
      <w:numFmt w:val="lowerLetter"/>
      <w:start w:val="2"/>
    </w:lvl>
  </w:abstractNum>
  <w:abstractNum w:abstractNumId="198">
    <w:nsid w:val="436F2BEB"/>
    <w:multiLevelType w:val="hybridMultilevel"/>
    <w:lvl w:ilvl="0">
      <w:lvlJc w:val="left"/>
      <w:lvlText w:val="(%1)"/>
      <w:numFmt w:val="lowerLetter"/>
      <w:start w:val="9"/>
    </w:lvl>
    <w:lvl w:ilvl="1">
      <w:lvlJc w:val="left"/>
      <w:lvlText w:val="%2"/>
      <w:numFmt w:val="lowerLetter"/>
      <w:start w:val="1"/>
    </w:lvl>
  </w:abstractNum>
  <w:abstractNum w:abstractNumId="199">
    <w:nsid w:val="6C8B4466"/>
    <w:multiLevelType w:val="hybridMultilevel"/>
    <w:lvl w:ilvl="0">
      <w:lvlJc w:val="left"/>
      <w:lvlText w:val="(%1)"/>
      <w:numFmt w:val="lowerRoman"/>
      <w:start w:val="2"/>
    </w:lvl>
  </w:abstractNum>
  <w:abstractNum w:abstractNumId="200">
    <w:nsid w:val="2006E424"/>
    <w:multiLevelType w:val="hybridMultilevel"/>
    <w:lvl w:ilvl="0">
      <w:lvlJc w:val="left"/>
      <w:lvlText w:val="(%1)"/>
      <w:numFmt w:val="lowerLetter"/>
      <w:start w:val="8"/>
    </w:lvl>
  </w:abstractNum>
  <w:abstractNum w:abstractNumId="201">
    <w:nsid w:val="20CC134C"/>
    <w:multiLevelType w:val="hybridMultilevel"/>
    <w:lvl w:ilvl="0">
      <w:lvlJc w:val="left"/>
      <w:lvlText w:val="(%1)"/>
      <w:numFmt w:val="lowerLetter"/>
      <w:start w:val="9"/>
    </w:lvl>
  </w:abstractNum>
  <w:abstractNum w:abstractNumId="202">
    <w:nsid w:val="95FC93B"/>
    <w:multiLevelType w:val="hybridMultilevel"/>
    <w:lvl w:ilvl="0">
      <w:lvlJc w:val="left"/>
      <w:lvlText w:val="(%1)"/>
      <w:numFmt w:val="lowerLetter"/>
      <w:start w:val="17"/>
    </w:lvl>
  </w:abstractNum>
  <w:abstractNum w:abstractNumId="203">
    <w:nsid w:val="41D74679"/>
    <w:multiLevelType w:val="hybridMultilevel"/>
    <w:lvl w:ilvl="0">
      <w:lvlJc w:val="left"/>
      <w:lvlText w:val="(%1)"/>
      <w:numFmt w:val="lowerLetter"/>
      <w:start w:val="27"/>
    </w:lvl>
    <w:lvl w:ilvl="1">
      <w:lvlJc w:val="left"/>
      <w:lvlText w:val="(%2)"/>
      <w:numFmt w:val="lowerRoman"/>
      <w:start w:val="1"/>
    </w:lvl>
  </w:abstractNum>
  <w:abstractNum w:abstractNumId="204">
    <w:nsid w:val="71E5621E"/>
    <w:multiLevelType w:val="hybridMultilevel"/>
    <w:lvl w:ilvl="0">
      <w:lvlJc w:val="left"/>
      <w:lvlText w:val="%1."/>
      <w:numFmt w:val="decimal"/>
      <w:start w:val="1"/>
    </w:lvl>
    <w:lvl w:ilvl="1">
      <w:lvlJc w:val="left"/>
      <w:lvlText w:val="(%2)"/>
      <w:numFmt w:val="lowerLetter"/>
      <w:start w:val="1"/>
    </w:lvl>
  </w:abstractNum>
  <w:abstractNum w:abstractNumId="205">
    <w:nsid w:val="4E42B6A8"/>
    <w:multiLevelType w:val="hybridMultilevel"/>
    <w:lvl w:ilvl="0">
      <w:lvlJc w:val="left"/>
      <w:lvlText w:val="(%1)"/>
      <w:numFmt w:val="lowerLetter"/>
      <w:start w:val="3"/>
    </w:lvl>
  </w:abstractNum>
  <w:abstractNum w:abstractNumId="206">
    <w:nsid w:val="43F8E1AC"/>
    <w:multiLevelType w:val="hybridMultilevel"/>
    <w:lvl w:ilvl="0">
      <w:lvlJc w:val="left"/>
      <w:lvlText w:val="%1"/>
      <w:numFmt w:val="decimal"/>
      <w:start w:val="1"/>
    </w:lvl>
    <w:lvl w:ilvl="1">
      <w:lvlJc w:val="left"/>
      <w:lvlText w:val="(%2)"/>
      <w:numFmt w:val="lowerLetter"/>
      <w:start w:val="7"/>
    </w:lvl>
  </w:abstractNum>
  <w:abstractNum w:abstractNumId="207">
    <w:nsid w:val="69215DFB"/>
    <w:multiLevelType w:val="hybridMultilevel"/>
    <w:lvl w:ilvl="0">
      <w:lvlJc w:val="left"/>
      <w:lvlText w:val="%1."/>
      <w:numFmt w:val="decimal"/>
      <w:start w:val="4"/>
    </w:lvl>
    <w:lvl w:ilvl="1">
      <w:lvlJc w:val="left"/>
      <w:lvlText w:val="(%2)"/>
      <w:numFmt w:val="lowerLetter"/>
      <w:start w:val="1"/>
    </w:lvl>
  </w:abstractNum>
  <w:abstractNum w:abstractNumId="208">
    <w:nsid w:val="7ABF19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09">
    <w:nsid w:val="5E4DB968"/>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10">
    <w:nsid w:val="2C06DCF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11">
    <w:nsid w:val="2E129658"/>
    <w:multiLevelType w:val="hybridMultilevel"/>
    <w:lvl w:ilvl="0">
      <w:lvlJc w:val="left"/>
      <w:lvlText w:val="%1."/>
      <w:numFmt w:val="decimal"/>
      <w:start w:val="10"/>
    </w:lvl>
    <w:lvl w:ilvl="1">
      <w:lvlJc w:val="left"/>
      <w:lvlText w:val="(%2)"/>
      <w:numFmt w:val="lowerLetter"/>
      <w:start w:val="1"/>
    </w:lvl>
  </w:abstractNum>
  <w:abstractNum w:abstractNumId="212">
    <w:nsid w:val="59F0446"/>
    <w:multiLevelType w:val="hybridMultilevel"/>
    <w:lvl w:ilvl="0">
      <w:lvlJc w:val="left"/>
      <w:lvlText w:val="(%1)"/>
      <w:numFmt w:val="lowerLetter"/>
      <w:start w:val="2"/>
    </w:lvl>
  </w:abstractNum>
  <w:abstractNum w:abstractNumId="213">
    <w:nsid w:val="30DF306"/>
    <w:multiLevelType w:val="hybridMultilevel"/>
    <w:lvl w:ilvl="0">
      <w:lvlJc w:val="left"/>
      <w:lvlText w:val="(%1)"/>
      <w:numFmt w:val="lowerLetter"/>
      <w:start w:val="4"/>
    </w:lvl>
  </w:abstractNum>
  <w:abstractNum w:abstractNumId="214">
    <w:nsid w:val="A65647"/>
    <w:multiLevelType w:val="hybridMultilevel"/>
    <w:lvl w:ilvl="0">
      <w:lvlJc w:val="left"/>
      <w:lvlText w:val="(%1)"/>
      <w:numFmt w:val="lowerLetter"/>
      <w:start w:val="7"/>
    </w:lvl>
  </w:abstractNum>
  <w:abstractNum w:abstractNumId="215">
    <w:nsid w:val="3E5E582B"/>
    <w:multiLevelType w:val="hybridMultilevel"/>
    <w:lvl w:ilvl="0">
      <w:lvlJc w:val="left"/>
      <w:lvlText w:val="(%1)"/>
      <w:numFmt w:val="lowerLetter"/>
      <w:start w:val="11"/>
    </w:lvl>
  </w:abstractNum>
  <w:abstractNum w:abstractNumId="216">
    <w:nsid w:val="257D4626"/>
    <w:multiLevelType w:val="hybridMultilevel"/>
    <w:lvl w:ilvl="0">
      <w:lvlJc w:val="left"/>
      <w:lvlText w:val="%1."/>
      <w:numFmt w:val="decimal"/>
      <w:start w:val="1"/>
    </w:lvl>
    <w:lvl w:ilvl="1">
      <w:lvlJc w:val="left"/>
      <w:lvlText w:val="(%2)"/>
      <w:numFmt w:val="lowerLetter"/>
      <w:start w:val="1"/>
    </w:lvl>
  </w:abstractNum>
  <w:abstractNum w:abstractNumId="217">
    <w:nsid w:val="5AA8580E"/>
    <w:multiLevelType w:val="hybridMultilevel"/>
    <w:lvl w:ilvl="0">
      <w:lvlJc w:val="left"/>
      <w:lvlText w:val="(%1)"/>
      <w:numFmt w:val="lowerLetter"/>
      <w:start w:val="4"/>
    </w:lvl>
  </w:abstractNum>
  <w:abstractNum w:abstractNumId="218">
    <w:nsid w:val="68FA8D0D"/>
    <w:multiLevelType w:val="hybridMultilevel"/>
    <w:lvl w:ilvl="0">
      <w:lvlJc w:val="left"/>
      <w:lvlText w:val="%1"/>
      <w:numFmt w:val="decimal"/>
      <w:start w:val="1"/>
    </w:lvl>
    <w:lvl w:ilvl="1">
      <w:lvlJc w:val="left"/>
      <w:lvlText w:val="(%2)"/>
      <w:numFmt w:val="lowerLetter"/>
      <w:start w:val="8"/>
    </w:lvl>
  </w:abstractNum>
  <w:abstractNum w:abstractNumId="219">
    <w:nsid w:val="40F2CBD2"/>
    <w:multiLevelType w:val="hybridMultilevel"/>
    <w:lvl w:ilvl="0">
      <w:lvlJc w:val="left"/>
      <w:lvlText w:val="%1."/>
      <w:numFmt w:val="decimal"/>
      <w:start w:val="3"/>
    </w:lvl>
    <w:lvl w:ilvl="1">
      <w:lvlJc w:val="left"/>
      <w:lvlText w:val="%2"/>
      <w:numFmt w:val="lowerLetter"/>
      <w:start w:val="1"/>
    </w:lvl>
  </w:abstractNum>
  <w:abstractNum w:abstractNumId="220">
    <w:nsid w:val="3BD615E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21">
    <w:nsid w:val="A045AB2"/>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22">
    <w:nsid w:val="1872261F"/>
    <w:multiLevelType w:val="hybridMultilevel"/>
    <w:lvl w:ilvl="0">
      <w:lvlJc w:val="left"/>
      <w:lvlText w:val="%1."/>
      <w:numFmt w:val="decimal"/>
      <w:start w:val="10"/>
    </w:lvl>
    <w:lvl w:ilvl="1">
      <w:lvlJc w:val="left"/>
      <w:lvlText w:val="(%2)"/>
      <w:numFmt w:val="lowerLetter"/>
      <w:start w:val="1"/>
    </w:lvl>
  </w:abstractNum>
  <w:abstractNum w:abstractNumId="223">
    <w:nsid w:val="3DE8306C"/>
    <w:multiLevelType w:val="hybridMultilevel"/>
    <w:lvl w:ilvl="0">
      <w:lvlJc w:val="left"/>
      <w:lvlText w:val="(%1)"/>
      <w:numFmt w:val="lowerLetter"/>
      <w:start w:val="2"/>
    </w:lvl>
  </w:abstractNum>
  <w:abstractNum w:abstractNumId="224">
    <w:nsid w:val="7631573A"/>
    <w:multiLevelType w:val="hybridMultilevel"/>
    <w:lvl w:ilvl="0">
      <w:lvlJc w:val="left"/>
      <w:lvlText w:val="(%1)"/>
      <w:numFmt w:val="lowerLetter"/>
      <w:start w:val="6"/>
    </w:lvl>
  </w:abstractNum>
  <w:abstractNum w:abstractNumId="225">
    <w:nsid w:val="58DF53B"/>
    <w:multiLevelType w:val="hybridMultilevel"/>
    <w:lvl w:ilvl="0">
      <w:lvlJc w:val="left"/>
      <w:lvlText w:val="(%1)"/>
      <w:numFmt w:val="lowerLetter"/>
      <w:start w:val="10"/>
    </w:lvl>
  </w:abstractNum>
  <w:abstractNum w:abstractNumId="226">
    <w:nsid w:val="ACDFAC0"/>
    <w:multiLevelType w:val="hybridMultilevel"/>
    <w:lvl w:ilvl="0">
      <w:lvlJc w:val="left"/>
      <w:lvlText w:val="%1."/>
      <w:numFmt w:val="decimal"/>
      <w:start w:val="1"/>
    </w:lvl>
    <w:lvl w:ilvl="1">
      <w:lvlJc w:val="left"/>
      <w:lvlText w:val="(%2)"/>
      <w:numFmt w:val="lowerLetter"/>
      <w:start w:val="1"/>
    </w:lvl>
  </w:abstractNum>
  <w:abstractNum w:abstractNumId="227">
    <w:nsid w:val="1F578454"/>
    <w:multiLevelType w:val="hybridMultilevel"/>
    <w:lvl w:ilvl="0">
      <w:lvlJc w:val="left"/>
      <w:lvlText w:val="(%1)"/>
      <w:numFmt w:val="lowerLetter"/>
      <w:start w:val="3"/>
    </w:lvl>
  </w:abstractNum>
  <w:abstractNum w:abstractNumId="228">
    <w:nsid w:val="5B0DAD2A"/>
    <w:multiLevelType w:val="hybridMultilevel"/>
    <w:lvl w:ilvl="0">
      <w:lvlJc w:val="left"/>
      <w:lvlText w:val="%1"/>
      <w:numFmt w:val="decimal"/>
      <w:start w:val="1"/>
    </w:lvl>
    <w:lvl w:ilvl="1">
      <w:lvlJc w:val="left"/>
      <w:lvlText w:val="(%2)"/>
      <w:numFmt w:val="lowerLetter"/>
      <w:start w:val="6"/>
    </w:lvl>
  </w:abstractNum>
  <w:abstractNum w:abstractNumId="229">
    <w:nsid w:val="4E3D26AB"/>
    <w:multiLevelType w:val="hybridMultilevel"/>
    <w:lvl w:ilvl="0">
      <w:lvlJc w:val="left"/>
      <w:lvlText w:val="%1."/>
      <w:numFmt w:val="decimal"/>
      <w:start w:val="4"/>
    </w:lvl>
    <w:lvl w:ilvl="1">
      <w:lvlJc w:val="left"/>
      <w:lvlText w:val="%2"/>
      <w:numFmt w:val="lowerLetter"/>
      <w:start w:val="1"/>
    </w:lvl>
  </w:abstractNum>
  <w:abstractNum w:abstractNumId="230">
    <w:nsid w:val="BE2C8B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31">
    <w:nsid w:val="7B1491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2">
    <w:nsid w:val="6F0939F8"/>
    <w:multiLevelType w:val="hybridMultilevel"/>
    <w:lvl w:ilvl="0">
      <w:lvlJc w:val="left"/>
      <w:lvlText w:val="%1."/>
      <w:numFmt w:val="decimal"/>
      <w:start w:val="9"/>
    </w:lvl>
  </w:abstractNum>
  <w:abstractNum w:abstractNumId="233">
    <w:nsid w:val="154291F6"/>
    <w:multiLevelType w:val="hybridMultilevel"/>
    <w:lvl w:ilvl="0">
      <w:lvlJc w:val="left"/>
      <w:lvlText w:val="(%1)"/>
      <w:numFmt w:val="lowerLetter"/>
      <w:start w:val="1"/>
    </w:lvl>
  </w:abstractNum>
  <w:abstractNum w:abstractNumId="234">
    <w:nsid w:val="3CEBD7C7"/>
    <w:multiLevelType w:val="hybridMultilevel"/>
    <w:lvl w:ilvl="0">
      <w:lvlJc w:val="left"/>
      <w:lvlText w:val="(%1)"/>
      <w:numFmt w:val="lowerLetter"/>
      <w:start w:val="2"/>
    </w:lvl>
  </w:abstractNum>
  <w:abstractNum w:abstractNumId="235">
    <w:nsid w:val="60EE9C16"/>
    <w:multiLevelType w:val="hybridMultilevel"/>
    <w:lvl w:ilvl="0">
      <w:lvlJc w:val="left"/>
      <w:lvlText w:val="(%1)"/>
      <w:numFmt w:val="lowerLetter"/>
      <w:start w:val="4"/>
    </w:lvl>
  </w:abstractNum>
  <w:abstractNum w:abstractNumId="236">
    <w:nsid w:val="6385489E"/>
    <w:multiLevelType w:val="hybridMultilevel"/>
    <w:lvl w:ilvl="0">
      <w:lvlJc w:val="left"/>
      <w:lvlText w:val="(%1)"/>
      <w:numFmt w:val="lowerLetter"/>
      <w:start w:val="6"/>
    </w:lvl>
  </w:abstractNum>
  <w:abstractNum w:abstractNumId="237">
    <w:nsid w:val="E4B973"/>
    <w:multiLevelType w:val="hybridMultilevel"/>
    <w:lvl w:ilvl="0">
      <w:lvlJc w:val="left"/>
      <w:lvlText w:val="(%1)"/>
      <w:numFmt w:val="lowerLetter"/>
      <w:start w:val="10"/>
    </w:lvl>
  </w:abstractNum>
  <w:abstractNum w:abstractNumId="238">
    <w:nsid w:val="4A0FFA11"/>
    <w:multiLevelType w:val="hybridMultilevel"/>
    <w:lvl w:ilvl="0">
      <w:lvlJc w:val="left"/>
      <w:lvlText w:val="%1."/>
      <w:numFmt w:val="decimal"/>
      <w:start w:val="1"/>
    </w:lvl>
    <w:lvl w:ilvl="1">
      <w:lvlJc w:val="left"/>
      <w:lvlText w:val="(%2)"/>
      <w:numFmt w:val="lowerLetter"/>
      <w:start w:val="1"/>
    </w:lvl>
  </w:abstractNum>
  <w:abstractNum w:abstractNumId="239">
    <w:nsid w:val="5E446208"/>
    <w:multiLevelType w:val="hybridMultilevel"/>
    <w:lvl w:ilvl="0">
      <w:lvlJc w:val="left"/>
      <w:lvlText w:val="%1"/>
      <w:numFmt w:val="decimal"/>
      <w:start w:val="1"/>
    </w:lvl>
    <w:lvl w:ilvl="1">
      <w:lvlJc w:val="left"/>
      <w:lvlText w:val="(%2)"/>
      <w:numFmt w:val="lowerLetter"/>
      <w:start w:val="4"/>
    </w:lvl>
  </w:abstractNum>
  <w:abstractNum w:abstractNumId="240">
    <w:nsid w:val="5F3272DB"/>
    <w:multiLevelType w:val="hybridMultilevel"/>
    <w:lvl w:ilvl="0">
      <w:lvlJc w:val="left"/>
      <w:lvlText w:val="%1."/>
      <w:numFmt w:val="decimal"/>
      <w:start w:val="4"/>
    </w:lvl>
    <w:lvl w:ilvl="1">
      <w:lvlJc w:val="left"/>
      <w:lvlText w:val="(%2)"/>
      <w:numFmt w:val="lowerLetter"/>
      <w:start w:val="1"/>
    </w:lvl>
  </w:abstractNum>
  <w:abstractNum w:abstractNumId="241">
    <w:nsid w:val="7616D70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2">
    <w:nsid w:val="C56F860"/>
    <w:multiLevelType w:val="hybridMultilevel"/>
    <w:lvl w:ilvl="0">
      <w:lvlJc w:val="left"/>
      <w:lvlText w:val="%1"/>
      <w:numFmt w:val="decimal"/>
      <w:start w:val="1"/>
    </w:lvl>
    <w:lvl w:ilvl="1">
      <w:lvlJc w:val="left"/>
      <w:lvlText w:val="(%2)"/>
      <w:numFmt w:val="lowerLetter"/>
      <w:start w:val="3"/>
    </w:lvl>
  </w:abstractNum>
  <w:abstractNum w:abstractNumId="243">
    <w:nsid w:val="64D17722"/>
    <w:multiLevelType w:val="hybridMultilevel"/>
    <w:lvl w:ilvl="0">
      <w:lvlJc w:val="left"/>
      <w:lvlText w:val="%1."/>
      <w:numFmt w:val="decimal"/>
      <w:start w:val="6"/>
    </w:lvl>
    <w:lvl w:ilvl="1">
      <w:lvlJc w:val="left"/>
      <w:lvlText w:val="(%2)"/>
      <w:numFmt w:val="lowerLetter"/>
      <w:start w:val="1"/>
    </w:lvl>
  </w:abstractNum>
  <w:abstractNum w:abstractNumId="244">
    <w:nsid w:val="7924CA0A"/>
    <w:multiLevelType w:val="hybridMultilevel"/>
    <w:lvl w:ilvl="0">
      <w:lvlJc w:val="left"/>
      <w:lvlText w:val="%1"/>
      <w:numFmt w:val="decimal"/>
      <w:start w:val="1"/>
    </w:lvl>
    <w:lvl w:ilvl="1">
      <w:lvlJc w:val="left"/>
      <w:lvlText w:val="(%2)"/>
      <w:numFmt w:val="lowerLetter"/>
      <w:start w:val="4"/>
    </w:lvl>
  </w:abstractNum>
  <w:abstractNum w:abstractNumId="245">
    <w:nsid w:val="CFD4EA7"/>
    <w:multiLevelType w:val="hybridMultilevel"/>
    <w:lvl w:ilvl="0">
      <w:lvlJc w:val="left"/>
      <w:lvlText w:val="%1."/>
      <w:numFmt w:val="decimal"/>
      <w:start w:val="7"/>
    </w:lvl>
    <w:lvl w:ilvl="1">
      <w:lvlJc w:val="left"/>
      <w:lvlText w:val="%2"/>
      <w:numFmt w:val="lowerLetter"/>
      <w:start w:val="1"/>
    </w:lvl>
  </w:abstractNum>
  <w:abstractNum w:abstractNumId="246">
    <w:nsid w:val="232FCF4D"/>
    <w:multiLevelType w:val="hybridMultilevel"/>
    <w:lvl w:ilvl="0">
      <w:lvlJc w:val="left"/>
      <w:lvlText w:val="%1."/>
      <w:numFmt w:val="decimal"/>
      <w:start w:val="11"/>
    </w:lvl>
  </w:abstractNum>
  <w:abstractNum w:abstractNumId="247">
    <w:nsid w:val="1EA21031"/>
    <w:multiLevelType w:val="hybridMultilevel"/>
    <w:lvl w:ilvl="0">
      <w:lvlJc w:val="left"/>
      <w:lvlText w:val="%1."/>
      <w:numFmt w:val="decimal"/>
      <w:start w:val="1"/>
    </w:lvl>
  </w:abstractNum>
  <w:abstractNum w:abstractNumId="248">
    <w:nsid w:val="67A5A6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9">
    <w:nsid w:val="C2A5C5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250">
    <w:nsid w:val="5F94DC03"/>
    <w:multiLevelType w:val="hybridMultilevel"/>
    <w:lvl w:ilvl="0">
      <w:lvlJc w:val="left"/>
      <w:lvlText w:val="(%1)"/>
      <w:numFmt w:val="decimal"/>
      <w:start w:val="1"/>
    </w:lvl>
  </w:abstractNum>
  <w:abstractNum w:abstractNumId="251">
    <w:nsid w:val="237BBCA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6"/>
    </w:lvl>
  </w:abstractNum>
  <w:abstractNum w:abstractNumId="252">
    <w:nsid w:val="162EB70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53">
    <w:nsid w:val="78070222"/>
    <w:multiLevelType w:val="hybridMultilevel"/>
    <w:lvl w:ilvl="0">
      <w:lvlJc w:val="left"/>
      <w:lvlText w:val="%1."/>
      <w:numFmt w:val="decimal"/>
      <w:start w:val="2"/>
    </w:lvl>
    <w:lvl w:ilvl="1">
      <w:lvlJc w:val="left"/>
      <w:lvlText w:val="(%2)"/>
      <w:numFmt w:val="lowerLetter"/>
      <w:start w:val="1"/>
    </w:lvl>
  </w:abstractNum>
  <w:abstractNum w:abstractNumId="254">
    <w:nsid w:val="6163ED0D"/>
    <w:multiLevelType w:val="hybridMultilevel"/>
    <w:lvl w:ilvl="0">
      <w:lvlJc w:val="left"/>
      <w:lvlText w:val="%1"/>
      <w:numFmt w:val="decimal"/>
      <w:start w:val="1"/>
    </w:lvl>
    <w:lvl w:ilvl="1">
      <w:lvlJc w:val="left"/>
      <w:lvlText w:val="(%2)"/>
      <w:numFmt w:val="lowerLetter"/>
      <w:start w:val="2"/>
    </w:lvl>
  </w:abstractNum>
  <w:abstractNum w:abstractNumId="255">
    <w:nsid w:val="C600E47"/>
    <w:multiLevelType w:val="hybridMultilevel"/>
    <w:lvl w:ilvl="0">
      <w:lvlJc w:val="left"/>
      <w:lvlText w:val="%1."/>
      <w:numFmt w:val="decimal"/>
      <w:start w:val="5"/>
    </w:lvl>
    <w:lvl w:ilvl="1">
      <w:lvlJc w:val="left"/>
      <w:lvlText w:val="(%2)"/>
      <w:numFmt w:val="lowerLetter"/>
      <w:start w:val="1"/>
    </w:lvl>
  </w:abstractNum>
  <w:abstractNum w:abstractNumId="256">
    <w:nsid w:val="7D94F75D"/>
    <w:multiLevelType w:val="hybridMultilevel"/>
    <w:lvl w:ilvl="0">
      <w:lvlJc w:val="left"/>
      <w:lvlText w:val="(%1)"/>
      <w:numFmt w:val="lowerLetter"/>
      <w:start w:val="2"/>
    </w:lvl>
    <w:lvl w:ilvl="1">
      <w:lvlJc w:val="left"/>
      <w:lvlText w:val="(%2)"/>
      <w:numFmt w:val="lowerRoman"/>
      <w:start w:val="1"/>
    </w:lvl>
  </w:abstractNum>
  <w:abstractNum w:abstractNumId="257">
    <w:nsid w:val="6C31E7CD"/>
    <w:multiLevelType w:val="hybridMultilevel"/>
    <w:lvl w:ilvl="0">
      <w:lvlJc w:val="left"/>
      <w:lvlText w:val="%1"/>
      <w:numFmt w:val="lowerLetter"/>
      <w:start w:val="1"/>
    </w:lvl>
    <w:lvl w:ilvl="1">
      <w:lvlJc w:val="left"/>
      <w:lvlText w:val="(%2)"/>
      <w:numFmt w:val="lowerRoman"/>
      <w:start w:val="4"/>
    </w:lvl>
  </w:abstractNum>
  <w:abstractNum w:abstractNumId="258">
    <w:nsid w:val="2BB7929B"/>
    <w:multiLevelType w:val="hybridMultilevel"/>
    <w:lvl w:ilvl="0">
      <w:lvlJc w:val="left"/>
      <w:lvlText w:val="(%1)"/>
      <w:numFmt w:val="lowerLetter"/>
      <w:start w:val="6"/>
    </w:lvl>
    <w:lvl w:ilvl="1">
      <w:lvlJc w:val="left"/>
      <w:lvlText w:val="%2"/>
      <w:numFmt w:val="lowerRoman"/>
      <w:start w:val="1"/>
    </w:lvl>
  </w:abstractNum>
  <w:abstractNum w:abstractNumId="259">
    <w:nsid w:val="58A2A487"/>
    <w:multiLevelType w:val="hybridMultilevel"/>
    <w:lvl w:ilvl="0">
      <w:lvlJc w:val="left"/>
      <w:lvlText w:val="%1"/>
      <w:numFmt w:val="decimal"/>
      <w:start w:val="1"/>
    </w:lvl>
    <w:lvl w:ilvl="1">
      <w:lvlJc w:val="left"/>
      <w:lvlText w:val="(%2)"/>
      <w:numFmt w:val="lowerLetter"/>
      <w:start w:val="9"/>
    </w:lvl>
  </w:abstractNum>
  <w:abstractNum w:abstractNumId="260">
    <w:nsid w:val="3A6F0E78"/>
    <w:multiLevelType w:val="hybridMultilevel"/>
    <w:lvl w:ilvl="0">
      <w:lvlJc w:val="left"/>
      <w:lvlText w:val="%1."/>
      <w:numFmt w:val="decimal"/>
      <w:start w:val="6"/>
    </w:lvl>
    <w:lvl w:ilvl="1">
      <w:lvlJc w:val="left"/>
      <w:lvlText w:val="(%2)"/>
      <w:numFmt w:val="lowerLetter"/>
      <w:start w:val="1"/>
    </w:lvl>
  </w:abstractNum>
  <w:abstractNum w:abstractNumId="261">
    <w:nsid w:val="379A5B56"/>
    <w:multiLevelType w:val="hybridMultilevel"/>
    <w:lvl w:ilvl="0">
      <w:lvlJc w:val="left"/>
      <w:lvlText w:val="%1."/>
      <w:numFmt w:val="decimal"/>
      <w:start w:val="10"/>
    </w:lvl>
  </w:abstractNum>
  <w:abstractNum w:abstractNumId="262">
    <w:nsid w:val="53B735D5"/>
    <w:multiLevelType w:val="hybridMultilevel"/>
    <w:lvl w:ilvl="0">
      <w:lvlJc w:val="left"/>
      <w:lvlText w:val="%1."/>
      <w:numFmt w:val="decimal"/>
      <w:start w:val="16"/>
    </w:lvl>
  </w:abstractNum>
  <w:abstractNum w:abstractNumId="263">
    <w:nsid w:val="29784870"/>
    <w:multiLevelType w:val="hybridMultilevel"/>
    <w:lvl w:ilvl="0">
      <w:lvlJc w:val="left"/>
      <w:lvlText w:val="•"/>
      <w:numFmt w:val="bullet"/>
      <w:start w:val="1"/>
    </w:lvl>
  </w:abstractNum>
  <w:abstractNum w:abstractNumId="264">
    <w:nsid w:val="4CDCED4C"/>
    <w:multiLevelType w:val="hybridMultilevel"/>
    <w:lvl w:ilvl="0">
      <w:lvlJc w:val="left"/>
      <w:lvlText w:val="%1."/>
      <w:numFmt w:val="decimal"/>
      <w:start w:val="1"/>
    </w:lvl>
    <w:lvl w:ilvl="1">
      <w:lvlJc w:val="left"/>
      <w:lvlText w:val="(%2)"/>
      <w:numFmt w:val="lowerLetter"/>
      <w:start w:val="1"/>
    </w:lvl>
  </w:abstractNum>
  <w:abstractNum w:abstractNumId="265">
    <w:nsid w:val="10A30D9C"/>
    <w:multiLevelType w:val="hybridMultilevel"/>
    <w:lvl w:ilvl="0">
      <w:lvlJc w:val="left"/>
      <w:lvlText w:val="%1"/>
      <w:numFmt w:val="decimal"/>
      <w:start w:val="1"/>
    </w:lvl>
    <w:lvl w:ilvl="1">
      <w:lvlJc w:val="left"/>
      <w:lvlText w:val="(%2)"/>
      <w:numFmt w:val="lowerLetter"/>
      <w:start w:val="4"/>
    </w:lvl>
  </w:abstractNum>
  <w:abstractNum w:abstractNumId="266">
    <w:nsid w:val="A66E486"/>
    <w:multiLevelType w:val="hybridMultilevel"/>
    <w:lvl w:ilvl="0">
      <w:lvlJc w:val="left"/>
      <w:lvlText w:val="%1."/>
      <w:numFmt w:val="decimal"/>
      <w:start w:val="4"/>
    </w:lvl>
    <w:lvl w:ilvl="1">
      <w:lvlJc w:val="left"/>
      <w:lvlText w:val="(%2)"/>
      <w:numFmt w:val="lowerLetter"/>
      <w:start w:val="1"/>
    </w:lvl>
  </w:abstractNum>
  <w:abstractNum w:abstractNumId="267">
    <w:nsid w:val="306235E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8">
    <w:nsid w:val="1187C70F"/>
    <w:multiLevelType w:val="hybridMultilevel"/>
    <w:lvl w:ilvl="0">
      <w:lvlJc w:val="left"/>
      <w:lvlText w:val="%1"/>
      <w:numFmt w:val="decimal"/>
      <w:start w:val="1"/>
    </w:lvl>
    <w:lvl w:ilvl="1">
      <w:lvlJc w:val="left"/>
      <w:lvlText w:val="(%2)"/>
      <w:numFmt w:val="lowerLetter"/>
      <w:start w:val="3"/>
    </w:lvl>
  </w:abstractNum>
  <w:abstractNum w:abstractNumId="269">
    <w:nsid w:val="5476DE98"/>
    <w:multiLevelType w:val="hybridMultilevel"/>
    <w:lvl w:ilvl="0">
      <w:lvlJc w:val="left"/>
      <w:lvlText w:val="%1."/>
      <w:numFmt w:val="decimal"/>
      <w:start w:val="6"/>
    </w:lvl>
    <w:lvl w:ilvl="1">
      <w:lvlJc w:val="left"/>
      <w:lvlText w:val="(%2)"/>
      <w:numFmt w:val="lowerLetter"/>
      <w:start w:val="1"/>
    </w:lvl>
  </w:abstractNum>
  <w:abstractNum w:abstractNumId="270">
    <w:nsid w:val="EA697F2"/>
    <w:multiLevelType w:val="hybridMultilevel"/>
    <w:lvl w:ilvl="0">
      <w:lvlJc w:val="left"/>
      <w:lvlText w:val="%1"/>
      <w:numFmt w:val="decimal"/>
      <w:start w:val="1"/>
    </w:lvl>
    <w:lvl w:ilvl="1">
      <w:lvlJc w:val="left"/>
      <w:lvlText w:val="(%2)"/>
      <w:numFmt w:val="lowerLetter"/>
      <w:start w:val="4"/>
    </w:lvl>
  </w:abstractNum>
  <w:abstractNum w:abstractNumId="271">
    <w:nsid w:val="70BA39EB"/>
    <w:multiLevelType w:val="hybridMultilevel"/>
    <w:lvl w:ilvl="0">
      <w:lvlJc w:val="left"/>
      <w:lvlText w:val="%1."/>
      <w:numFmt w:val="decimal"/>
      <w:start w:val="7"/>
    </w:lvl>
    <w:lvl w:ilvl="1">
      <w:lvlJc w:val="left"/>
      <w:lvlText w:val="%2"/>
      <w:numFmt w:val="lowerLetter"/>
      <w:start w:val="1"/>
    </w:lvl>
  </w:abstractNum>
  <w:abstractNum w:abstractNumId="272">
    <w:nsid w:val="4A8DB59C"/>
    <w:multiLevelType w:val="hybridMultilevel"/>
    <w:lvl w:ilvl="0">
      <w:lvlJc w:val="left"/>
      <w:lvlText w:val="%1."/>
      <w:numFmt w:val="decimal"/>
      <w:start w:val="11"/>
    </w:lvl>
  </w:abstractNum>
  <w:abstractNum w:abstractNumId="273">
    <w:nsid w:val="1AFD9053"/>
    <w:multiLevelType w:val="hybridMultilevel"/>
    <w:lvl w:ilvl="0">
      <w:lvlJc w:val="left"/>
      <w:lvlText w:val="%1."/>
      <w:numFmt w:val="decimal"/>
      <w:start w:val="1"/>
    </w:lvl>
  </w:abstractNum>
  <w:abstractNum w:abstractNumId="274">
    <w:nsid w:val="558BB10D"/>
    <w:multiLevelType w:val="hybridMultilevel"/>
    <w:lvl w:ilvl="0">
      <w:lvlJc w:val="left"/>
      <w:lvlText w:val="%1."/>
      <w:numFmt w:val="decimal"/>
      <w:start w:val="1"/>
    </w:lvl>
    <w:lvl w:ilvl="1">
      <w:lvlJc w:val="left"/>
      <w:lvlText w:val="(%2)"/>
      <w:numFmt w:val="lowerLetter"/>
      <w:start w:val="1"/>
    </w:lvl>
  </w:abstractNum>
  <w:abstractNum w:abstractNumId="275">
    <w:nsid w:val="43B27FA7"/>
    <w:multiLevelType w:val="hybridMultilevel"/>
    <w:lvl w:ilvl="0">
      <w:lvlJc w:val="left"/>
      <w:lvlText w:val="(%1)"/>
      <w:numFmt w:val="decimal"/>
      <w:start w:val="1"/>
    </w:lvl>
  </w:abstractNum>
  <w:abstractNum w:abstractNumId="276">
    <w:nsid w:val="27FADEFA"/>
    <w:multiLevelType w:val="hybridMultilevel"/>
    <w:lvl w:ilvl="0">
      <w:lvlJc w:val="left"/>
      <w:lvlText w:val="(%1)"/>
      <w:numFmt w:val="decimal"/>
      <w:start w:val="2"/>
    </w:lvl>
    <w:lvl w:ilvl="1">
      <w:lvlJc w:val="left"/>
      <w:lvlText w:val="(%2)"/>
      <w:numFmt w:val="lowerLetter"/>
      <w:start w:val="5"/>
    </w:lvl>
  </w:abstractNum>
  <w:abstractNum w:abstractNumId="277">
    <w:nsid w:val="78BB805A"/>
    <w:multiLevelType w:val="hybridMultilevel"/>
    <w:lvl w:ilvl="0">
      <w:lvlJc w:val="left"/>
      <w:lvlText w:val="%1."/>
      <w:numFmt w:val="decimal"/>
      <w:start w:val="2"/>
    </w:lvl>
    <w:lvl w:ilvl="1">
      <w:lvlJc w:val="left"/>
      <w:lvlText w:val="(%2)"/>
      <w:numFmt w:val="lowerLetter"/>
      <w:start w:val="1"/>
    </w:lvl>
  </w:abstractNum>
  <w:abstractNum w:abstractNumId="278">
    <w:nsid w:val="62548FD8"/>
    <w:multiLevelType w:val="hybridMultilevel"/>
    <w:lvl w:ilvl="0">
      <w:lvlJc w:val="left"/>
      <w:lvlText w:val="%1"/>
      <w:numFmt w:val="decimal"/>
      <w:start w:val="1"/>
    </w:lvl>
    <w:lvl w:ilvl="1">
      <w:lvlJc w:val="left"/>
      <w:lvlText w:val="(%2)"/>
      <w:numFmt w:val="lowerLetter"/>
      <w:start w:val="2"/>
    </w:lvl>
  </w:abstractNum>
  <w:abstractNum w:abstractNumId="279">
    <w:nsid w:val="FA085B0"/>
    <w:multiLevelType w:val="hybridMultilevel"/>
    <w:lvl w:ilvl="0">
      <w:lvlJc w:val="left"/>
      <w:lvlText w:val="%1."/>
      <w:numFmt w:val="decimal"/>
      <w:start w:val="5"/>
    </w:lvl>
    <w:lvl w:ilvl="1">
      <w:lvlJc w:val="left"/>
      <w:lvlText w:val="(%2)"/>
      <w:numFmt w:val="lowerLetter"/>
      <w:start w:val="1"/>
    </w:lvl>
  </w:abstractNum>
  <w:abstractNum w:abstractNumId="280">
    <w:nsid w:val="4E5DCB5"/>
    <w:multiLevelType w:val="hybridMultilevel"/>
    <w:lvl w:ilvl="0">
      <w:lvlJc w:val="left"/>
      <w:lvlText w:val="(%1)"/>
      <w:numFmt w:val="lowerLetter"/>
      <w:start w:val="2"/>
    </w:lvl>
    <w:lvl w:ilvl="1">
      <w:lvlJc w:val="left"/>
      <w:lvlText w:val="(%2)"/>
      <w:numFmt w:val="lowerLetter"/>
      <w:start w:val="9"/>
    </w:lvl>
  </w:abstractNum>
  <w:abstractNum w:abstractNumId="281">
    <w:nsid w:val="41E96BDB"/>
    <w:multiLevelType w:val="hybridMultilevel"/>
    <w:lvl w:ilvl="0">
      <w:lvlJc w:val="left"/>
      <w:lvlText w:val="%1"/>
      <w:numFmt w:val="lowerLetter"/>
      <w:start w:val="1"/>
    </w:lvl>
    <w:lvl w:ilvl="1">
      <w:lvlJc w:val="left"/>
      <w:lvlText w:val="(%2)"/>
      <w:numFmt w:val="lowerRoman"/>
      <w:start w:val="2"/>
    </w:lvl>
  </w:abstractNum>
  <w:abstractNum w:abstractNumId="282">
    <w:nsid w:val="331C4250"/>
    <w:multiLevelType w:val="hybridMultilevel"/>
    <w:lvl w:ilvl="0">
      <w:lvlJc w:val="left"/>
      <w:lvlText w:val="(%1)"/>
      <w:numFmt w:val="lowerLetter"/>
      <w:start w:val="6"/>
    </w:lvl>
    <w:lvl w:ilvl="1">
      <w:lvlJc w:val="left"/>
      <w:lvlText w:val="%2"/>
      <w:numFmt w:val="lowerRoman"/>
      <w:start w:val="1"/>
    </w:lvl>
  </w:abstractNum>
  <w:abstractNum w:abstractNumId="283">
    <w:nsid w:val="1B1493C2"/>
    <w:multiLevelType w:val="hybridMultilevel"/>
    <w:lvl w:ilvl="0">
      <w:lvlJc w:val="left"/>
      <w:lvlText w:val="%1"/>
      <w:numFmt w:val="decimal"/>
      <w:start w:val="1"/>
    </w:lvl>
    <w:lvl w:ilvl="1">
      <w:lvlJc w:val="left"/>
      <w:lvlText w:val="(%2)"/>
      <w:numFmt w:val="lowerLetter"/>
      <w:start w:val="8"/>
    </w:lvl>
  </w:abstractNum>
  <w:abstractNum w:abstractNumId="284">
    <w:nsid w:val="39F06DFD"/>
    <w:multiLevelType w:val="hybridMultilevel"/>
    <w:lvl w:ilvl="0">
      <w:lvlJc w:val="left"/>
      <w:lvlText w:val="%1."/>
      <w:numFmt w:val="decimal"/>
      <w:start w:val="6"/>
    </w:lvl>
    <w:lvl w:ilvl="1">
      <w:lvlJc w:val="left"/>
      <w:lvlText w:val="%2"/>
      <w:numFmt w:val="lowerLetter"/>
      <w:start w:val="1"/>
    </w:lvl>
  </w:abstractNum>
  <w:abstractNum w:abstractNumId="285">
    <w:nsid w:val="14802F5D"/>
    <w:multiLevelType w:val="hybridMultilevel"/>
    <w:lvl w:ilvl="0">
      <w:lvlJc w:val="left"/>
      <w:lvlText w:val="%1."/>
      <w:numFmt w:val="decimal"/>
      <w:start w:val="9"/>
    </w:lvl>
    <w:lvl w:ilvl="1">
      <w:lvlJc w:val="left"/>
      <w:lvlText w:val="(%2)"/>
      <w:numFmt w:val="lowerLetter"/>
      <w:start w:val="1"/>
    </w:lvl>
  </w:abstractNum>
  <w:abstractNum w:abstractNumId="286">
    <w:nsid w:val="2774A209"/>
    <w:multiLevelType w:val="hybridMultilevel"/>
    <w:lvl w:ilvl="0">
      <w:lvlJc w:val="left"/>
      <w:lvlText w:val="%1."/>
      <w:numFmt w:val="decimal"/>
      <w:start w:val="14"/>
    </w:lvl>
  </w:abstractNum>
  <w:abstractNum w:abstractNumId="287">
    <w:nsid w:val="3785655A"/>
    <w:multiLevelType w:val="hybridMultilevel"/>
    <w:lvl w:ilvl="0">
      <w:lvlJc w:val="left"/>
      <w:lvlText w:val="%1."/>
      <w:numFmt w:val="decimal"/>
      <w:start w:val="19"/>
    </w:lvl>
  </w:abstractNum>
  <w:abstractNum w:abstractNumId="288">
    <w:nsid w:val="B2172A"/>
    <w:multiLevelType w:val="hybridMultilevel"/>
    <w:lvl w:ilvl="0">
      <w:lvlJc w:val="left"/>
      <w:lvlText w:val="%1."/>
      <w:numFmt w:val="decimal"/>
      <w:start w:val="1"/>
    </w:lvl>
    <w:lvl w:ilvl="1">
      <w:lvlJc w:val="left"/>
      <w:lvlText w:val="(%2)"/>
      <w:numFmt w:val="lowerLetter"/>
      <w:start w:val="1"/>
    </w:lvl>
  </w:abstractNum>
  <w:abstractNum w:abstractNumId="289">
    <w:nsid w:val="532C34A5"/>
    <w:multiLevelType w:val="hybridMultilevel"/>
    <w:lvl w:ilvl="0">
      <w:lvlJc w:val="left"/>
      <w:lvlText w:val="%1"/>
      <w:numFmt w:val="decimal"/>
      <w:start w:val="1"/>
    </w:lvl>
    <w:lvl w:ilvl="1">
      <w:lvlJc w:val="left"/>
      <w:lvlText w:val="(%2)"/>
      <w:numFmt w:val="lowerLetter"/>
      <w:start w:val="4"/>
    </w:lvl>
  </w:abstractNum>
  <w:abstractNum w:abstractNumId="290">
    <w:nsid w:val="102809E2"/>
    <w:multiLevelType w:val="hybridMultilevel"/>
    <w:lvl w:ilvl="0">
      <w:lvlJc w:val="left"/>
      <w:lvlText w:val="%1."/>
      <w:numFmt w:val="decimal"/>
      <w:start w:val="4"/>
    </w:lvl>
    <w:lvl w:ilvl="1">
      <w:lvlJc w:val="left"/>
      <w:lvlText w:val="(%2)"/>
      <w:numFmt w:val="lowerLetter"/>
      <w:start w:val="1"/>
    </w:lvl>
  </w:abstractNum>
  <w:abstractNum w:abstractNumId="291">
    <w:nsid w:val="3B2125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2">
    <w:nsid w:val="AC68FFB"/>
    <w:multiLevelType w:val="hybridMultilevel"/>
    <w:lvl w:ilvl="0">
      <w:lvlJc w:val="left"/>
      <w:lvlText w:val="%1"/>
      <w:numFmt w:val="decimal"/>
      <w:start w:val="1"/>
    </w:lvl>
    <w:lvl w:ilvl="1">
      <w:lvlJc w:val="left"/>
      <w:lvlText w:val="(%2)"/>
      <w:numFmt w:val="lowerLetter"/>
      <w:start w:val="3"/>
    </w:lvl>
  </w:abstractNum>
  <w:abstractNum w:abstractNumId="293">
    <w:nsid w:val="63DF3FB7"/>
    <w:multiLevelType w:val="hybridMultilevel"/>
    <w:lvl w:ilvl="0">
      <w:lvlJc w:val="left"/>
      <w:lvlText w:val="%1."/>
      <w:numFmt w:val="decimal"/>
      <w:start w:val="6"/>
    </w:lvl>
    <w:lvl w:ilvl="1">
      <w:lvlJc w:val="left"/>
      <w:lvlText w:val="(%2)"/>
      <w:numFmt w:val="lowerLetter"/>
      <w:start w:val="1"/>
    </w:lvl>
  </w:abstractNum>
  <w:abstractNum w:abstractNumId="294">
    <w:nsid w:val="64996E13"/>
    <w:multiLevelType w:val="hybridMultilevel"/>
    <w:lvl w:ilvl="0">
      <w:lvlJc w:val="left"/>
      <w:lvlText w:val="%1"/>
      <w:numFmt w:val="decimal"/>
      <w:start w:val="1"/>
    </w:lvl>
    <w:lvl w:ilvl="1">
      <w:lvlJc w:val="left"/>
      <w:lvlText w:val="(%2)"/>
      <w:numFmt w:val="lowerLetter"/>
      <w:start w:val="4"/>
    </w:lvl>
  </w:abstractNum>
  <w:abstractNum w:abstractNumId="295">
    <w:nsid w:val="57A37D47"/>
    <w:multiLevelType w:val="hybridMultilevel"/>
    <w:lvl w:ilvl="0">
      <w:lvlJc w:val="left"/>
      <w:lvlText w:val="%1."/>
      <w:numFmt w:val="decimal"/>
      <w:start w:val="7"/>
    </w:lvl>
    <w:lvl w:ilvl="1">
      <w:lvlJc w:val="left"/>
      <w:lvlText w:val="%2"/>
      <w:numFmt w:val="lowerLetter"/>
      <w:start w:val="1"/>
    </w:lvl>
  </w:abstractNum>
  <w:abstractNum w:abstractNumId="296">
    <w:nsid w:val="74824D54"/>
    <w:multiLevelType w:val="hybridMultilevel"/>
    <w:lvl w:ilvl="0">
      <w:lvlJc w:val="left"/>
      <w:lvlText w:val="%1."/>
      <w:numFmt w:val="decimal"/>
      <w:start w:val="11"/>
    </w:lvl>
  </w:abstractNum>
  <w:abstractNum w:abstractNumId="297">
    <w:nsid w:val="6F00529A"/>
    <w:multiLevelType w:val="hybridMultilevel"/>
    <w:lvl w:ilvl="0">
      <w:lvlJc w:val="left"/>
      <w:lvlText w:val="%1."/>
      <w:numFmt w:val="decimal"/>
      <w:start w:val="1"/>
    </w:lvl>
  </w:abstractNum>
  <w:abstractNum w:abstractNumId="298">
    <w:nsid w:val="805B3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9">
    <w:nsid w:val="60A146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00">
    <w:nsid w:val="43773132"/>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301">
    <w:nsid w:val="16AC4B23"/>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302">
    <w:nsid w:val="76C44E4E"/>
    <w:multiLevelType w:val="hybridMultilevel"/>
    <w:lvl w:ilvl="0">
      <w:lvlJc w:val="left"/>
      <w:lvlText w:val="%1."/>
      <w:numFmt w:val="decimal"/>
      <w:start w:val="2"/>
    </w:lvl>
    <w:lvl w:ilvl="1">
      <w:lvlJc w:val="left"/>
      <w:lvlText w:val="(%2)"/>
      <w:numFmt w:val="lowerLetter"/>
      <w:start w:val="1"/>
    </w:lvl>
  </w:abstractNum>
  <w:abstractNum w:abstractNumId="303">
    <w:nsid w:val="E04E6CE"/>
    <w:multiLevelType w:val="hybridMultilevel"/>
    <w:lvl w:ilvl="0">
      <w:lvlJc w:val="left"/>
      <w:lvlText w:val="%1"/>
      <w:numFmt w:val="decimal"/>
      <w:start w:val="1"/>
    </w:lvl>
    <w:lvl w:ilvl="1">
      <w:lvlJc w:val="left"/>
      <w:lvlText w:val="(%2)"/>
      <w:numFmt w:val="lowerLetter"/>
      <w:start w:val="2"/>
    </w:lvl>
  </w:abstractNum>
  <w:abstractNum w:abstractNumId="304">
    <w:nsid w:val="31A9DB76"/>
    <w:multiLevelType w:val="hybridMultilevel"/>
    <w:lvl w:ilvl="0">
      <w:lvlJc w:val="left"/>
      <w:lvlText w:val="%1."/>
      <w:numFmt w:val="decimal"/>
      <w:start w:val="5"/>
    </w:lvl>
    <w:lvl w:ilvl="1">
      <w:lvlJc w:val="left"/>
      <w:lvlText w:val="(%2)"/>
      <w:numFmt w:val="lowerLetter"/>
      <w:start w:val="1"/>
    </w:lvl>
  </w:abstractNum>
  <w:abstractNum w:abstractNumId="305">
    <w:nsid w:val="4C4FFF5B"/>
    <w:multiLevelType w:val="hybridMultilevel"/>
    <w:lvl w:ilvl="0">
      <w:lvlJc w:val="left"/>
      <w:lvlText w:val="(%1)"/>
      <w:numFmt w:val="lowerLetter"/>
      <w:start w:val="2"/>
    </w:lvl>
    <w:lvl w:ilvl="1">
      <w:lvlJc w:val="left"/>
      <w:lvlText w:val="(%2)"/>
      <w:numFmt w:val="lowerRoman"/>
      <w:start w:val="1"/>
    </w:lvl>
  </w:abstractNum>
  <w:abstractNum w:abstractNumId="306">
    <w:nsid w:val="51B76675"/>
    <w:multiLevelType w:val="hybridMultilevel"/>
    <w:lvl w:ilvl="0">
      <w:lvlJc w:val="left"/>
      <w:lvlText w:val="%1"/>
      <w:numFmt w:val="lowerLetter"/>
      <w:start w:val="1"/>
    </w:lvl>
    <w:lvl w:ilvl="1">
      <w:lvlJc w:val="left"/>
      <w:lvlText w:val="(%2)"/>
      <w:numFmt w:val="lowerRoman"/>
      <w:start w:val="4"/>
    </w:lvl>
  </w:abstractNum>
  <w:abstractNum w:abstractNumId="307">
    <w:nsid w:val="59A4BA71"/>
    <w:multiLevelType w:val="hybridMultilevel"/>
    <w:lvl w:ilvl="0">
      <w:lvlJc w:val="left"/>
      <w:lvlText w:val="(%1)"/>
      <w:numFmt w:val="lowerLetter"/>
      <w:start w:val="6"/>
    </w:lvl>
    <w:lvl w:ilvl="1">
      <w:lvlJc w:val="left"/>
      <w:lvlText w:val="%2"/>
      <w:numFmt w:val="lowerRoman"/>
      <w:start w:val="1"/>
    </w:lvl>
  </w:abstractNum>
  <w:abstractNum w:abstractNumId="308">
    <w:nsid w:val="450B7FB6"/>
    <w:multiLevelType w:val="hybridMultilevel"/>
    <w:lvl w:ilvl="0">
      <w:lvlJc w:val="left"/>
      <w:lvlText w:val="%1"/>
      <w:numFmt w:val="decimal"/>
      <w:start w:val="1"/>
    </w:lvl>
    <w:lvl w:ilvl="1">
      <w:lvlJc w:val="left"/>
      <w:lvlText w:val="(%2)"/>
      <w:numFmt w:val="lowerLetter"/>
      <w:start w:val="8"/>
    </w:lvl>
  </w:abstractNum>
  <w:abstractNum w:abstractNumId="309">
    <w:nsid w:val="340BF64D"/>
    <w:multiLevelType w:val="hybridMultilevel"/>
    <w:lvl w:ilvl="0">
      <w:lvlJc w:val="left"/>
      <w:lvlText w:val="%1."/>
      <w:numFmt w:val="decimal"/>
      <w:start w:val="6"/>
    </w:lvl>
    <w:lvl w:ilvl="1">
      <w:lvlJc w:val="left"/>
      <w:lvlText w:val="(%2)"/>
      <w:numFmt w:val="lowerLetter"/>
      <w:start w:val="1"/>
    </w:lvl>
  </w:abstractNum>
  <w:abstractNum w:abstractNumId="310">
    <w:nsid w:val="69454021"/>
    <w:multiLevelType w:val="hybridMultilevel"/>
    <w:lvl w:ilvl="0">
      <w:lvlJc w:val="left"/>
      <w:lvlText w:val="%1"/>
      <w:numFmt w:val="decimal"/>
      <w:start w:val="1"/>
    </w:lvl>
    <w:lvl w:ilvl="1">
      <w:lvlJc w:val="left"/>
      <w:lvlText w:val="(%2)"/>
      <w:numFmt w:val="lowerLetter"/>
      <w:start w:val="2"/>
    </w:lvl>
  </w:abstractNum>
  <w:abstractNum w:abstractNumId="311">
    <w:nsid w:val="49F15C6B"/>
    <w:multiLevelType w:val="hybridMultilevel"/>
    <w:lvl w:ilvl="0">
      <w:lvlJc w:val="left"/>
      <w:lvlText w:val="%1."/>
      <w:numFmt w:val="decimal"/>
      <w:start w:val="10"/>
    </w:lvl>
    <w:lvl w:ilvl="1">
      <w:lvlJc w:val="left"/>
      <w:lvlText w:val="%2"/>
      <w:numFmt w:val="lowerLetter"/>
      <w:start w:val="1"/>
    </w:lvl>
  </w:abstractNum>
  <w:abstractNum w:abstractNumId="312">
    <w:nsid w:val="75F56228"/>
    <w:multiLevelType w:val="hybridMultilevel"/>
    <w:lvl w:ilvl="0">
      <w:lvlJc w:val="left"/>
      <w:lvlText w:val="%1."/>
      <w:numFmt w:val="decimal"/>
      <w:start w:val="16"/>
    </w:lvl>
  </w:abstractNum>
  <w:abstractNum w:abstractNumId="313">
    <w:nsid w:val="1C618271"/>
    <w:multiLevelType w:val="hybridMultilevel"/>
    <w:lvl w:ilvl="0">
      <w:lvlJc w:val="left"/>
      <w:lvlText w:val="•"/>
      <w:numFmt w:val="bullet"/>
      <w:start w:val="1"/>
    </w:lvl>
  </w:abstractNum>
  <w:abstractNum w:abstractNumId="314">
    <w:nsid w:val="6505F02E"/>
    <w:multiLevelType w:val="hybridMultilevel"/>
    <w:lvl w:ilvl="0">
      <w:lvlJc w:val="left"/>
      <w:lvlText w:val="%1."/>
      <w:numFmt w:val="decimal"/>
      <w:start w:val="1"/>
    </w:lvl>
    <w:lvl w:ilvl="1">
      <w:lvlJc w:val="left"/>
      <w:lvlText w:val="(%2)"/>
      <w:numFmt w:val="lowerLetter"/>
      <w:start w:val="1"/>
    </w:lvl>
  </w:abstractNum>
  <w:abstractNum w:abstractNumId="315">
    <w:nsid w:val="2FE5D025"/>
    <w:multiLevelType w:val="hybridMultilevel"/>
    <w:lvl w:ilvl="0">
      <w:lvlJc w:val="left"/>
      <w:lvlText w:val="%1"/>
      <w:numFmt w:val="decimal"/>
      <w:start w:val="1"/>
    </w:lvl>
    <w:lvl w:ilvl="1">
      <w:lvlJc w:val="left"/>
      <w:lvlText w:val="(%2)"/>
      <w:numFmt w:val="lowerLetter"/>
      <w:start w:val="4"/>
    </w:lvl>
  </w:abstractNum>
  <w:abstractNum w:abstractNumId="316">
    <w:nsid w:val="30E1B1CF"/>
    <w:multiLevelType w:val="hybridMultilevel"/>
    <w:lvl w:ilvl="0">
      <w:lvlJc w:val="left"/>
      <w:lvlText w:val="%1."/>
      <w:numFmt w:val="decimal"/>
      <w:start w:val="4"/>
    </w:lvl>
    <w:lvl w:ilvl="1">
      <w:lvlJc w:val="left"/>
      <w:lvlText w:val="(%2)"/>
      <w:numFmt w:val="lowerLetter"/>
      <w:start w:val="1"/>
    </w:lvl>
  </w:abstractNum>
  <w:abstractNum w:abstractNumId="317">
    <w:nsid w:val="C7A923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8">
    <w:nsid w:val="676B3580"/>
    <w:multiLevelType w:val="hybridMultilevel"/>
    <w:lvl w:ilvl="0">
      <w:lvlJc w:val="left"/>
      <w:lvlText w:val="%1"/>
      <w:numFmt w:val="decimal"/>
      <w:start w:val="1"/>
    </w:lvl>
    <w:lvl w:ilvl="1">
      <w:lvlJc w:val="left"/>
      <w:lvlText w:val="(%2)"/>
      <w:numFmt w:val="lowerLetter"/>
      <w:start w:val="3"/>
    </w:lvl>
  </w:abstractNum>
  <w:abstractNum w:abstractNumId="319">
    <w:nsid w:val="3193C8F9"/>
    <w:multiLevelType w:val="hybridMultilevel"/>
    <w:lvl w:ilvl="0">
      <w:lvlJc w:val="left"/>
      <w:lvlText w:val="%1."/>
      <w:numFmt w:val="decimal"/>
      <w:start w:val="6"/>
    </w:lvl>
    <w:lvl w:ilvl="1">
      <w:lvlJc w:val="left"/>
      <w:lvlText w:val="(%2)"/>
      <w:numFmt w:val="lowerLetter"/>
      <w:start w:val="1"/>
    </w:lvl>
  </w:abstractNum>
  <w:abstractNum w:abstractNumId="320">
    <w:nsid w:val="5FA6C6DC"/>
    <w:multiLevelType w:val="hybridMultilevel"/>
    <w:lvl w:ilvl="0">
      <w:lvlJc w:val="left"/>
      <w:lvlText w:val="%1"/>
      <w:numFmt w:val="decimal"/>
      <w:start w:val="1"/>
    </w:lvl>
    <w:lvl w:ilvl="1">
      <w:lvlJc w:val="left"/>
      <w:lvlText w:val="(%2)"/>
      <w:numFmt w:val="lowerLetter"/>
      <w:start w:val="4"/>
    </w:lvl>
  </w:abstractNum>
  <w:abstractNum w:abstractNumId="321">
    <w:nsid w:val="77933F62"/>
    <w:multiLevelType w:val="hybridMultilevel"/>
    <w:lvl w:ilvl="0">
      <w:lvlJc w:val="left"/>
      <w:lvlText w:val="%1."/>
      <w:numFmt w:val="decimal"/>
      <w:start w:val="7"/>
    </w:lvl>
    <w:lvl w:ilvl="1">
      <w:lvlJc w:val="left"/>
      <w:lvlText w:val="%2"/>
      <w:numFmt w:val="lowerLetter"/>
      <w:start w:val="1"/>
    </w:lvl>
  </w:abstractNum>
  <w:abstractNum w:abstractNumId="322">
    <w:nsid w:val="6CB4EE9C"/>
    <w:multiLevelType w:val="hybridMultilevel"/>
    <w:lvl w:ilvl="0">
      <w:lvlJc w:val="left"/>
      <w:lvlText w:val="%1."/>
      <w:numFmt w:val="decimal"/>
      <w:start w:val="12"/>
    </w:lvl>
  </w:abstractNum>
  <w:abstractNum w:abstractNumId="323">
    <w:nsid w:val="6A6D56D7"/>
    <w:multiLevelType w:val="hybridMultilevel"/>
    <w:lvl w:ilvl="0">
      <w:lvlJc w:val="left"/>
      <w:lvlText w:val="%1."/>
      <w:numFmt w:val="decimal"/>
      <w:start w:val="1"/>
    </w:lvl>
  </w:abstractNum>
  <w:abstractNum w:abstractNumId="324">
    <w:nsid w:val="5B727F1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25">
    <w:nsid w:val="514E5CB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326">
    <w:nsid w:val="4210D41E"/>
    <w:multiLevelType w:val="hybridMultilevel"/>
    <w:lvl w:ilvl="0">
      <w:lvlJc w:val="left"/>
      <w:lvlText w:val="(%1)"/>
      <w:numFmt w:val="decimal"/>
      <w:start w:val="1"/>
    </w:lvl>
  </w:abstractNum>
  <w:abstractNum w:abstractNumId="327">
    <w:nsid w:val="4FF4CC6D"/>
    <w:multiLevelType w:val="hybridMultilevel"/>
    <w:lvl w:ilvl="0">
      <w:lvlJc w:val="left"/>
      <w:lvlText w:val="(%1)"/>
      <w:numFmt w:val="decimal"/>
      <w:start w:val="2"/>
    </w:lvl>
  </w:abstractNum>
  <w:abstractNum w:abstractNumId="328">
    <w:nsid w:val="404EAF4A"/>
    <w:multiLevelType w:val="hybridMultilevel"/>
    <w:lvl w:ilvl="0">
      <w:lvlJc w:val="left"/>
      <w:lvlText w:val="%1"/>
      <w:numFmt w:val="lowerLetter"/>
      <w:start w:val="1"/>
    </w:lvl>
    <w:lvl w:ilvl="1">
      <w:lvlJc w:val="left"/>
      <w:lvlText w:val="(%2)"/>
      <w:numFmt w:val="lowerLetter"/>
      <w:start w:val="6"/>
    </w:lvl>
  </w:abstractNum>
  <w:abstractNum w:abstractNumId="329">
    <w:nsid w:val="4A16874F"/>
    <w:multiLevelType w:val="hybridMultilevel"/>
    <w:lvl w:ilvl="0">
      <w:lvlJc w:val="left"/>
      <w:lvlText w:val="(%1)"/>
      <w:numFmt w:val="lowerLetter"/>
      <w:start w:val="35"/>
    </w:lvl>
    <w:lvl w:ilvl="1">
      <w:lvlJc w:val="left"/>
      <w:lvlText w:val="%2"/>
      <w:numFmt w:val="lowerLetter"/>
      <w:start w:val="1"/>
    </w:lvl>
  </w:abstractNum>
  <w:abstractNum w:abstractNumId="330">
    <w:nsid w:val="55FEE0D1"/>
    <w:multiLevelType w:val="hybridMultilevel"/>
    <w:lvl w:ilvl="0">
      <w:lvlJc w:val="left"/>
      <w:lvlText w:val="%1."/>
      <w:numFmt w:val="decimal"/>
      <w:start w:val="2"/>
    </w:lvl>
    <w:lvl w:ilvl="1">
      <w:lvlJc w:val="left"/>
      <w:lvlText w:val="(%2)"/>
      <w:numFmt w:val="lowerLetter"/>
      <w:start w:val="1"/>
    </w:lvl>
  </w:abstractNum>
  <w:abstractNum w:abstractNumId="331">
    <w:nsid w:val="3C5E07C"/>
    <w:multiLevelType w:val="hybridMultilevel"/>
    <w:lvl w:ilvl="0">
      <w:lvlJc w:val="left"/>
      <w:lvlText w:val="%1"/>
      <w:numFmt w:val="decimal"/>
      <w:start w:val="1"/>
    </w:lvl>
    <w:lvl w:ilvl="1">
      <w:lvlJc w:val="left"/>
      <w:lvlText w:val="(%2)"/>
      <w:numFmt w:val="lowerLetter"/>
      <w:start w:val="2"/>
    </w:lvl>
  </w:abstractNum>
  <w:abstractNum w:abstractNumId="332">
    <w:nsid w:val="60C2D273"/>
    <w:multiLevelType w:val="hybridMultilevel"/>
    <w:lvl w:ilvl="0">
      <w:lvlJc w:val="left"/>
      <w:lvlText w:val="%1."/>
      <w:numFmt w:val="decimal"/>
      <w:start w:val="5"/>
    </w:lvl>
    <w:lvl w:ilvl="1">
      <w:lvlJc w:val="left"/>
      <w:lvlText w:val="(%2)"/>
      <w:numFmt w:val="lowerLetter"/>
      <w:start w:val="1"/>
    </w:lvl>
  </w:abstractNum>
  <w:abstractNum w:abstractNumId="333">
    <w:nsid w:val="4CC32F1F"/>
    <w:multiLevelType w:val="hybridMultilevel"/>
    <w:lvl w:ilvl="0">
      <w:lvlJc w:val="left"/>
      <w:lvlText w:val="(%1)"/>
      <w:numFmt w:val="lowerLetter"/>
      <w:start w:val="2"/>
    </w:lvl>
    <w:lvl w:ilvl="1">
      <w:lvlJc w:val="left"/>
      <w:lvlText w:val="(%2)"/>
      <w:numFmt w:val="lowerRoman"/>
      <w:start w:val="1"/>
    </w:lvl>
  </w:abstractNum>
  <w:abstractNum w:abstractNumId="334">
    <w:nsid w:val="11CAC74A"/>
    <w:multiLevelType w:val="hybridMultilevel"/>
    <w:lvl w:ilvl="0">
      <w:lvlJc w:val="left"/>
      <w:lvlText w:val="%1"/>
      <w:numFmt w:val="lowerLetter"/>
      <w:start w:val="1"/>
    </w:lvl>
    <w:lvl w:ilvl="1">
      <w:lvlJc w:val="left"/>
      <w:lvlText w:val="(%2)"/>
      <w:numFmt w:val="lowerRoman"/>
      <w:start w:val="4"/>
    </w:lvl>
  </w:abstractNum>
  <w:abstractNum w:abstractNumId="335">
    <w:nsid w:val="126CADE9"/>
    <w:multiLevelType w:val="hybridMultilevel"/>
    <w:lvl w:ilvl="0">
      <w:lvlJc w:val="left"/>
      <w:lvlText w:val="(%1)"/>
      <w:numFmt w:val="lowerLetter"/>
      <w:start w:val="6"/>
    </w:lvl>
    <w:lvl w:ilvl="1">
      <w:lvlJc w:val="left"/>
      <w:lvlText w:val="%2"/>
      <w:numFmt w:val="lowerRoman"/>
      <w:start w:val="1"/>
    </w:lvl>
  </w:abstractNum>
  <w:abstractNum w:abstractNumId="336">
    <w:nsid w:val="19132E7B"/>
    <w:multiLevelType w:val="hybridMultilevel"/>
    <w:lvl w:ilvl="0">
      <w:lvlJc w:val="left"/>
      <w:lvlText w:val="%1"/>
      <w:numFmt w:val="decimal"/>
      <w:start w:val="1"/>
    </w:lvl>
    <w:lvl w:ilvl="1">
      <w:lvlJc w:val="left"/>
      <w:lvlText w:val="(%2)"/>
      <w:numFmt w:val="lowerLetter"/>
      <w:start w:val="9"/>
    </w:lvl>
  </w:abstractNum>
  <w:abstractNum w:abstractNumId="337">
    <w:nsid w:val="63822DC0"/>
    <w:multiLevelType w:val="hybridMultilevel"/>
    <w:lvl w:ilvl="0">
      <w:lvlJc w:val="left"/>
      <w:lvlText w:val="%1."/>
      <w:numFmt w:val="decimal"/>
      <w:start w:val="6"/>
    </w:lvl>
    <w:lvl w:ilvl="1">
      <w:lvlJc w:val="left"/>
      <w:lvlText w:val="(%2)"/>
      <w:numFmt w:val="lowerLetter"/>
      <w:start w:val="1"/>
    </w:lvl>
  </w:abstractNum>
  <w:abstractNum w:abstractNumId="338">
    <w:nsid w:val="6C11685A"/>
    <w:multiLevelType w:val="hybridMultilevel"/>
    <w:lvl w:ilvl="0">
      <w:lvlJc w:val="left"/>
      <w:lvlText w:val="%1."/>
      <w:numFmt w:val="decimal"/>
      <w:start w:val="10"/>
    </w:lvl>
  </w:abstractNum>
  <w:abstractNum w:abstractNumId="339">
    <w:nsid w:val="5E1EAE31"/>
    <w:multiLevelType w:val="hybridMultilevel"/>
    <w:lvl w:ilvl="0">
      <w:lvlJc w:val="left"/>
      <w:lvlText w:val="%1."/>
      <w:numFmt w:val="decimal"/>
      <w:start w:val="16"/>
    </w:lvl>
  </w:abstractNum>
  <w:abstractNum w:abstractNumId="340">
    <w:nsid w:val="178E240D"/>
    <w:multiLevelType w:val="hybridMultilevel"/>
    <w:lvl w:ilvl="0">
      <w:lvlJc w:val="left"/>
      <w:lvlText w:val="•"/>
      <w:numFmt w:val="bullet"/>
      <w:start w:val="1"/>
    </w:lvl>
  </w:abstractNum>
  <w:abstractNum w:abstractNumId="341">
    <w:nsid w:val="5556A87B"/>
    <w:multiLevelType w:val="hybridMultilevel"/>
    <w:lvl w:ilvl="0">
      <w:lvlJc w:val="left"/>
      <w:lvlText w:val="%1."/>
      <w:numFmt w:val="upperLetter"/>
      <w:start w:val="1"/>
    </w:lvl>
  </w:abstractNum>
  <w:abstractNum w:abstractNumId="342">
    <w:nsid w:val="28100A9C"/>
    <w:multiLevelType w:val="hybridMultilevel"/>
    <w:lvl w:ilvl="0">
      <w:lvlJc w:val="left"/>
      <w:lvlText w:val="%1."/>
      <w:numFmt w:val="decimal"/>
      <w:start w:val="1"/>
    </w:lvl>
  </w:abstractNum>
  <w:abstractNum w:abstractNumId="343">
    <w:nsid w:val="D838636"/>
    <w:multiLevelType w:val="hybridMultilevel"/>
    <w:lvl w:ilvl="0">
      <w:lvlJc w:val="left"/>
      <w:lvlText w:val="%1."/>
      <w:numFmt w:val="decimal"/>
      <w:start w:val="3"/>
    </w:lvl>
    <w:lvl w:ilvl="1">
      <w:lvlJc w:val="left"/>
      <w:lvlText w:val="%2."/>
      <w:numFmt w:val="lowerLetter"/>
      <w:start w:val="1"/>
    </w:lvl>
  </w:abstractNum>
  <w:abstractNum w:abstractNumId="344">
    <w:nsid w:val="71B82AED"/>
    <w:multiLevelType w:val="hybridMultilevel"/>
    <w:lvl w:ilvl="0">
      <w:lvlJc w:val="left"/>
      <w:lvlText w:val="%1."/>
      <w:numFmt w:val="decimal"/>
      <w:start w:val="6"/>
    </w:lvl>
    <w:lvl w:ilvl="1">
      <w:lvlJc w:val="left"/>
      <w:lvlText w:val="%2."/>
      <w:numFmt w:val="lowerLetter"/>
      <w:start w:val="1"/>
    </w:lvl>
  </w:abstractNum>
  <w:abstractNum w:abstractNumId="345">
    <w:nsid w:val="D15FACA"/>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46">
    <w:nsid w:val="3D69565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47">
    <w:nsid w:val="2299DCB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348">
    <w:nsid w:val="19908D02"/>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49">
    <w:nsid w:val="24D48BDB"/>
    <w:multiLevelType w:val="hybridMultilevel"/>
    <w:lvl w:ilvl="0">
      <w:lvlJc w:val="left"/>
      <w:lvlText w:val="%1."/>
      <w:numFmt w:val="lowerLetter"/>
      <w:start w:val="2"/>
    </w:lvl>
  </w:abstractNum>
  <w:abstractNum w:abstractNumId="350">
    <w:nsid w:val="542DA5B5"/>
    <w:multiLevelType w:val="hybridMultilevel"/>
    <w:lvl w:ilvl="0">
      <w:lvlJc w:val="left"/>
      <w:lvlText w:val="%1."/>
      <w:numFmt w:val="lowerRoman"/>
      <w:start w:val="1"/>
    </w:lvl>
  </w:abstractNum>
  <w:abstractNum w:abstractNumId="351">
    <w:nsid w:val="793753DE"/>
    <w:multiLevelType w:val="hybridMultilevel"/>
    <w:lvl w:ilvl="0">
      <w:lvlJc w:val="left"/>
      <w:lvlText w:val="%1."/>
      <w:numFmt w:val="decimal"/>
      <w:start w:val="9"/>
    </w:lvl>
    <w:lvl w:ilvl="1">
      <w:lvlJc w:val="left"/>
      <w:lvlText w:val="%2."/>
      <w:numFmt w:val="lowerLetter"/>
      <w:start w:val="1"/>
    </w:lvl>
  </w:abstractNum>
  <w:abstractNum w:abstractNumId="352">
    <w:nsid w:val="1C67CB3D"/>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53">
    <w:nsid w:val="40E29452"/>
    <w:multiLevelType w:val="hybridMultilevel"/>
    <w:lvl w:ilvl="0">
      <w:lvlJc w:val="left"/>
      <w:lvlText w:val="%1."/>
      <w:numFmt w:val="lowerLetter"/>
      <w:start w:val="3"/>
    </w:lvl>
    <w:lvl w:ilvl="1">
      <w:lvlJc w:val="left"/>
      <w:lvlText w:val="(%2)"/>
      <w:numFmt w:val="decimal"/>
      <w:start w:val="1"/>
    </w:lvl>
  </w:abstractNum>
  <w:abstractNum w:abstractNumId="354">
    <w:nsid w:val="63A4AAB6"/>
    <w:multiLevelType w:val="hybridMultilevel"/>
    <w:lvl w:ilvl="0">
      <w:lvlJc w:val="left"/>
      <w:lvlText w:val="%1."/>
      <w:numFmt w:val="lowerLetter"/>
      <w:start w:val="6"/>
    </w:lvl>
    <w:lvl w:ilvl="1">
      <w:lvlJc w:val="left"/>
      <w:lvlText w:val="(%2)"/>
      <w:numFmt w:val="decimal"/>
      <w:start w:val="1"/>
    </w:lvl>
  </w:abstractNum>
  <w:abstractNum w:abstractNumId="355">
    <w:nsid w:val="77DA4A57"/>
    <w:multiLevelType w:val="hybridMultilevel"/>
    <w:lvl w:ilvl="0">
      <w:lvlJc w:val="left"/>
      <w:lvlText w:val="(%1)"/>
      <w:numFmt w:val="decimal"/>
      <w:start w:val="2"/>
    </w:lvl>
  </w:abstractNum>
  <w:abstractNum w:abstractNumId="356">
    <w:nsid w:val="1230F102"/>
    <w:multiLevelType w:val="hybridMultilevel"/>
    <w:lvl w:ilvl="0">
      <w:lvlJc w:val="left"/>
      <w:lvlText w:val="%1."/>
      <w:numFmt w:val="lowerLetter"/>
      <w:start w:val="8"/>
    </w:lvl>
    <w:lvl w:ilvl="1">
      <w:lvlJc w:val="left"/>
      <w:lvlText w:val="(%2)"/>
      <w:numFmt w:val="decimal"/>
      <w:start w:val="1"/>
    </w:lvl>
  </w:abstractNum>
  <w:abstractNum w:abstractNumId="357">
    <w:nsid w:val="25B57ED4"/>
    <w:multiLevelType w:val="hybridMultilevel"/>
    <w:lvl w:ilvl="0">
      <w:lvlJc w:val="left"/>
      <w:lvlText w:val="%1."/>
      <w:numFmt w:val="decimal"/>
      <w:start w:val="11"/>
    </w:lvl>
    <w:lvl w:ilvl="1">
      <w:lvlJc w:val="left"/>
      <w:lvlText w:val="%2."/>
      <w:numFmt w:val="lowerLetter"/>
      <w:start w:val="1"/>
    </w:lvl>
  </w:abstractNum>
  <w:abstractNum w:abstractNumId="358">
    <w:nsid w:val="47CF16C4"/>
    <w:multiLevelType w:val="hybridMultilevel"/>
    <w:lvl w:ilvl="0">
      <w:lvlJc w:val="left"/>
      <w:lvlText w:val="%1."/>
      <w:numFmt w:val="decimal"/>
      <w:start w:val="12"/>
    </w:lvl>
    <w:lvl w:ilvl="1">
      <w:lvlJc w:val="left"/>
      <w:lvlText w:val="%2."/>
      <w:numFmt w:val="lowerLetter"/>
      <w:start w:val="1"/>
    </w:lvl>
  </w:abstractNum>
  <w:abstractNum w:abstractNumId="359">
    <w:nsid w:val="527FA04C"/>
    <w:multiLevelType w:val="hybridMultilevel"/>
    <w:lvl w:ilvl="0">
      <w:lvlJc w:val="left"/>
      <w:lvlText w:val="%1."/>
      <w:numFmt w:val="lowerLetter"/>
      <w:start w:val="7"/>
    </w:lvl>
  </w:abstractNum>
  <w:abstractNum w:abstractNumId="360">
    <w:nsid w:val="6FCC0624"/>
    <w:multiLevelType w:val="hybridMultilevel"/>
    <w:lvl w:ilvl="0">
      <w:lvlJc w:val="left"/>
      <w:lvlText w:val="%1."/>
      <w:numFmt w:val="lowerLetter"/>
      <w:start w:val="10"/>
    </w:lvl>
  </w:abstractNum>
  <w:abstractNum w:abstractNumId="361">
    <w:nsid w:val="1DCDF795"/>
    <w:multiLevelType w:val="hybridMultilevel"/>
    <w:lvl w:ilvl="0">
      <w:lvlJc w:val="left"/>
      <w:lvlText w:val="%1."/>
      <w:numFmt w:val="upperLetter"/>
      <w:start w:val="1"/>
    </w:lvl>
  </w:abstractNum>
  <w:abstractNum w:abstractNumId="362">
    <w:nsid w:val="564580C8"/>
    <w:multiLevelType w:val="hybridMultilevel"/>
    <w:lvl w:ilvl="0">
      <w:lvlJc w:val="left"/>
      <w:lvlText w:val="%1."/>
      <w:numFmt w:val="decimal"/>
      <w:start w:val="1"/>
    </w:lvl>
  </w:abstractNum>
  <w:abstractNum w:abstractNumId="363">
    <w:nsid w:val="508ED897"/>
    <w:multiLevelType w:val="hybridMultilevel"/>
    <w:lvl w:ilvl="0">
      <w:lvlJc w:val="left"/>
      <w:lvlText w:val="%1."/>
      <w:numFmt w:val="decimal"/>
      <w:start w:val="3"/>
    </w:lvl>
    <w:lvl w:ilvl="1">
      <w:lvlJc w:val="left"/>
      <w:lvlText w:val="%2."/>
      <w:numFmt w:val="lowerLetter"/>
      <w:start w:val="1"/>
    </w:lvl>
  </w:abstractNum>
  <w:abstractNum w:abstractNumId="364">
    <w:nsid w:val="6A9126B5"/>
    <w:multiLevelType w:val="hybridMultilevel"/>
    <w:lvl w:ilvl="0">
      <w:lvlJc w:val="left"/>
      <w:lvlText w:val="%1."/>
      <w:numFmt w:val="decimal"/>
      <w:start w:val="6"/>
    </w:lvl>
    <w:lvl w:ilvl="1">
      <w:lvlJc w:val="left"/>
      <w:lvlText w:val="%2."/>
      <w:numFmt w:val="lowerLetter"/>
      <w:start w:val="1"/>
    </w:lvl>
  </w:abstractNum>
  <w:abstractNum w:abstractNumId="365">
    <w:nsid w:val="68104812"/>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66">
    <w:nsid w:val="62FB8680"/>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67">
    <w:nsid w:val="3A45530"/>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368">
    <w:nsid w:val="4B9275D2"/>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69">
    <w:nsid w:val="4F0CEEDB"/>
    <w:multiLevelType w:val="hybridMultilevel"/>
    <w:lvl w:ilvl="0">
      <w:lvlJc w:val="left"/>
      <w:lvlText w:val="%1."/>
      <w:numFmt w:val="lowerLetter"/>
      <w:start w:val="2"/>
    </w:lvl>
  </w:abstractNum>
  <w:abstractNum w:abstractNumId="370">
    <w:nsid w:val="61C30361"/>
    <w:multiLevelType w:val="hybridMultilevel"/>
    <w:lvl w:ilvl="0">
      <w:lvlJc w:val="left"/>
      <w:lvlText w:val="%1."/>
      <w:numFmt w:val="lowerRoman"/>
      <w:start w:val="1"/>
    </w:lvl>
  </w:abstractNum>
  <w:abstractNum w:abstractNumId="371">
    <w:nsid w:val="632099E0"/>
    <w:multiLevelType w:val="hybridMultilevel"/>
    <w:lvl w:ilvl="0">
      <w:lvlJc w:val="left"/>
      <w:lvlText w:val="%1."/>
      <w:numFmt w:val="decimal"/>
      <w:start w:val="9"/>
    </w:lvl>
    <w:lvl w:ilvl="1">
      <w:lvlJc w:val="left"/>
      <w:lvlText w:val="%2."/>
      <w:numFmt w:val="lowerLetter"/>
      <w:start w:val="1"/>
    </w:lvl>
  </w:abstractNum>
  <w:abstractNum w:abstractNumId="372">
    <w:nsid w:val="24639756"/>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73">
    <w:nsid w:val="9D30DFD"/>
    <w:multiLevelType w:val="hybridMultilevel"/>
    <w:lvl w:ilvl="0">
      <w:lvlJc w:val="left"/>
      <w:lvlText w:val="%1."/>
      <w:numFmt w:val="lowerLetter"/>
      <w:start w:val="3"/>
    </w:lvl>
    <w:lvl w:ilvl="1">
      <w:lvlJc w:val="left"/>
      <w:lvlText w:val="(%2)"/>
      <w:numFmt w:val="decimal"/>
      <w:start w:val="1"/>
    </w:lvl>
  </w:abstractNum>
  <w:abstractNum w:abstractNumId="374">
    <w:nsid w:val="70A42016"/>
    <w:multiLevelType w:val="hybridMultilevel"/>
    <w:lvl w:ilvl="0">
      <w:lvlJc w:val="left"/>
      <w:lvlText w:val="%1."/>
      <w:numFmt w:val="lowerLetter"/>
      <w:start w:val="6"/>
    </w:lvl>
    <w:lvl w:ilvl="1">
      <w:lvlJc w:val="left"/>
      <w:lvlText w:val="(%2)"/>
      <w:numFmt w:val="decimal"/>
      <w:start w:val="1"/>
    </w:lvl>
  </w:abstractNum>
  <w:abstractNum w:abstractNumId="375">
    <w:nsid w:val="161BC243"/>
    <w:multiLevelType w:val="hybridMultilevel"/>
    <w:lvl w:ilvl="0">
      <w:lvlJc w:val="left"/>
      <w:lvlText w:val="(%1)"/>
      <w:numFmt w:val="decimal"/>
      <w:start w:val="2"/>
    </w:lvl>
  </w:abstractNum>
  <w:abstractNum w:abstractNumId="376">
    <w:nsid w:val="16E908C8"/>
    <w:multiLevelType w:val="hybridMultilevel"/>
    <w:lvl w:ilvl="0">
      <w:lvlJc w:val="left"/>
      <w:lvlText w:val="%1."/>
      <w:numFmt w:val="lowerLetter"/>
      <w:start w:val="8"/>
    </w:lvl>
    <w:lvl w:ilvl="1">
      <w:lvlJc w:val="left"/>
      <w:lvlText w:val="(%2)"/>
      <w:numFmt w:val="decimal"/>
      <w:start w:val="1"/>
    </w:lvl>
  </w:abstractNum>
  <w:abstractNum w:abstractNumId="377">
    <w:nsid w:val="2E0D7671"/>
    <w:multiLevelType w:val="hybridMultilevel"/>
    <w:lvl w:ilvl="0">
      <w:lvlJc w:val="left"/>
      <w:lvlText w:val="%1."/>
      <w:numFmt w:val="decimal"/>
      <w:start w:val="11"/>
    </w:lvl>
    <w:lvl w:ilvl="1">
      <w:lvlJc w:val="left"/>
      <w:lvlText w:val="%2."/>
      <w:numFmt w:val="lowerLetter"/>
      <w:start w:val="1"/>
    </w:lvl>
  </w:abstractNum>
  <w:abstractNum w:abstractNumId="378">
    <w:nsid w:val="38B59EFF"/>
    <w:multiLevelType w:val="hybridMultilevel"/>
    <w:lvl w:ilvl="0">
      <w:lvlJc w:val="left"/>
      <w:lvlText w:val="%1."/>
      <w:numFmt w:val="decimal"/>
      <w:start w:val="12"/>
    </w:lvl>
    <w:lvl w:ilvl="1">
      <w:lvlJc w:val="left"/>
      <w:lvlText w:val="%2."/>
      <w:numFmt w:val="lowerLetter"/>
      <w:start w:val="1"/>
    </w:lvl>
  </w:abstractNum>
  <w:abstractNum w:abstractNumId="379">
    <w:nsid w:val="307995CA"/>
    <w:multiLevelType w:val="hybridMultilevel"/>
    <w:lvl w:ilvl="0">
      <w:lvlJc w:val="left"/>
      <w:lvlText w:val="%1."/>
      <w:numFmt w:val="lowerLetter"/>
      <w:start w:val="7"/>
    </w:lvl>
  </w:abstractNum>
  <w:abstractNum w:abstractNumId="380">
    <w:nsid w:val="52E2024D"/>
    <w:multiLevelType w:val="hybridMultilevel"/>
    <w:lvl w:ilvl="0">
      <w:lvlJc w:val="left"/>
      <w:lvlText w:val="%1."/>
      <w:numFmt w:val="lowerLetter"/>
      <w:start w:val="10"/>
    </w:lvl>
  </w:abstractNum>
  <w:abstractNum w:abstractNumId="381">
    <w:nsid w:val="CE344B5"/>
    <w:multiLevelType w:val="hybridMultilevel"/>
    <w:lvl w:ilvl="0">
      <w:lvlJc w:val="left"/>
      <w:lvlText w:val="%1."/>
      <w:numFmt w:val="decimal"/>
      <w:start w:val="1"/>
    </w:lvl>
  </w:abstractNum>
  <w:abstractNum w:abstractNumId="382">
    <w:nsid w:val="29B0E9A8"/>
    <w:multiLevelType w:val="hybridMultilevel"/>
    <w:lvl w:ilvl="0">
      <w:lvlJc w:val="left"/>
      <w:lvlText w:val="%1."/>
      <w:numFmt w:val="decimal"/>
      <w:start w:val="3"/>
    </w:lvl>
  </w:abstractNum>
  <w:abstractNum w:abstractNumId="383">
    <w:nsid w:val="6F49CD8A"/>
    <w:multiLevelType w:val="hybridMultilevel"/>
    <w:lvl w:ilvl="0">
      <w:lvlJc w:val="left"/>
      <w:lvlText w:val="%1."/>
      <w:numFmt w:val="decimal"/>
      <w:start w:val="1"/>
    </w:lvl>
    <w:lvl w:ilvl="1">
      <w:lvlJc w:val="left"/>
      <w:lvlText w:val="(%2)"/>
      <w:numFmt w:val="decimal"/>
      <w:start w:val="2"/>
    </w:lvl>
  </w:abstractNum>
  <w:abstractNum w:abstractNumId="384">
    <w:nsid w:val="4DC5D907"/>
    <w:multiLevelType w:val="hybridMultilevel"/>
    <w:lvl w:ilvl="0">
      <w:lvlJc w:val="left"/>
      <w:lvlText w:val="%1"/>
      <w:numFmt w:val="decimal"/>
      <w:start w:val="1"/>
    </w:lvl>
    <w:lvl w:ilvl="1">
      <w:lvlJc w:val="left"/>
      <w:lvlText w:val="(%2)"/>
      <w:numFmt w:val="decimal"/>
      <w:start w:val="5"/>
    </w:lvl>
  </w:abstractNum>
  <w:abstractNum w:abstractNumId="385">
    <w:nsid w:val="D55945E"/>
    <w:multiLevelType w:val="hybridMultilevel"/>
    <w:lvl w:ilvl="0">
      <w:lvlJc w:val="left"/>
      <w:lvlText w:val="%1."/>
      <w:numFmt w:val="decimal"/>
      <w:start w:val="2"/>
    </w:lvl>
    <w:lvl w:ilvl="1">
      <w:lvlJc w:val="left"/>
      <w:lvlText w:val="%2"/>
      <w:numFmt w:val="decimal"/>
      <w:start w:val="1"/>
    </w:lvl>
  </w:abstractNum>
  <w:abstractNum w:abstractNumId="386">
    <w:nsid w:val="672417E1"/>
    <w:multiLevelType w:val="hybridMultilevel"/>
    <w:lvl w:ilvl="0">
      <w:lvlJc w:val="left"/>
      <w:lvlText w:val="%1."/>
      <w:numFmt w:val="decimal"/>
      <w:start w:val="5"/>
    </w:lvl>
  </w:abstractNum>
  <w:abstractNum w:abstractNumId="387">
    <w:nsid w:val="5FF6CA09"/>
    <w:multiLevelType w:val="hybridMultilevel"/>
    <w:lvl w:ilvl="0">
      <w:lvlJc w:val="left"/>
      <w:lvlText w:val="%1."/>
      <w:numFmt w:val="decimal"/>
      <w:start w:val="1"/>
    </w:lvl>
  </w:abstractNum>
  <w:abstractNum w:abstractNumId="388">
    <w:nsid w:val="330B1333"/>
    <w:multiLevelType w:val="hybridMultilevel"/>
    <w:lvl w:ilvl="0">
      <w:lvlJc w:val="left"/>
      <w:lvlText w:val="%1."/>
      <w:numFmt w:val="decimal"/>
      <w:start w:val="4"/>
    </w:lvl>
  </w:abstractNum>
  <w:abstractNum w:abstractNumId="389">
    <w:nsid w:val="2EF32EA6"/>
    <w:multiLevelType w:val="hybridMultilevel"/>
    <w:lvl w:ilvl="0">
      <w:lvlJc w:val="left"/>
      <w:lvlText w:val="%1."/>
      <w:numFmt w:val="decimal"/>
      <w:start w:val="5"/>
    </w:lvl>
  </w:abstractNum>
  <w:abstractNum w:abstractNumId="390">
    <w:nsid w:val="32766A55"/>
    <w:multiLevelType w:val="hybridMultilevel"/>
    <w:lvl w:ilvl="0">
      <w:lvlJc w:val="left"/>
      <w:lvlText w:val="%1."/>
      <w:numFmt w:val="decimal"/>
      <w:start w:val="2"/>
    </w:lvl>
    <w:lvl w:ilvl="1">
      <w:lvlJc w:val="left"/>
      <w:lvlText w:val="%2."/>
      <w:numFmt w:val="lowerLetter"/>
      <w:start w:val="1"/>
    </w:lvl>
  </w:abstractNum>
  <w:abstractNum w:abstractNumId="391">
    <w:nsid w:val="22D71957"/>
    <w:multiLevelType w:val="hybridMultilevel"/>
    <w:lvl w:ilvl="0">
      <w:lvlJc w:val="left"/>
      <w:lvlText w:val="%1."/>
      <w:numFmt w:val="decimal"/>
      <w:start w:val="3"/>
    </w:lvl>
    <w:lvl w:ilvl="1">
      <w:lvlJc w:val="left"/>
      <w:lvlText w:val="%2."/>
      <w:numFmt w:val="lowerLetter"/>
      <w:start w:val="1"/>
    </w:lvl>
  </w:abstractNum>
  <w:abstractNum w:abstractNumId="392">
    <w:nsid w:val="4CC1263B"/>
    <w:multiLevelType w:val="hybridMultilevel"/>
    <w:lvl w:ilvl="0">
      <w:lvlJc w:val="left"/>
      <w:lvlText w:val="%1."/>
      <w:numFmt w:val="decimal"/>
      <w:start w:val="1"/>
    </w:lvl>
    <w:lvl w:ilvl="1">
      <w:lvlJc w:val="left"/>
      <w:lvlText w:val="(%2)"/>
      <w:numFmt w:val="decimal"/>
      <w:start w:val="2"/>
    </w:lvl>
  </w:abstractNum>
  <w:abstractNum w:abstractNumId="393">
    <w:nsid w:val="8BBEB1D"/>
    <w:multiLevelType w:val="hybridMultilevel"/>
    <w:lvl w:ilvl="0">
      <w:lvlJc w:val="left"/>
      <w:lvlText w:val="%1"/>
      <w:numFmt w:val="decimal"/>
      <w:start w:val="1"/>
    </w:lvl>
    <w:lvl w:ilvl="1">
      <w:lvlJc w:val="left"/>
      <w:lvlText w:val="(%2)"/>
      <w:numFmt w:val="decimal"/>
      <w:start w:val="3"/>
    </w:lvl>
  </w:abstractNum>
  <w:abstractNum w:abstractNumId="394">
    <w:nsid w:val="7365F1EE"/>
    <w:multiLevelType w:val="hybridMultilevel"/>
    <w:lvl w:ilvl="0">
      <w:lvlJc w:val="left"/>
      <w:lvlText w:val="%1."/>
      <w:numFmt w:val="decimal"/>
      <w:start w:val="3"/>
    </w:lvl>
    <w:lvl w:ilvl="1">
      <w:lvlJc w:val="left"/>
      <w:lvlText w:val="(%2)"/>
      <w:numFmt w:val="decimal"/>
      <w:start w:val="1"/>
    </w:lvl>
  </w:abstractNum>
  <w:abstractNum w:abstractNumId="395">
    <w:nsid w:val="37524CF0"/>
    <w:multiLevelType w:val="hybridMultilevel"/>
    <w:lvl w:ilvl="0">
      <w:lvlJc w:val="left"/>
      <w:lvlText w:val="%1"/>
      <w:numFmt w:val="decimal"/>
      <w:start w:val="1"/>
    </w:lvl>
    <w:lvl w:ilvl="1">
      <w:lvlJc w:val="left"/>
      <w:lvlText w:val="(%2)"/>
      <w:numFmt w:val="decimal"/>
      <w:start w:val="3"/>
    </w:lvl>
  </w:abstractNum>
  <w:abstractNum w:abstractNumId="396">
    <w:nsid w:val="70CC332F"/>
    <w:multiLevelType w:val="hybridMultilevel"/>
    <w:lvl w:ilvl="0">
      <w:lvlJc w:val="left"/>
      <w:lvlText w:val="%1."/>
      <w:numFmt w:val="decimal"/>
      <w:start w:val="6"/>
    </w:lvl>
    <w:lvl w:ilvl="1">
      <w:lvlJc w:val="left"/>
      <w:lvlText w:val="(%2)"/>
      <w:numFmt w:val="decimal"/>
      <w:start w:val="3"/>
    </w:lvl>
  </w:abstractNum>
  <w:abstractNum w:abstractNumId="397">
    <w:nsid w:val="5661786E"/>
    <w:multiLevelType w:val="hybridMultilevel"/>
    <w:lvl w:ilvl="0">
      <w:lvlJc w:val="left"/>
      <w:lvlText w:val="%1."/>
      <w:numFmt w:val="decimal"/>
      <w:start w:val="1"/>
    </w:lvl>
  </w:abstractNum>
  <w:abstractNum w:abstractNumId="398">
    <w:nsid w:val="3AF6A220"/>
    <w:multiLevelType w:val="hybridMultilevel"/>
    <w:lvl w:ilvl="0">
      <w:lvlJc w:val="left"/>
      <w:lvlText w:val="%1."/>
      <w:numFmt w:val="decimal"/>
      <w:start w:val="2"/>
    </w:lvl>
  </w:abstractNum>
  <w:abstractNum w:abstractNumId="399">
    <w:nsid w:val="3C5EA902"/>
    <w:multiLevelType w:val="hybridMultilevel"/>
    <w:lvl w:ilvl="0">
      <w:lvlJc w:val="left"/>
      <w:lvlText w:val="%1."/>
      <w:numFmt w:val="decimal"/>
      <w:start w:val="1"/>
    </w:lvl>
    <w:lvl w:ilvl="1">
      <w:lvlJc w:val="left"/>
      <w:lvlText w:val="(%2)"/>
      <w:numFmt w:val="decimal"/>
      <w:start w:val="1"/>
    </w:lvl>
  </w:abstractNum>
  <w:abstractNum w:abstractNumId="400">
    <w:nsid w:val="256E6749"/>
    <w:multiLevelType w:val="hybridMultilevel"/>
    <w:lvl w:ilvl="0">
      <w:lvlJc w:val="left"/>
      <w:lvlText w:val="%1"/>
      <w:numFmt w:val="decimal"/>
      <w:start w:val="1"/>
    </w:lvl>
    <w:lvl w:ilvl="1">
      <w:lvlJc w:val="left"/>
      <w:lvlText w:val="(%2)"/>
      <w:numFmt w:val="decimal"/>
      <w:start w:val="4"/>
    </w:lvl>
  </w:abstractNum>
  <w:abstractNum w:abstractNumId="401">
    <w:nsid w:val="1CB9A581"/>
    <w:multiLevelType w:val="hybridMultilevel"/>
    <w:lvl w:ilvl="0">
      <w:lvlJc w:val="left"/>
      <w:lvlText w:val="%1"/>
      <w:numFmt w:val="decimal"/>
      <w:start w:val="1"/>
    </w:lvl>
    <w:lvl w:ilvl="1">
      <w:lvlJc w:val="left"/>
      <w:lvlText w:val="(%2)"/>
      <w:numFmt w:val="decimal"/>
      <w:start w:val="5"/>
    </w:lvl>
  </w:abstractNum>
  <w:abstractNum w:abstractNumId="402">
    <w:nsid w:val="1F7F42E2"/>
    <w:multiLevelType w:val="hybridMultilevel"/>
    <w:lvl w:ilvl="0">
      <w:lvlJc w:val="left"/>
      <w:lvlText w:val="%1."/>
      <w:numFmt w:val="decimal"/>
      <w:start w:val="5"/>
    </w:lvl>
    <w:lvl w:ilvl="1">
      <w:lvlJc w:val="left"/>
      <w:lvlText w:val="(%2)"/>
      <w:numFmt w:val="decimal"/>
      <w:start w:val="1"/>
    </w:lvl>
  </w:abstractNum>
  <w:abstractNum w:abstractNumId="403">
    <w:nsid w:val="49D1FEA0"/>
    <w:multiLevelType w:val="hybridMultilevel"/>
    <w:lvl w:ilvl="0">
      <w:lvlJc w:val="left"/>
      <w:lvlText w:val="%1"/>
      <w:numFmt w:val="decimal"/>
      <w:start w:val="1"/>
    </w:lvl>
    <w:lvl w:ilvl="1">
      <w:lvlJc w:val="left"/>
      <w:lvlText w:val="(%2)"/>
      <w:numFmt w:val="decimal"/>
      <w:start w:val="3"/>
    </w:lvl>
  </w:abstractNum>
  <w:abstractNum w:abstractNumId="404">
    <w:nsid w:val="268CB37F"/>
    <w:multiLevelType w:val="hybridMultilevel"/>
    <w:lvl w:ilvl="0">
      <w:lvlJc w:val="left"/>
      <w:lvlText w:val="%1."/>
      <w:numFmt w:val="decimal"/>
      <w:start w:val="7"/>
    </w:lvl>
    <w:lvl w:ilvl="1">
      <w:lvlJc w:val="left"/>
      <w:lvlText w:val="(%2)"/>
      <w:numFmt w:val="decimal"/>
      <w:start w:val="1"/>
    </w:lvl>
  </w:abstractNum>
  <w:abstractNum w:abstractNumId="405">
    <w:nsid w:val="102362F8"/>
    <w:multiLevelType w:val="hybridMultilevel"/>
    <w:lvl w:ilvl="0">
      <w:lvlJc w:val="left"/>
      <w:lvlText w:val="%1."/>
      <w:numFmt w:val="decimal"/>
      <w:start w:val="10"/>
    </w:lvl>
  </w:abstractNum>
  <w:abstractNum w:abstractNumId="406">
    <w:nsid w:val="5FEDC0E3"/>
    <w:multiLevelType w:val="hybridMultilevel"/>
    <w:lvl w:ilvl="0">
      <w:lvlJc w:val="left"/>
      <w:lvlText w:val="%1."/>
      <w:numFmt w:val="decimal"/>
      <w:start w:val="1"/>
    </w:lvl>
  </w:abstractNum>
  <w:abstractNum w:abstractNumId="407">
    <w:nsid w:val="3D75BC47"/>
    <w:multiLevelType w:val="hybridMultilevel"/>
    <w:lvl w:ilvl="0">
      <w:lvlJc w:val="left"/>
      <w:lvlText w:val="%1."/>
      <w:numFmt w:val="decimal"/>
      <w:start w:val="5"/>
    </w:lvl>
  </w:abstractNum>
  <w:abstractNum w:abstractNumId="408">
    <w:nsid w:val="3E30D969"/>
    <w:multiLevelType w:val="hybridMultilevel"/>
    <w:lvl w:ilvl="0">
      <w:lvlJc w:val="left"/>
      <w:lvlText w:val="%1."/>
      <w:numFmt w:val="decimal"/>
      <w:start w:val="1"/>
    </w:lvl>
  </w:abstractNum>
  <w:abstractNum w:abstractNumId="409">
    <w:nsid w:val="18A35FE3"/>
    <w:multiLevelType w:val="hybridMultilevel"/>
    <w:lvl w:ilvl="0">
      <w:lvlJc w:val="left"/>
      <w:lvlText w:val="%1."/>
      <w:numFmt w:val="decimal"/>
      <w:start w:val="7"/>
    </w:lvl>
  </w:abstractNum>
  <w:abstractNum w:abstractNumId="410">
    <w:nsid w:val="6DEF5211"/>
    <w:multiLevelType w:val="hybridMultilevel"/>
    <w:lvl w:ilvl="0">
      <w:lvlJc w:val="left"/>
      <w:lvlText w:val="%1."/>
      <w:numFmt w:val="decimal"/>
      <w:start w:val="10"/>
    </w:lvl>
  </w:abstractNum>
  <w:abstractNum w:abstractNumId="411">
    <w:nsid w:val="1112DBB6"/>
    <w:multiLevelType w:val="hybridMultilevel"/>
    <w:lvl w:ilvl="0">
      <w:lvlJc w:val="left"/>
      <w:lvlText w:val="(%1)"/>
      <w:numFmt w:val="lowerLetter"/>
      <w:start w:val="1"/>
    </w:lvl>
  </w:abstractNum>
  <w:abstractNum w:abstractNumId="412">
    <w:nsid w:val="2586A498"/>
    <w:multiLevelType w:val="hybridMultilevel"/>
    <w:lvl w:ilvl="0">
      <w:lvlJc w:val="left"/>
      <w:lvlText w:val="%1"/>
      <w:numFmt w:val="lowerLetter"/>
      <w:start w:val="1"/>
    </w:lvl>
    <w:lvl w:ilvl="1">
      <w:lvlJc w:val="left"/>
      <w:lvlText w:val="(%2)"/>
      <w:numFmt w:val="lowerLetter"/>
      <w:start w:val="1"/>
    </w:lvl>
  </w:abstractNum>
  <w:abstractNum w:abstractNumId="413">
    <w:nsid w:val="17A03BB9"/>
    <w:multiLevelType w:val="hybridMultilevel"/>
    <w:lvl w:ilvl="0">
      <w:lvlJc w:val="left"/>
      <w:lvlText w:val="(%1)"/>
      <w:numFmt w:val="lowerLetter"/>
      <w:start w:val="9"/>
    </w:lvl>
    <w:lvl w:ilvl="1">
      <w:lvlJc w:val="left"/>
      <w:lvlText w:val="%2"/>
      <w:numFmt w:val="lowerLetter"/>
      <w:start w:val="1"/>
    </w:lvl>
  </w:abstractNum>
  <w:abstractNum w:abstractNumId="414">
    <w:nsid w:val="5CA941"/>
    <w:multiLevelType w:val="hybridMultilevel"/>
    <w:lvl w:ilvl="0">
      <w:lvlJc w:val="left"/>
      <w:lvlText w:val="(%1)"/>
      <w:numFmt w:val="lowerLetter"/>
      <w:start w:val="2"/>
    </w:lvl>
  </w:abstractNum>
  <w:abstractNum w:abstractNumId="415">
    <w:nsid w:val="734C7D9F"/>
    <w:multiLevelType w:val="hybridMultilevel"/>
    <w:lvl w:ilvl="0">
      <w:lvlJc w:val="left"/>
      <w:lvlText w:val="(%1)"/>
      <w:numFmt w:val="lowerLetter"/>
      <w:start w:val="1"/>
    </w:lvl>
  </w:abstractNum>
  <w:abstractNum w:abstractNumId="416">
    <w:nsid w:val="24F5D018"/>
    <w:multiLevelType w:val="hybridMultilevel"/>
    <w:lvl w:ilvl="0">
      <w:lvlJc w:val="left"/>
      <w:lvlText w:val="(%1)"/>
      <w:numFmt w:val="lowerLetter"/>
      <w:start w:val="1"/>
    </w:lvl>
  </w:abstractNum>
  <w:abstractNum w:abstractNumId="417">
    <w:nsid w:val="6780C122"/>
    <w:multiLevelType w:val="hybridMultilevel"/>
    <w:lvl w:ilvl="0">
      <w:lvlJc w:val="left"/>
      <w:lvlText w:val="(%1)"/>
      <w:numFmt w:val="lowerLetter"/>
      <w:start w:val="2"/>
    </w:lvl>
  </w:abstractNum>
  <w:abstractNum w:abstractNumId="418">
    <w:nsid w:val="534347A8"/>
    <w:multiLevelType w:val="hybridMultilevel"/>
    <w:lvl w:ilvl="0">
      <w:lvlJc w:val="left"/>
      <w:lvlText w:val="(%1)"/>
      <w:numFmt w:val="lowerRoman"/>
      <w:start w:val="3"/>
    </w:lvl>
  </w:abstractNum>
  <w:abstractNum w:abstractNumId="419">
    <w:nsid w:val="5800E34B"/>
    <w:multiLevelType w:val="hybridMultilevel"/>
    <w:lvl w:ilvl="0">
      <w:lvlJc w:val="left"/>
      <w:lvlText w:val="(%1)"/>
      <w:numFmt w:val="lowerLetter"/>
      <w:start w:val="1"/>
    </w:lvl>
  </w:abstractNum>
  <w:abstractNum w:abstractNumId="420">
    <w:nsid w:val="1673EFC8"/>
    <w:multiLevelType w:val="hybridMultilevel"/>
    <w:lvl w:ilvl="0">
      <w:lvlJc w:val="left"/>
      <w:lvlText w:val="(%1)"/>
      <w:numFmt w:val="lowerLetter"/>
      <w:start w:val="1"/>
    </w:lvl>
  </w:abstractNum>
  <w:abstractNum w:abstractNumId="421">
    <w:nsid w:val="5B9B1FD"/>
    <w:multiLevelType w:val="hybridMultilevel"/>
    <w:lvl w:ilvl="0">
      <w:lvlJc w:val="left"/>
      <w:lvlText w:val="%1"/>
      <w:numFmt w:val="lowerLetter"/>
      <w:start w:val="1"/>
    </w:lvl>
    <w:lvl w:ilvl="1">
      <w:lvlJc w:val="left"/>
      <w:lvlText w:val="(%2)"/>
      <w:numFmt w:val="lowerLetter"/>
      <w:start w:val="1"/>
    </w:lvl>
  </w:abstractNum>
  <w:abstractNum w:abstractNumId="422">
    <w:nsid w:val="7AD7FCA2"/>
    <w:multiLevelType w:val="hybridMultilevel"/>
    <w:lvl w:ilvl="0">
      <w:lvlJc w:val="left"/>
      <w:lvlText w:val="(%1)"/>
      <w:numFmt w:val="lowerLetter"/>
      <w:start w:val="1"/>
    </w:lvl>
    <w:lvl w:ilvl="1">
      <w:lvlJc w:val="left"/>
      <w:lvlText w:val="%2"/>
      <w:numFmt w:val="lowerLetter"/>
      <w:start w:val="1"/>
    </w:lvl>
  </w:abstractNum>
  <w:abstractNum w:abstractNumId="423">
    <w:nsid w:val="63351604"/>
    <w:multiLevelType w:val="hybridMultilevel"/>
    <w:lvl w:ilvl="0">
      <w:lvlJc w:val="left"/>
      <w:lvlText w:val="(%1)"/>
      <w:numFmt w:val="lowerLetter"/>
      <w:start w:val="2"/>
    </w:lvl>
  </w:abstractNum>
  <w:abstractNum w:abstractNumId="424">
    <w:nsid w:val="E759D1A"/>
    <w:multiLevelType w:val="hybridMultilevel"/>
    <w:lvl w:ilvl="0">
      <w:lvlJc w:val="left"/>
      <w:lvlText w:val="(%1)"/>
      <w:numFmt w:val="lowerLetter"/>
      <w:start w:val="1"/>
    </w:lvl>
  </w:abstractNum>
  <w:abstractNum w:abstractNumId="425">
    <w:nsid w:val="6E3DEE90"/>
    <w:multiLevelType w:val="hybridMultilevel"/>
    <w:lvl w:ilvl="0">
      <w:lvlJc w:val="left"/>
      <w:lvlText w:val="(%1)"/>
      <w:numFmt w:val="lowerLetter"/>
      <w:start w:val="3"/>
    </w:lvl>
  </w:abstractNum>
  <w:abstractNum w:abstractNumId="426">
    <w:nsid w:val="1A8762F4"/>
    <w:multiLevelType w:val="hybridMultilevel"/>
    <w:lvl w:ilvl="0">
      <w:lvlJc w:val="left"/>
      <w:lvlText w:val="(%1)"/>
      <w:numFmt w:val="lowerLetter"/>
      <w:start w:val="1"/>
    </w:lvl>
  </w:abstractNum>
  <w:abstractNum w:abstractNumId="427">
    <w:nsid w:val="7F41D049"/>
    <w:multiLevelType w:val="hybridMultilevel"/>
    <w:lvl w:ilvl="0">
      <w:lvlJc w:val="left"/>
      <w:lvlText w:val="(%1)"/>
      <w:numFmt w:val="lowerLetter"/>
      <w:start w:val="2"/>
    </w:lvl>
  </w:abstractNum>
  <w:abstractNum w:abstractNumId="428">
    <w:nsid w:val="449F66FE"/>
    <w:multiLevelType w:val="hybridMultilevel"/>
    <w:lvl w:ilvl="0">
      <w:lvlJc w:val="left"/>
      <w:lvlText w:val="(%1)"/>
      <w:numFmt w:val="lowerLetter"/>
      <w:start w:val="1"/>
    </w:lvl>
  </w:abstractNum>
  <w:abstractNum w:abstractNumId="429">
    <w:nsid w:val="557E0515"/>
    <w:multiLevelType w:val="hybridMultilevel"/>
    <w:lvl w:ilvl="0">
      <w:lvlJc w:val="left"/>
      <w:lvlText w:val="(%1)"/>
      <w:numFmt w:val="lowerLetter"/>
      <w:start w:val="1"/>
    </w:lvl>
  </w:abstractNum>
  <w:abstractNum w:abstractNumId="430">
    <w:nsid w:val="3BA0794B"/>
    <w:multiLevelType w:val="hybridMultilevel"/>
    <w:lvl w:ilvl="0">
      <w:lvlJc w:val="left"/>
      <w:lvlText w:val="(%1)"/>
      <w:numFmt w:val="lowerLetter"/>
      <w:start w:val="2"/>
    </w:lvl>
  </w:abstractNum>
  <w:abstractNum w:abstractNumId="431">
    <w:nsid w:val="6A0DCE48"/>
    <w:multiLevelType w:val="hybridMultilevel"/>
    <w:lvl w:ilvl="0">
      <w:lvlJc w:val="left"/>
      <w:lvlText w:val="(%1)"/>
      <w:numFmt w:val="lowerLetter"/>
      <w:start w:val="1"/>
    </w:lvl>
  </w:abstractNum>
  <w:abstractNum w:abstractNumId="432">
    <w:nsid w:val="7237AA96"/>
    <w:multiLevelType w:val="hybridMultilevel"/>
    <w:lvl w:ilvl="0">
      <w:lvlJc w:val="left"/>
      <w:lvlText w:val="(%1)"/>
      <w:numFmt w:val="lowerLetter"/>
      <w:start w:val="2"/>
    </w:lvl>
  </w:abstractNum>
  <w:abstractNum w:abstractNumId="433">
    <w:nsid w:val="5B1FBC2D"/>
    <w:multiLevelType w:val="hybridMultilevel"/>
    <w:lvl w:ilvl="0">
      <w:lvlJc w:val="left"/>
      <w:lvlText w:val="•"/>
      <w:numFmt w:val="bullet"/>
      <w:start w:val="1"/>
    </w:lvl>
  </w:abstractNum>
  <w:abstractNum w:abstractNumId="434">
    <w:nsid w:val="33DFCCE8"/>
    <w:multiLevelType w:val="hybridMultilevel"/>
    <w:lvl w:ilvl="0">
      <w:lvlJc w:val="left"/>
      <w:lvlText w:val="•"/>
      <w:numFmt w:val="bullet"/>
      <w:start w:val="1"/>
    </w:lvl>
  </w:abstractNum>
  <w:abstractNum w:abstractNumId="435">
    <w:nsid w:val="18C45E15"/>
    <w:multiLevelType w:val="hybridMultilevel"/>
    <w:lvl w:ilvl="0">
      <w:lvlJc w:val="left"/>
      <w:lvlText w:val="•"/>
      <w:numFmt w:val="bullet"/>
      <w:start w:val="1"/>
    </w:lvl>
  </w:abstractNum>
  <w:abstractNum w:abstractNumId="436">
    <w:nsid w:val="6B431F25"/>
    <w:multiLevelType w:val="hybridMultilevel"/>
    <w:lvl w:ilvl="0">
      <w:lvlJc w:val="left"/>
      <w:lvlText w:val="•"/>
      <w:numFmt w:val="bullet"/>
      <w:start w:val="1"/>
    </w:lvl>
    <w:lvl w:ilvl="1">
      <w:lvlJc w:val="left"/>
      <w:lvlText w:val="•"/>
      <w:numFmt w:val="bullet"/>
      <w:start w:val="1"/>
    </w:lvl>
  </w:abstractNum>
  <w:abstractNum w:abstractNumId="437">
    <w:nsid w:val="13CD8DCB"/>
    <w:multiLevelType w:val="hybridMultilevel"/>
    <w:lvl w:ilvl="0">
      <w:lvlJc w:val="left"/>
      <w:lvlText w:val="•"/>
      <w:numFmt w:val="bullet"/>
      <w:start w:val="1"/>
    </w:lvl>
  </w:abstractNum>
  <w:abstractNum w:abstractNumId="438">
    <w:nsid w:val="563A1A5C"/>
    <w:multiLevelType w:val="hybridMultilevel"/>
    <w:lvl w:ilvl="0">
      <w:lvlJc w:val="left"/>
      <w:lvlText w:val="(%1)"/>
      <w:numFmt w:val="lowerLetter"/>
      <w:start w:val="1"/>
    </w:lvl>
  </w:abstractNum>
  <w:abstractNum w:abstractNumId="439">
    <w:nsid w:val="2973F88F"/>
    <w:multiLevelType w:val="hybridMultilevel"/>
    <w:lvl w:ilvl="0">
      <w:lvlJc w:val="left"/>
      <w:lvlText w:val="(%1)"/>
      <w:numFmt w:val="lowerRoman"/>
      <w:start w:val="3"/>
    </w:lvl>
  </w:abstractNum>
  <w:abstractNum w:abstractNumId="440">
    <w:nsid w:val="2C70EDAE"/>
    <w:multiLevelType w:val="hybridMultilevel"/>
    <w:lvl w:ilvl="0">
      <w:lvlJc w:val="left"/>
      <w:lvlText w:val="%1"/>
      <w:numFmt w:val="lowerLetter"/>
      <w:start w:val="1"/>
    </w:lvl>
    <w:lvl w:ilvl="1">
      <w:lvlJc w:val="left"/>
      <w:lvlText w:val="(%2)"/>
      <w:numFmt w:val="lowerLetter"/>
      <w:start w:val="1"/>
    </w:lvl>
  </w:abstractNum>
  <w:abstractNum w:abstractNumId="441">
    <w:nsid w:val="44296C6D"/>
    <w:multiLevelType w:val="hybridMultilevel"/>
    <w:lvl w:ilvl="0">
      <w:lvlJc w:val="left"/>
      <w:lvlText w:val="(%1)"/>
      <w:numFmt w:val="lowerLetter"/>
      <w:start w:val="9"/>
    </w:lvl>
    <w:lvl w:ilvl="1">
      <w:lvlJc w:val="left"/>
      <w:lvlText w:val="(%2)"/>
      <w:numFmt w:val="lowerLetter"/>
      <w:start w:val="2"/>
    </w:lvl>
  </w:abstractNum>
  <w:abstractNum w:abstractNumId="442">
    <w:nsid w:val="3A86D445"/>
    <w:multiLevelType w:val="hybridMultilevel"/>
    <w:lvl w:ilvl="0">
      <w:lvlJc w:val="left"/>
      <w:lvlText w:val="(%1)"/>
      <w:numFmt w:val="lowerLetter"/>
      <w:start w:val="4"/>
    </w:lvl>
  </w:abstractNum>
  <w:abstractNum w:abstractNumId="443">
    <w:nsid w:val="51F79246"/>
    <w:multiLevelType w:val="hybridMultilevel"/>
    <w:lvl w:ilvl="0">
      <w:lvlJc w:val="left"/>
      <w:lvlText w:val="(%1)"/>
      <w:numFmt w:val="lowerLetter"/>
      <w:start w:val="1"/>
    </w:lvl>
  </w:abstractNum>
  <w:abstractNum w:abstractNumId="444">
    <w:nsid w:val="5BC9A827"/>
    <w:multiLevelType w:val="hybridMultilevel"/>
    <w:lvl w:ilvl="0">
      <w:lvlJc w:val="left"/>
      <w:lvlText w:val="(%1)"/>
      <w:numFmt w:val="lowerLetter"/>
      <w:start w:val="1"/>
    </w:lvl>
  </w:abstractNum>
  <w:abstractNum w:abstractNumId="445">
    <w:nsid w:val="3AE37D86"/>
    <w:multiLevelType w:val="hybridMultilevel"/>
    <w:lvl w:ilvl="0">
      <w:lvlJc w:val="left"/>
      <w:lvlText w:val="(%1)"/>
      <w:numFmt w:val="lowerRoman"/>
      <w:start w:val="1"/>
    </w:lvl>
  </w:abstractNum>
  <w:abstractNum w:abstractNumId="446">
    <w:nsid w:val="45440FE5"/>
    <w:multiLevelType w:val="hybridMultilevel"/>
    <w:lvl w:ilvl="0">
      <w:lvlJc w:val="left"/>
      <w:lvlText w:val="(%1)"/>
      <w:numFmt w:val="lowerLetter"/>
      <w:start w:val="1"/>
    </w:lvl>
  </w:abstractNum>
  <w:abstractNum w:abstractNumId="447">
    <w:nsid w:val="BF783F"/>
    <w:multiLevelType w:val="hybridMultilevel"/>
    <w:lvl w:ilvl="0">
      <w:lvlJc w:val="left"/>
      <w:lvlText w:val="(%1)"/>
      <w:numFmt w:val="lowerLetter"/>
      <w:start w:val="1"/>
    </w:lvl>
  </w:abstractNum>
  <w:abstractNum w:abstractNumId="448">
    <w:nsid w:val="22643EA9"/>
    <w:multiLevelType w:val="hybridMultilevel"/>
    <w:lvl w:ilvl="0">
      <w:lvlJc w:val="left"/>
      <w:lvlText w:val="%1"/>
      <w:numFmt w:val="lowerLetter"/>
      <w:start w:val="1"/>
    </w:lvl>
    <w:lvl w:ilvl="1">
      <w:lvlJc w:val="left"/>
      <w:lvlText w:val="(%2)"/>
      <w:numFmt w:val="lowerLetter"/>
      <w:start w:val="1"/>
    </w:lvl>
  </w:abstractNum>
  <w:abstractNum w:abstractNumId="449">
    <w:nsid w:val="1887578D"/>
    <w:multiLevelType w:val="hybridMultilevel"/>
    <w:lvl w:ilvl="0">
      <w:lvlJc w:val="left"/>
      <w:lvlText w:val="(%1)"/>
      <w:numFmt w:val="lowerLetter"/>
      <w:start w:val="1"/>
    </w:lvl>
    <w:lvl w:ilvl="1">
      <w:lvlJc w:val="left"/>
      <w:lvlText w:val="(%2)"/>
      <w:numFmt w:val="lowerLetter"/>
      <w:start w:val="2"/>
    </w:lvl>
  </w:abstractNum>
  <w:abstractNum w:abstractNumId="450">
    <w:nsid w:val="58C05B8A"/>
    <w:multiLevelType w:val="hybridMultilevel"/>
    <w:lvl w:ilvl="0">
      <w:lvlJc w:val="left"/>
      <w:lvlText w:val="(%1)"/>
      <w:numFmt w:val="lowerLetter"/>
      <w:start w:val="1"/>
    </w:lvl>
  </w:abstractNum>
  <w:abstractNum w:abstractNumId="451">
    <w:nsid w:val="38D82E71"/>
    <w:multiLevelType w:val="hybridMultilevel"/>
    <w:lvl w:ilvl="0">
      <w:lvlJc w:val="left"/>
      <w:lvlText w:val="(%1)"/>
      <w:numFmt w:val="lowerLetter"/>
      <w:start w:val="2"/>
    </w:lvl>
  </w:abstractNum>
  <w:abstractNum w:abstractNumId="452">
    <w:nsid w:val="1E41098A"/>
    <w:multiLevelType w:val="hybridMultilevel"/>
    <w:lvl w:ilvl="0">
      <w:lvlJc w:val="left"/>
      <w:lvlText w:val="(%1)"/>
      <w:numFmt w:val="lowerLetter"/>
      <w:start w:val="1"/>
    </w:lvl>
  </w:abstractNum>
  <w:abstractNum w:abstractNumId="453">
    <w:nsid w:val="5398582C"/>
    <w:multiLevelType w:val="hybridMultilevel"/>
    <w:lvl w:ilvl="0">
      <w:lvlJc w:val="left"/>
      <w:lvlText w:val="(%1)"/>
      <w:numFmt w:val="lowerLetter"/>
      <w:start w:val="35"/>
    </w:lvl>
    <w:lvl w:ilvl="1">
      <w:lvlJc w:val="left"/>
      <w:lvlText w:val="(%2)"/>
      <w:numFmt w:val="lowerLetter"/>
      <w:start w:val="2"/>
    </w:lvl>
  </w:abstractNum>
  <w:abstractNum w:abstractNumId="454">
    <w:nsid w:val="1C0D4475"/>
    <w:multiLevelType w:val="hybridMultilevel"/>
    <w:lvl w:ilvl="0">
      <w:lvlJc w:val="left"/>
      <w:lvlText w:val="(%1)"/>
      <w:numFmt w:val="lowerLetter"/>
      <w:start w:val="1"/>
    </w:lvl>
  </w:abstractNum>
  <w:abstractNum w:abstractNumId="455">
    <w:nsid w:val="2CB6A6A4"/>
    <w:multiLevelType w:val="hybridMultilevel"/>
    <w:lvl w:ilvl="0">
      <w:lvlJc w:val="left"/>
      <w:lvlText w:val="(%1)"/>
      <w:numFmt w:val="lowerLetter"/>
      <w:start w:val="3"/>
    </w:lvl>
  </w:abstractNum>
  <w:abstractNum w:abstractNumId="456">
    <w:nsid w:val="41D646BC"/>
    <w:multiLevelType w:val="hybridMultilevel"/>
    <w:lvl w:ilvl="0">
      <w:lvlJc w:val="left"/>
      <w:lvlText w:val="(%1)"/>
      <w:numFmt w:val="lowerLetter"/>
      <w:start w:val="1"/>
    </w:lvl>
  </w:abstractNum>
  <w:abstractNum w:abstractNumId="457">
    <w:nsid w:val="3694A76A"/>
    <w:multiLevelType w:val="hybridMultilevel"/>
    <w:lvl w:ilvl="0">
      <w:lvlJc w:val="left"/>
      <w:lvlText w:val="(%1)"/>
      <w:numFmt w:val="lowerLetter"/>
      <w:start w:val="2"/>
    </w:lvl>
  </w:abstractNum>
  <w:abstractNum w:abstractNumId="458">
    <w:nsid w:val="2BF876EE"/>
    <w:multiLevelType w:val="hybridMultilevel"/>
    <w:lvl w:ilvl="0">
      <w:lvlJc w:val="left"/>
      <w:lvlText w:val="(%1)"/>
      <w:numFmt w:val="lowerLetter"/>
      <w:start w:val="1"/>
    </w:lvl>
  </w:abstractNum>
  <w:abstractNum w:abstractNumId="459">
    <w:nsid w:val="675ADBA"/>
    <w:multiLevelType w:val="hybridMultilevel"/>
    <w:lvl w:ilvl="0">
      <w:lvlJc w:val="left"/>
      <w:lvlText w:val="1"/>
      <w:numFmt w:val="bullet"/>
      <w:start w:val="1"/>
    </w:lvl>
  </w:abstractNum>
  <w:abstractNum w:abstractNumId="460">
    <w:nsid w:val="C12AC7F"/>
    <w:multiLevelType w:val="hybridMultilevel"/>
    <w:lvl w:ilvl="0">
      <w:lvlJc w:val="left"/>
      <w:lvlText w:val="2"/>
      <w:numFmt w:val="bullet"/>
      <w:start w:val="1"/>
    </w:lvl>
  </w:abstractNum>
  <w:abstractNum w:abstractNumId="461">
    <w:nsid w:val="6798F039"/>
    <w:multiLevelType w:val="hybridMultilevel"/>
    <w:lvl w:ilvl="0">
      <w:lvlJc w:val="left"/>
      <w:lvlText w:val="•"/>
      <w:numFmt w:val="bullet"/>
      <w:start w:val="1"/>
    </w:lvl>
  </w:abstractNum>
  <w:abstractNum w:abstractNumId="462">
    <w:nsid w:val="70837C02"/>
    <w:multiLevelType w:val="hybridMultilevel"/>
    <w:lvl w:ilvl="0">
      <w:lvlJc w:val="left"/>
      <w:lvlText w:val="3"/>
      <w:numFmt w:val="bullet"/>
      <w:start w:val="1"/>
    </w:lvl>
  </w:abstractNum>
  <w:abstractNum w:abstractNumId="463">
    <w:nsid w:val="7E4A5715"/>
    <w:multiLevelType w:val="hybridMultilevel"/>
    <w:lvl w:ilvl="0">
      <w:lvlJc w:val="left"/>
      <w:lvlText w:val="•"/>
      <w:numFmt w:val="bullet"/>
      <w:start w:val="1"/>
    </w:lvl>
    <w:lvl w:ilvl="1">
      <w:lvlJc w:val="left"/>
      <w:lvlText w:val="•"/>
      <w:numFmt w:val="bullet"/>
      <w:start w:val="1"/>
    </w:lvl>
  </w:abstractNum>
  <w:abstractNum w:abstractNumId="464">
    <w:nsid w:val="42B8AC67"/>
    <w:multiLevelType w:val="hybridMultilevel"/>
    <w:lvl w:ilvl="0">
      <w:lvlJc w:val="left"/>
      <w:lvlText w:val="(%1)"/>
      <w:numFmt w:val="lowerRoman"/>
      <w:start w:val="1"/>
    </w:lvl>
  </w:abstractNum>
  <w:abstractNum w:abstractNumId="465">
    <w:nsid w:val="246348EA"/>
    <w:multiLevelType w:val="hybridMultilevel"/>
    <w:lvl w:ilvl="0">
      <w:lvlJc w:val="left"/>
      <w:lvlText w:val="•"/>
      <w:numFmt w:val="bullet"/>
      <w:start w:val="1"/>
    </w:lvl>
  </w:abstractNum>
  <w:abstractNum w:abstractNumId="466">
    <w:nsid w:val="170EB52B"/>
    <w:multiLevelType w:val="hybridMultilevel"/>
    <w:lvl w:ilvl="0">
      <w:lvlJc w:val="left"/>
      <w:lvlText w:val="4"/>
      <w:numFmt w:val="bullet"/>
      <w:start w:val="1"/>
    </w:lvl>
  </w:abstractNum>
  <w:abstractNum w:abstractNumId="467">
    <w:nsid w:val="2DFBCB8C"/>
    <w:multiLevelType w:val="hybridMultilevel"/>
    <w:lvl w:ilvl="0">
      <w:lvlJc w:val="left"/>
      <w:lvlText w:val="•"/>
      <w:numFmt w:val="bullet"/>
      <w:start w:val="1"/>
    </w:lvl>
  </w:abstractNum>
  <w:abstractNum w:abstractNumId="468">
    <w:nsid w:val="3830D6B6"/>
    <w:multiLevelType w:val="hybridMultilevel"/>
    <w:lvl w:ilvl="0">
      <w:lvlJc w:val="left"/>
      <w:lvlText w:val="•"/>
      <w:numFmt w:val="bullet"/>
      <w:start w:val="1"/>
    </w:lvl>
  </w:abstractNum>
  <w:abstractNum w:abstractNumId="469">
    <w:nsid w:val="6D48CF87"/>
    <w:multiLevelType w:val="hybridMultilevel"/>
    <w:lvl w:ilvl="0">
      <w:lvlJc w:val="left"/>
      <w:lvlText w:val="5"/>
      <w:numFmt w:val="bullet"/>
      <w:start w:val="1"/>
    </w:lvl>
  </w:abstractNum>
  <w:abstractNum w:abstractNumId="470">
    <w:nsid w:val="576FC41B"/>
    <w:multiLevelType w:val="hybridMultilevel"/>
    <w:lvl w:ilvl="0">
      <w:lvlJc w:val="left"/>
      <w:lvlText w:val="•"/>
      <w:numFmt w:val="bullet"/>
      <w:start w:val="1"/>
    </w:lvl>
  </w:abstractNum>
  <w:abstractNum w:abstractNumId="471">
    <w:nsid w:val="64A1C464"/>
    <w:multiLevelType w:val="hybridMultilevel"/>
    <w:lvl w:ilvl="0">
      <w:lvlJc w:val="left"/>
      <w:lvlText w:val="\endash "/>
      <w:numFmt w:val="bullet"/>
      <w:start w:val="1"/>
    </w:lvl>
  </w:abstractNum>
  <w:abstractNum w:abstractNumId="472">
    <w:nsid w:val="31723BF5"/>
    <w:multiLevelType w:val="hybridMultilevel"/>
    <w:lvl w:ilvl="0">
      <w:lvlJc w:val="left"/>
      <w:lvlText w:val="•"/>
      <w:numFmt w:val="bullet"/>
      <w:start w:val="1"/>
    </w:lvl>
  </w:abstractNum>
  <w:abstractNum w:abstractNumId="473">
    <w:nsid w:val="11F69861"/>
    <w:multiLevelType w:val="hybridMultilevel"/>
    <w:lvl w:ilvl="0">
      <w:lvlJc w:val="left"/>
      <w:lvlText w:val="•"/>
      <w:numFmt w:val="bullet"/>
      <w:start w:val="1"/>
    </w:lvl>
  </w:abstractNum>
  <w:abstractNum w:abstractNumId="474">
    <w:nsid w:val="369956AB"/>
    <w:multiLevelType w:val="hybridMultilevel"/>
    <w:lvl w:ilvl="0">
      <w:lvlJc w:val="left"/>
      <w:lvlText w:val="(%1)"/>
      <w:numFmt w:val="lowerRoman"/>
      <w:start w:val="1"/>
    </w:lvl>
  </w:abstractNum>
  <w:abstractNum w:abstractNumId="475">
    <w:nsid w:val="D3BE41C"/>
    <w:multiLevelType w:val="hybridMultilevel"/>
    <w:lvl w:ilvl="0">
      <w:lvlJc w:val="left"/>
      <w:lvlText w:val="(%1)"/>
      <w:numFmt w:val="lowerRoman"/>
      <w:start w:val="2"/>
    </w:lvl>
  </w:abstractNum>
  <w:abstractNum w:abstractNumId="476">
    <w:nsid w:val="4CDA15E7"/>
    <w:multiLevelType w:val="hybridMultilevel"/>
    <w:lvl w:ilvl="0">
      <w:lvlJc w:val="left"/>
      <w:lvlText w:val="(%1)"/>
      <w:numFmt w:val="lowerLetter"/>
      <w:start w:val="1"/>
    </w:lvl>
  </w:abstractNum>
  <w:abstractNum w:abstractNumId="477">
    <w:nsid w:val="7BDD6690"/>
    <w:multiLevelType w:val="hybridMultilevel"/>
    <w:lvl w:ilvl="0">
      <w:lvlJc w:val="left"/>
      <w:lvlText w:val="(%1)"/>
      <w:numFmt w:val="lowerLetter"/>
      <w:start w:val="2"/>
    </w:lvl>
  </w:abstractNum>
  <w:abstractNum w:abstractNumId="478">
    <w:nsid w:val="DFB5C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decimal"/>
      <w:start w:val="1"/>
    </w:lvl>
  </w:abstractNum>
  <w:abstractNum w:abstractNumId="479">
    <w:nsid w:val="6F3E54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4"/>
    </w:lvl>
    <w:lvl w:ilvl="4">
      <w:lvlJc w:val="left"/>
      <w:lvlText w:val="%5"/>
      <w:numFmt w:val="decimal"/>
      <w:start w:val="1"/>
    </w:lvl>
  </w:abstractNum>
  <w:abstractNum w:abstractNumId="480">
    <w:nsid w:val="1464BE1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81">
    <w:nsid w:val="66BBB7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82">
    <w:nsid w:val="28168302"/>
    <w:multiLevelType w:val="hybridMultilevel"/>
    <w:lvl w:ilvl="0">
      <w:lvlJc w:val="left"/>
      <w:lvlText w:val="(%1)"/>
      <w:numFmt w:val="lowerLetter"/>
      <w:start w:val="1"/>
    </w:lvl>
    <w:lvl w:ilvl="1">
      <w:lvlJc w:val="left"/>
      <w:lvlText w:val="(%2)"/>
      <w:numFmt w:val="lowerRoman"/>
      <w:start w:val="1"/>
    </w:lvl>
  </w:abstractNum>
  <w:abstractNum w:abstractNumId="483">
    <w:nsid w:val="32A5C7A8"/>
    <w:multiLevelType w:val="hybridMultilevel"/>
    <w:lvl w:ilvl="0">
      <w:lvlJc w:val="left"/>
      <w:lvlText w:val="%1"/>
      <w:numFmt w:val="lowerLetter"/>
      <w:start w:val="1"/>
    </w:lvl>
    <w:lvl w:ilvl="1">
      <w:lvlJc w:val="left"/>
      <w:lvlText w:val="(%2)"/>
      <w:numFmt w:val="lowerRoman"/>
      <w:start w:val="2"/>
    </w:lvl>
  </w:abstractNum>
  <w:abstractNum w:abstractNumId="484">
    <w:nsid w:val="3A541011"/>
    <w:multiLevelType w:val="hybridMultilevel"/>
    <w:lvl w:ilvl="0">
      <w:lvlJc w:val="left"/>
      <w:lvlText w:val="(%1)"/>
      <w:numFmt w:val="lowerLetter"/>
      <w:start w:val="3"/>
    </w:lvl>
    <w:lvl w:ilvl="1">
      <w:lvlJc w:val="left"/>
      <w:lvlText w:val="(%2)"/>
      <w:numFmt w:val="lowerRoman"/>
      <w:start w:val="1"/>
    </w:lvl>
  </w:abstractNum>
  <w:abstractNum w:abstractNumId="485">
    <w:nsid w:val="4423C777"/>
    <w:multiLevelType w:val="hybridMultilevel"/>
    <w:lvl w:ilvl="0">
      <w:lvlJc w:val="left"/>
      <w:lvlText w:val="(%1)"/>
      <w:numFmt w:val="lowerLetter"/>
      <w:start w:val="4"/>
    </w:lvl>
  </w:abstractNum>
  <w:abstractNum w:abstractNumId="486">
    <w:nsid w:val="5F5C6E4D"/>
    <w:multiLevelType w:val="hybridMultilevel"/>
    <w:lvl w:ilvl="0">
      <w:lvlJc w:val="left"/>
      <w:lvlText w:val="(%1)"/>
      <w:numFmt w:val="lowerLetter"/>
      <w:start w:val="1"/>
    </w:lvl>
  </w:abstractNum>
  <w:abstractNum w:abstractNumId="487">
    <w:nsid w:val="7C2A56CD"/>
    <w:multiLevelType w:val="hybridMultilevel"/>
    <w:lvl w:ilvl="0">
      <w:lvlJc w:val="left"/>
      <w:lvlText w:val="(%1)"/>
      <w:numFmt w:val="lowerLetter"/>
      <w:start w:val="1"/>
    </w:lvl>
  </w:abstractNum>
  <w:abstractNum w:abstractNumId="488">
    <w:nsid w:val="7AB86EE1"/>
    <w:multiLevelType w:val="hybridMultilevel"/>
    <w:lvl w:ilvl="0">
      <w:lvlJc w:val="left"/>
      <w:lvlText w:val="(%1)"/>
      <w:numFmt w:val="lowerLetter"/>
      <w:start w:val="2"/>
    </w:lvl>
    <w:lvl w:ilvl="1">
      <w:lvlJc w:val="left"/>
      <w:lvlText w:val="(%2)"/>
      <w:numFmt w:val="lowerLetter"/>
      <w:start w:val="9"/>
    </w:lvl>
  </w:abstractNum>
  <w:abstractNum w:abstractNumId="489">
    <w:nsid w:val="B54E53B"/>
    <w:multiLevelType w:val="hybridMultilevel"/>
    <w:lvl w:ilvl="0">
      <w:lvlJc w:val="left"/>
      <w:lvlText w:val="(%1)"/>
      <w:numFmt w:val="lowerLetter"/>
      <w:start w:val="1"/>
    </w:lvl>
  </w:abstractNum>
  <w:abstractNum w:abstractNumId="490">
    <w:nsid w:val="2A00487"/>
    <w:multiLevelType w:val="hybridMultilevel"/>
    <w:lvl w:ilvl="0">
      <w:lvlJc w:val="left"/>
      <w:lvlText w:val="(%1)"/>
      <w:numFmt w:val="lowerLetter"/>
      <w:start w:val="2"/>
    </w:lvl>
  </w:abstractNum>
  <w:abstractNum w:abstractNumId="491">
    <w:nsid w:val="6CB1B6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2">
    <w:nsid w:val="72EDD57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3">
    <w:nsid w:val="732380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494">
    <w:nsid w:val="5157276"/>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495">
    <w:nsid w:val="35A681D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96">
    <w:nsid w:val="1786C974"/>
    <w:multiLevelType w:val="hybridMultilevel"/>
    <w:lvl w:ilvl="0">
      <w:lvlJc w:val="left"/>
      <w:lvlText w:val="(%1)"/>
      <w:numFmt w:val="lowerRoman"/>
      <w:start w:val="4"/>
    </w:lvl>
    <w:lvl w:ilvl="1">
      <w:lvlJc w:val="left"/>
      <w:lvlText w:val="(%2)"/>
      <w:numFmt w:val="upperLetter"/>
      <w:start w:val="1"/>
    </w:lvl>
  </w:abstractNum>
  <w:abstractNum w:abstractNumId="497">
    <w:nsid w:val="1C2427A1"/>
    <w:multiLevelType w:val="hybridMultilevel"/>
    <w:lvl w:ilvl="0">
      <w:lvlJc w:val="left"/>
      <w:lvlText w:val="(%1)"/>
      <w:numFmt w:val="lowerLetter"/>
      <w:start w:val="1"/>
    </w:lvl>
    <w:lvl w:ilvl="1">
      <w:lvlJc w:val="left"/>
      <w:lvlText w:val="(%2)"/>
      <w:numFmt w:val="lowerRoman"/>
      <w:start w:val="1"/>
    </w:lvl>
  </w:abstractNum>
  <w:abstractNum w:abstractNumId="498">
    <w:nsid w:val="63A24D6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9">
    <w:nsid w:val="4FB7A02A"/>
    <w:multiLevelType w:val="hybridMultilevel"/>
    <w:lvl w:ilvl="0">
      <w:lvlJc w:val="left"/>
      <w:lvlText w:val="(%1)"/>
      <w:numFmt w:val="lowerLetter"/>
      <w:start w:val="4"/>
    </w:lvl>
  </w:abstractNum>
  <w:abstractNum w:abstractNumId="500">
    <w:nsid w:val="96CF728"/>
    <w:multiLevelType w:val="hybridMultilevel"/>
    <w:lvl w:ilvl="0">
      <w:lvlJc w:val="left"/>
      <w:lvlText w:val="(%1)"/>
      <w:numFmt w:val="lowerLetter"/>
      <w:start w:val="1"/>
    </w:lvl>
    <w:lvl w:ilvl="1">
      <w:lvlJc w:val="left"/>
      <w:lvlText w:val="(%2)"/>
      <w:numFmt w:val="lowerRoman"/>
      <w:start w:val="1"/>
    </w:lvl>
  </w:abstractNum>
  <w:abstractNum w:abstractNumId="501">
    <w:nsid w:val="3B121183"/>
    <w:multiLevelType w:val="hybridMultilevel"/>
    <w:lvl w:ilvl="0">
      <w:lvlJc w:val="left"/>
      <w:lvlText w:val="%1"/>
      <w:numFmt w:val="lowerLetter"/>
      <w:start w:val="1"/>
    </w:lvl>
    <w:lvl w:ilvl="1">
      <w:lvlJc w:val="left"/>
      <w:lvlText w:val="(%2)"/>
      <w:numFmt w:val="lowerRoman"/>
      <w:start w:val="4"/>
    </w:lvl>
  </w:abstractNum>
  <w:abstractNum w:abstractNumId="502">
    <w:nsid w:val="3459648F"/>
    <w:multiLevelType w:val="hybridMultilevel"/>
    <w:lvl w:ilvl="0">
      <w:lvlJc w:val="left"/>
      <w:lvlText w:val="(%1)"/>
      <w:numFmt w:val="lowerLetter"/>
      <w:start w:val="4"/>
    </w:lvl>
    <w:lvl w:ilvl="1">
      <w:lvlJc w:val="left"/>
      <w:lvlText w:val="%2"/>
      <w:numFmt w:val="lowerRoman"/>
      <w:start w:val="1"/>
    </w:lvl>
  </w:abstractNum>
  <w:abstractNum w:abstractNumId="503">
    <w:nsid w:val="3ADF331D"/>
    <w:multiLevelType w:val="hybridMultilevel"/>
    <w:lvl w:ilvl="0">
      <w:lvlJc w:val="left"/>
      <w:lvlText w:val="(%1)"/>
      <w:numFmt w:val="lowerLetter"/>
      <w:start w:val="1"/>
    </w:lvl>
    <w:lvl w:ilvl="1">
      <w:lvlJc w:val="left"/>
      <w:lvlText w:val="(%2)"/>
      <w:numFmt w:val="lowerRoman"/>
      <w:start w:val="1"/>
    </w:lvl>
  </w:abstractNum>
  <w:abstractNum w:abstractNumId="504">
    <w:nsid w:val="4D08A9E4"/>
    <w:multiLevelType w:val="hybridMultilevel"/>
    <w:lvl w:ilvl="0">
      <w:lvlJc w:val="left"/>
      <w:lvlText w:val="(%1)"/>
      <w:numFmt w:val="lowerLetter"/>
      <w:start w:val="3"/>
    </w:lvl>
  </w:abstractNum>
  <w:abstractNum w:abstractNumId="505">
    <w:nsid w:val="6AF2BB3A"/>
    <w:multiLevelType w:val="hybridMultilevel"/>
    <w:lvl w:ilvl="0">
      <w:lvlJc w:val="left"/>
      <w:lvlText w:val="(%1)"/>
      <w:numFmt w:val="lowerLetter"/>
      <w:start w:val="1"/>
    </w:lvl>
  </w:abstractNum>
  <w:abstractNum w:abstractNumId="506">
    <w:nsid w:val="481B1739"/>
    <w:multiLevelType w:val="hybridMultilevel"/>
    <w:lvl w:ilvl="0">
      <w:lvlJc w:val="left"/>
      <w:lvlText w:val="(%1)"/>
      <w:numFmt w:val="lowerLetter"/>
      <w:start w:val="3"/>
    </w:lvl>
  </w:abstractNum>
  <w:abstractNum w:abstractNumId="507">
    <w:nsid w:val="19E2BFCC"/>
    <w:multiLevelType w:val="hybridMultilevel"/>
    <w:lvl w:ilvl="0">
      <w:lvlJc w:val="left"/>
      <w:lvlText w:val="(%1)"/>
      <w:numFmt w:val="lowerRoman"/>
      <w:start w:val="1"/>
    </w:lvl>
  </w:abstractNum>
  <w:abstractNum w:abstractNumId="508">
    <w:nsid w:val="66D021CA"/>
    <w:multiLevelType w:val="hybridMultilevel"/>
    <w:lvl w:ilvl="0">
      <w:lvlJc w:val="left"/>
      <w:lvlText w:val="(%1)"/>
      <w:numFmt w:val="lowerRoman"/>
      <w:start w:val="1"/>
    </w:lvl>
  </w:abstractNum>
  <w:abstractNum w:abstractNumId="509">
    <w:nsid w:val="56167394"/>
    <w:multiLevelType w:val="hybridMultilevel"/>
    <w:lvl w:ilvl="0">
      <w:lvlJc w:val="left"/>
      <w:lvlText w:val="(%1)"/>
      <w:numFmt w:val="lowerRoman"/>
      <w:start w:val="7"/>
    </w:lvl>
  </w:abstractNum>
  <w:abstractNum w:abstractNumId="510">
    <w:nsid w:val="921145C"/>
    <w:multiLevelType w:val="hybridMultilevel"/>
    <w:lvl w:ilvl="0">
      <w:lvlJc w:val="left"/>
      <w:lvlText w:val="(%1)"/>
      <w:numFmt w:val="lowerLetter"/>
      <w:start w:val="1"/>
    </w:lvl>
  </w:abstractNum>
  <w:abstractNum w:abstractNumId="511">
    <w:nsid w:val="7B34DFE8"/>
    <w:multiLevelType w:val="hybridMultilevel"/>
    <w:lvl w:ilvl="0">
      <w:lvlJc w:val="left"/>
      <w:lvlText w:val="(%1)"/>
      <w:numFmt w:val="lowerLetter"/>
      <w:start w:val="4"/>
    </w:lvl>
  </w:abstractNum>
  <w:abstractNum w:abstractNumId="512">
    <w:nsid w:val="3CD22B79"/>
    <w:multiLevelType w:val="hybridMultilevel"/>
    <w:lvl w:ilvl="0">
      <w:lvlJc w:val="left"/>
      <w:lvlText w:val="(%1)"/>
      <w:numFmt w:val="lowerLetter"/>
      <w:start w:val="7"/>
    </w:lvl>
  </w:abstractNum>
  <w:abstractNum w:abstractNumId="513">
    <w:nsid w:val="3137975E"/>
    <w:multiLevelType w:val="hybridMultilevel"/>
    <w:lvl w:ilvl="0">
      <w:lvlJc w:val="left"/>
      <w:lvlText w:val="%1"/>
      <w:numFmt w:val="lowerLetter"/>
      <w:start w:val="1"/>
    </w:lvl>
    <w:lvl w:ilvl="1">
      <w:lvlJc w:val="left"/>
      <w:lvlText w:val="(%2)"/>
      <w:numFmt w:val="lowerLetter"/>
      <w:start w:val="1"/>
    </w:lvl>
  </w:abstractNum>
  <w:abstractNum w:abstractNumId="514">
    <w:nsid w:val="2DDAA791"/>
    <w:multiLevelType w:val="hybridMultilevel"/>
    <w:lvl w:ilvl="0">
      <w:lvlJc w:val="left"/>
      <w:lvlText w:val="(%1)"/>
      <w:numFmt w:val="lowerLetter"/>
      <w:start w:val="61"/>
    </w:lvl>
    <w:lvl w:ilvl="1">
      <w:lvlJc w:val="left"/>
      <w:lvlText w:val="%2"/>
      <w:numFmt w:val="lowerLetter"/>
      <w:start w:val="1"/>
    </w:lvl>
  </w:abstractNum>
  <w:abstractNum w:abstractNumId="515">
    <w:nsid w:val="77263B8A"/>
    <w:multiLevelType w:val="hybridMultilevel"/>
    <w:lvl w:ilvl="0">
      <w:lvlJc w:val="left"/>
      <w:lvlText w:val="(%1)"/>
      <w:numFmt w:val="lowerLetter"/>
      <w:start w:val="2"/>
    </w:lvl>
  </w:abstractNum>
  <w:abstractNum w:abstractNumId="516">
    <w:nsid w:val="755B5ED6"/>
    <w:multiLevelType w:val="hybridMultilevel"/>
    <w:lvl w:ilvl="0">
      <w:lvlJc w:val="left"/>
      <w:lvlText w:val="(%1)"/>
      <w:numFmt w:val="lowerLetter"/>
      <w:start w:val="1"/>
    </w:lvl>
    <w:lvl w:ilvl="1">
      <w:lvlJc w:val="left"/>
      <w:lvlText w:val="(%2)"/>
      <w:numFmt w:val="lowerLetter"/>
      <w:start w:val="9"/>
    </w:lvl>
  </w:abstractNum>
  <w:abstractNum w:abstractNumId="517">
    <w:nsid w:val="D3715DE"/>
    <w:multiLevelType w:val="hybridMultilevel"/>
    <w:lvl w:ilvl="0">
      <w:lvlJc w:val="left"/>
      <w:lvlText w:val="%1"/>
      <w:numFmt w:val="upperLetter"/>
      <w:start w:val="1"/>
    </w:lvl>
    <w:lvl w:ilvl="1">
      <w:lvlJc w:val="left"/>
      <w:lvlText w:val="(%2)"/>
      <w:numFmt w:val="lowerRoman"/>
      <w:start w:val="2"/>
    </w:lvl>
  </w:abstractNum>
  <w:abstractNum w:abstractNumId="518">
    <w:nsid w:val="73509257"/>
    <w:multiLevelType w:val="hybridMultilevel"/>
    <w:lvl w:ilvl="0">
      <w:lvlJc w:val="left"/>
      <w:lvlText w:val="(%1)"/>
      <w:numFmt w:val="upperLetter"/>
      <w:start w:val="5"/>
    </w:lvl>
    <w:lvl w:ilvl="1">
      <w:lvlJc w:val="left"/>
      <w:lvlText w:val="(%2)"/>
      <w:numFmt w:val="lowerRoman"/>
      <w:start w:val="5"/>
    </w:lvl>
  </w:abstractNum>
  <w:abstractNum w:abstractNumId="519">
    <w:nsid w:val="7013CDB7"/>
    <w:multiLevelType w:val="hybridMultilevel"/>
    <w:lvl w:ilvl="0">
      <w:lvlJc w:val="left"/>
      <w:lvlText w:val="(%1)"/>
      <w:numFmt w:val="lowerRoman"/>
      <w:start w:val="8"/>
    </w:lvl>
  </w:abstractNum>
  <w:abstractNum w:abstractNumId="520">
    <w:nsid w:val="188BFB19"/>
    <w:multiLevelType w:val="hybridMultilevel"/>
    <w:lvl w:ilvl="0">
      <w:lvlJc w:val="left"/>
      <w:lvlText w:val="%1"/>
      <w:numFmt w:val="lowerRoman"/>
      <w:start w:val="1"/>
    </w:lvl>
    <w:lvl w:ilvl="1">
      <w:lvlJc w:val="left"/>
      <w:lvlText w:val="(%2)"/>
      <w:numFmt w:val="lowerRoman"/>
      <w:start w:val="15"/>
    </w:lvl>
  </w:abstractNum>
  <w:abstractNum w:abstractNumId="521">
    <w:nsid w:val="75F096DF"/>
    <w:multiLevelType w:val="hybridMultilevel"/>
    <w:lvl w:ilvl="0">
      <w:lvlJc w:val="left"/>
      <w:lvlText w:val="(%1)"/>
      <w:numFmt w:val="lowerRoman"/>
      <w:start w:val="19"/>
    </w:lvl>
    <w:lvl w:ilvl="1">
      <w:lvlJc w:val="left"/>
      <w:lvlText w:val="%2"/>
      <w:numFmt w:val="lowerRoman"/>
      <w:start w:val="1"/>
    </w:lvl>
  </w:abstractNum>
  <w:abstractNum w:abstractNumId="522">
    <w:nsid w:val="76DEE918"/>
    <w:multiLevelType w:val="hybridMultilevel"/>
    <w:lvl w:ilvl="0">
      <w:lvlJc w:val="left"/>
      <w:lvlText w:val="%1"/>
      <w:numFmt w:val="lowerLetter"/>
      <w:start w:val="1"/>
    </w:lvl>
    <w:lvl w:ilvl="1">
      <w:lvlJc w:val="left"/>
      <w:lvlText w:val="(%2)"/>
      <w:numFmt w:val="lowerRoman"/>
      <w:start w:val="20"/>
    </w:lvl>
  </w:abstractNum>
  <w:abstractNum w:abstractNumId="523">
    <w:nsid w:val="B79D08D"/>
    <w:multiLevelType w:val="hybridMultilevel"/>
    <w:lvl w:ilvl="0">
      <w:lvlJc w:val="left"/>
      <w:lvlText w:val="(%1)"/>
      <w:numFmt w:val="lowerLetter"/>
      <w:start w:val="2"/>
    </w:lvl>
    <w:lvl w:ilvl="1">
      <w:lvlJc w:val="left"/>
      <w:lvlText w:val="%2"/>
      <w:numFmt w:val="lowerRoman"/>
      <w:start w:val="1"/>
    </w:lvl>
  </w:abstractNum>
  <w:abstractNum w:abstractNumId="524">
    <w:nsid w:val="69141769"/>
    <w:multiLevelType w:val="hybridMultilevel"/>
    <w:lvl w:ilvl="0">
      <w:lvlJc w:val="left"/>
      <w:lvlText w:val="(%1)"/>
      <w:numFmt w:val="lowerLetter"/>
      <w:start w:val="1"/>
    </w:lvl>
  </w:abstractNum>
  <w:abstractNum w:abstractNumId="525">
    <w:nsid w:val="7BF45B8E"/>
    <w:multiLevelType w:val="hybridMultilevel"/>
    <w:lvl w:ilvl="0">
      <w:lvlJc w:val="left"/>
      <w:lvlText w:val="%1"/>
      <w:numFmt w:val="lowerLetter"/>
      <w:start w:val="1"/>
    </w:lvl>
    <w:lvl w:ilvl="1">
      <w:lvlJc w:val="left"/>
      <w:lvlText w:val="(%2)"/>
      <w:numFmt w:val="lowerLetter"/>
      <w:start w:val="3"/>
    </w:lvl>
  </w:abstractNum>
  <w:abstractNum w:abstractNumId="526">
    <w:nsid w:val="41205269"/>
    <w:multiLevelType w:val="hybridMultilevel"/>
    <w:lvl w:ilvl="0">
      <w:lvlJc w:val="left"/>
      <w:lvlText w:val="(%1)"/>
      <w:numFmt w:val="lowerLetter"/>
      <w:start w:val="35"/>
    </w:lvl>
    <w:lvl w:ilvl="1">
      <w:lvlJc w:val="left"/>
      <w:lvlText w:val="(%2)"/>
      <w:numFmt w:val="lowerLetter"/>
      <w:start w:val="4"/>
    </w:lvl>
  </w:abstractNum>
  <w:abstractNum w:abstractNumId="527">
    <w:nsid w:val="9AE0DD"/>
    <w:multiLevelType w:val="hybridMultilevel"/>
    <w:lvl w:ilvl="0">
      <w:lvlJc w:val="left"/>
      <w:lvlText w:val="(%1)"/>
      <w:numFmt w:val="lowerLetter"/>
      <w:start w:val="1"/>
    </w:lvl>
  </w:abstractNum>
  <w:abstractNum w:abstractNumId="528">
    <w:nsid w:val="1818832F"/>
    <w:multiLevelType w:val="hybridMultilevel"/>
    <w:lvl w:ilvl="0">
      <w:lvlJc w:val="left"/>
      <w:lvlText w:val="(%1)"/>
      <w:numFmt w:val="lowerLetter"/>
      <w:start w:val="2"/>
    </w:lvl>
  </w:abstractNum>
  <w:abstractNum w:abstractNumId="529">
    <w:nsid w:val="24C29FD1"/>
    <w:multiLevelType w:val="hybridMultilevel"/>
    <w:lvl w:ilvl="0">
      <w:lvlJc w:val="left"/>
      <w:lvlText w:val="(%1)"/>
      <w:numFmt w:val="lowerLetter"/>
      <w:start w:val="1"/>
    </w:lvl>
  </w:abstractNum>
  <w:abstractNum w:abstractNumId="530">
    <w:nsid w:val="50528108"/>
    <w:multiLevelType w:val="hybridMultilevel"/>
    <w:lvl w:ilvl="0">
      <w:lvlJc w:val="left"/>
      <w:lvlText w:val="["/>
      <w:numFmt w:val="bullet"/>
      <w:start w:val="1"/>
    </w:lvl>
  </w:abstractNum>
  <w:abstractNum w:abstractNumId="531">
    <w:nsid w:val="21857A57"/>
    <w:multiLevelType w:val="hybridMultilevel"/>
    <w:lvl w:ilvl="0">
      <w:lvlJc w:val="left"/>
      <w:lvlText w:val="(%1)"/>
      <w:numFmt w:val="lowerRoman"/>
      <w:start w:val="2"/>
    </w:lvl>
  </w:abstractNum>
  <w:abstractNum w:abstractNumId="532">
    <w:nsid w:val="5FD4B154"/>
    <w:multiLevelType w:val="hybridMultilevel"/>
    <w:lvl w:ilvl="0">
      <w:lvlJc w:val="left"/>
      <w:lvlText w:val="(%1)"/>
      <w:numFmt w:val="lowerLetter"/>
      <w:start w:val="2"/>
    </w:lvl>
  </w:abstractNum>
  <w:abstractNum w:abstractNumId="533">
    <w:nsid w:val="4ABE597"/>
    <w:multiLevelType w:val="hybridMultilevel"/>
    <w:lvl w:ilvl="0">
      <w:lvlJc w:val="left"/>
      <w:lvlText w:val="(%1)"/>
      <w:numFmt w:val="lowerLetter"/>
      <w:start w:val="3"/>
    </w:lvl>
  </w:abstractNum>
  <w:abstractNum w:abstractNumId="534">
    <w:nsid w:val="5C64AD75"/>
    <w:multiLevelType w:val="hybridMultilevel"/>
    <w:lvl w:ilvl="0">
      <w:lvlJc w:val="left"/>
      <w:lvlText w:val="(%1)"/>
      <w:numFmt w:val="lowerLetter"/>
      <w:start w:val="7"/>
    </w:lvl>
  </w:abstractNum>
  <w:abstractNum w:abstractNumId="535">
    <w:nsid w:val="2CDD5B39"/>
    <w:multiLevelType w:val="hybridMultilevel"/>
    <w:lvl w:ilvl="0">
      <w:lvlJc w:val="left"/>
      <w:lvlText w:val="(%1)"/>
      <w:numFmt w:val="lowerRoman"/>
      <w:start w:val="1"/>
    </w:lvl>
  </w:abstractNum>
  <w:abstractNum w:abstractNumId="536">
    <w:nsid w:val="6F9EA0D1"/>
    <w:multiLevelType w:val="hybridMultilevel"/>
    <w:lvl w:ilvl="0">
      <w:lvlJc w:val="left"/>
      <w:lvlText w:val="(%1)"/>
      <w:numFmt w:val="lowerRoman"/>
      <w:start w:val="6"/>
    </w:lvl>
  </w:abstractNum>
  <w:abstractNum w:abstractNumId="537">
    <w:nsid w:val="247FC4AE"/>
    <w:multiLevelType w:val="hybridMultilevel"/>
    <w:lvl w:ilvl="0">
      <w:lvlJc w:val="left"/>
      <w:lvlText w:val="(%1)"/>
      <w:numFmt w:val="lowerLetter"/>
      <w:start w:val="2"/>
    </w:lvl>
  </w:abstractNum>
  <w:abstractNum w:abstractNumId="538">
    <w:nsid w:val="46C01B05"/>
    <w:multiLevelType w:val="hybridMultilevel"/>
    <w:lvl w:ilvl="0">
      <w:lvlJc w:val="left"/>
      <w:lvlText w:val="(%1)"/>
      <w:numFmt w:val="lowerLetter"/>
      <w:start w:val="2"/>
    </w:lvl>
  </w:abstractNum>
  <w:abstractNum w:abstractNumId="539">
    <w:nsid w:val="566EC29B"/>
    <w:multiLevelType w:val="hybridMultilevel"/>
    <w:lvl w:ilvl="0">
      <w:lvlJc w:val="left"/>
      <w:lvlText w:val="(%1)"/>
      <w:numFmt w:val="lowerLetter"/>
      <w:start w:val="2"/>
    </w:lvl>
  </w:abstractNum>
  <w:abstractNum w:abstractNumId="540">
    <w:nsid w:val="7A963843"/>
    <w:multiLevelType w:val="hybridMultilevel"/>
    <w:lvl w:ilvl="0">
      <w:lvlJc w:val="left"/>
      <w:lvlText w:val="%1."/>
      <w:numFmt w:val="upperLetter"/>
      <w:start w:val="1"/>
    </w:lvl>
  </w:abstractNum>
  <w:abstractNum w:abstractNumId="541">
    <w:nsid w:val="4FE12F61"/>
    <w:multiLevelType w:val="hybridMultilevel"/>
    <w:lvl w:ilvl="0">
      <w:lvlJc w:val="left"/>
      <w:lvlText w:val="(%1)"/>
      <w:numFmt w:val="lowerLetter"/>
      <w:start w:val="1"/>
    </w:lvl>
  </w:abstractNum>
  <w:abstractNum w:abstractNumId="542">
    <w:nsid w:val="51A3A284"/>
    <w:multiLevelType w:val="hybridMultilevel"/>
    <w:lvl w:ilvl="0">
      <w:lvlJc w:val="left"/>
      <w:lvlText w:val="(%1)"/>
      <w:numFmt w:val="lowerRoman"/>
      <w:start w:val="3"/>
    </w:lvl>
  </w:abstractNum>
  <w:abstractNum w:abstractNumId="543">
    <w:nsid w:val="376863BC"/>
    <w:multiLevelType w:val="hybridMultilevel"/>
    <w:lvl w:ilvl="0">
      <w:lvlJc w:val="left"/>
      <w:lvlText w:val="(%1)"/>
      <w:numFmt w:val="lowerLetter"/>
      <w:start w:val="1"/>
    </w:lvl>
  </w:abstractNum>
  <w:abstractNum w:abstractNumId="544">
    <w:nsid w:val="118C6C0"/>
    <w:multiLevelType w:val="hybridMultilevel"/>
    <w:lvl w:ilvl="0">
      <w:lvlJc w:val="left"/>
      <w:lvlText w:val="(%1)"/>
      <w:numFmt w:val="lowerLetter"/>
      <w:start w:val="1"/>
    </w:lvl>
  </w:abstractNum>
  <w:abstractNum w:abstractNumId="545">
    <w:nsid w:val="7F7E4A15"/>
    <w:multiLevelType w:val="hybridMultilevel"/>
    <w:lvl w:ilvl="0">
      <w:lvlJc w:val="left"/>
      <w:lvlText w:val="(%1)"/>
      <w:numFmt w:val="lowerLetter"/>
      <w:start w:val="1"/>
    </w:lvl>
  </w:abstractNum>
  <w:abstractNum w:abstractNumId="546">
    <w:nsid w:val="2E8E9F47"/>
    <w:multiLevelType w:val="hybridMultilevel"/>
    <w:lvl w:ilvl="0">
      <w:lvlJc w:val="left"/>
      <w:lvlText w:val="(%1)"/>
      <w:numFmt w:val="lowerLetter"/>
      <w:start w:val="2"/>
    </w:lvl>
  </w:abstractNum>
  <w:abstractNum w:abstractNumId="547">
    <w:nsid w:val="76742596"/>
    <w:multiLevelType w:val="hybridMultilevel"/>
    <w:lvl w:ilvl="0">
      <w:lvlJc w:val="left"/>
      <w:lvlText w:val="(%1)"/>
      <w:numFmt w:val="lowerLetter"/>
      <w:start w:val="1"/>
    </w:lvl>
  </w:abstractNum>
  <w:abstractNum w:abstractNumId="548">
    <w:nsid w:val="CB55FF3"/>
    <w:multiLevelType w:val="hybridMultilevel"/>
    <w:lvl w:ilvl="0">
      <w:lvlJc w:val="left"/>
      <w:lvlText w:val="(%1)"/>
      <w:numFmt w:val="lowerLetter"/>
      <w:start w:val="1"/>
    </w:lvl>
  </w:abstractNum>
  <w:abstractNum w:abstractNumId="549">
    <w:nsid w:val="21DF319E"/>
    <w:multiLevelType w:val="hybridMultilevel"/>
    <w:lvl w:ilvl="0">
      <w:lvlJc w:val="left"/>
      <w:lvlText w:val="(%1)"/>
      <w:numFmt w:val="lowerLetter"/>
      <w:start w:val="1"/>
    </w:lvl>
  </w:abstractNum>
  <w:abstractNum w:abstractNumId="550">
    <w:nsid w:val="6687F34D"/>
    <w:multiLevelType w:val="hybridMultilevel"/>
    <w:lvl w:ilvl="0">
      <w:lvlJc w:val="left"/>
      <w:lvlText w:val="%1"/>
      <w:numFmt w:val="upperLetter"/>
      <w:start w:val="1"/>
    </w:lvl>
    <w:lvl w:ilvl="1">
      <w:lvlJc w:val="left"/>
      <w:lvlText w:val="(%2)"/>
      <w:numFmt w:val="lowerLetter"/>
      <w:start w:val="1"/>
    </w:lvl>
  </w:abstractNum>
  <w:abstractNum w:abstractNumId="551">
    <w:nsid w:val="25415B0C"/>
    <w:multiLevelType w:val="hybridMultilevel"/>
    <w:lvl w:ilvl="0">
      <w:lvlJc w:val="left"/>
      <w:lvlText w:val="(%1)"/>
      <w:numFmt w:val="upperLetter"/>
      <w:start w:val="2"/>
    </w:lvl>
    <w:lvl w:ilvl="1">
      <w:lvlJc w:val="left"/>
      <w:lvlText w:val="(%2)"/>
      <w:numFmt w:val="lowerLetter"/>
      <w:start w:val="3"/>
    </w:lvl>
  </w:abstractNum>
  <w:abstractNum w:abstractNumId="552">
    <w:nsid w:val="17CFC87D"/>
    <w:multiLevelType w:val="hybridMultilevel"/>
    <w:lvl w:ilvl="0">
      <w:lvlJc w:val="left"/>
      <w:lvlText w:val="(%1)"/>
      <w:numFmt w:val="lowerLetter"/>
      <w:start w:val="1"/>
    </w:lvl>
  </w:abstractNum>
  <w:abstractNum w:abstractNumId="553">
    <w:nsid w:val="5D66DC65"/>
    <w:multiLevelType w:val="hybridMultilevel"/>
    <w:lvl w:ilvl="0">
      <w:lvlJc w:val="left"/>
      <w:lvlText w:val="(%1)"/>
      <w:numFmt w:val="lowerLetter"/>
      <w:start w:val="1"/>
    </w:lvl>
  </w:abstractNum>
  <w:abstractNum w:abstractNumId="554">
    <w:nsid w:val="30BB2B99"/>
    <w:multiLevelType w:val="hybridMultilevel"/>
    <w:lvl w:ilvl="0">
      <w:lvlJc w:val="left"/>
      <w:lvlText w:val="(%1)"/>
      <w:numFmt w:val="lowerLetter"/>
      <w:start w:val="2"/>
    </w:lvl>
  </w:abstractNum>
  <w:abstractNum w:abstractNumId="555">
    <w:nsid w:val="E3DFE6"/>
    <w:multiLevelType w:val="hybridMultilevel"/>
    <w:lvl w:ilvl="0">
      <w:lvlJc w:val="left"/>
      <w:lvlText w:val="(%1)"/>
      <w:numFmt w:val="lowerLetter"/>
      <w:start w:val="1"/>
    </w:lvl>
  </w:abstractNum>
  <w:abstractNum w:abstractNumId="556">
    <w:nsid w:val="595B37F3"/>
    <w:multiLevelType w:val="hybridMultilevel"/>
    <w:lvl w:ilvl="0">
      <w:lvlJc w:val="left"/>
      <w:lvlText w:val="(%1)"/>
      <w:numFmt w:val="lowerRoman"/>
      <w:start w:val="2"/>
    </w:lvl>
  </w:abstractNum>
  <w:abstractNum w:abstractNumId="557">
    <w:nsid w:val="71DB7E0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2019-11-28T04:31:05Z</dcterms:created>
  <dcterms:modified xsi:type="dcterms:W3CDTF">2019-11-28T04:31:05Z</dcterms:modified>
</cp:coreProperties>
</file>