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2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w:t>
      </w:r>
    </w:p>
    <w:p>
      <w:pPr>
        <w:pStyle w:val="TextBody"/>
        <w:bidi w:val="0"/>
        <w:spacing w:lineRule="auto" w:line="288"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001-39205</w:t>
      </w:r>
    </w:p>
    <w:p>
      <w:pPr>
        <w:pStyle w:val="TextBody"/>
        <w:bidi w:val="0"/>
        <w:spacing w:lineRule="auto" w:line="288" w:before="60" w:after="12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w:t>
      </w:r>
    </w:p>
    <w:tbl>
      <w:tblPr>
        <w:tblW w:w="3538" w:type="dxa"/>
        <w:jc w:val="center"/>
        <w:tblInd w:w="0" w:type="dxa"/>
        <w:tblLayout w:type="fixed"/>
        <w:tblCellMar>
          <w:top w:w="28" w:type="dxa"/>
          <w:left w:w="28" w:type="dxa"/>
          <w:bottom w:w="28" w:type="dxa"/>
          <w:right w:w="28" w:type="dxa"/>
        </w:tblCellMar>
      </w:tblPr>
      <w:tblGrid>
        <w:gridCol w:w="732"/>
        <w:gridCol w:w="643"/>
        <w:gridCol w:w="649"/>
        <w:gridCol w:w="442"/>
        <w:gridCol w:w="442"/>
        <w:gridCol w:w="630"/>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45-3464426</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W. Field Court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Lake Forest, Illinois 60045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Telephone: (800) 879-5067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left"/>
        <w:rPr/>
      </w:pPr>
      <w:r>
        <w:rPr/>
      </w:r>
    </w:p>
    <w:tbl>
      <w:tblPr>
        <w:tblW w:w="7134" w:type="dxa"/>
        <w:jc w:val="left"/>
        <w:tblInd w:w="0" w:type="dxa"/>
        <w:tblLayout w:type="fixed"/>
        <w:tblCellMar>
          <w:top w:w="28" w:type="dxa"/>
          <w:left w:w="28" w:type="dxa"/>
          <w:bottom w:w="28" w:type="dxa"/>
          <w:right w:w="28" w:type="dxa"/>
        </w:tblCellMar>
      </w:tblPr>
      <w:tblGrid>
        <w:gridCol w:w="895"/>
        <w:gridCol w:w="785"/>
        <w:gridCol w:w="795"/>
        <w:gridCol w:w="109"/>
        <w:gridCol w:w="109"/>
        <w:gridCol w:w="109"/>
        <w:gridCol w:w="230"/>
        <w:gridCol w:w="230"/>
        <w:gridCol w:w="231"/>
        <w:gridCol w:w="109"/>
        <w:gridCol w:w="109"/>
        <w:gridCol w:w="109"/>
        <w:gridCol w:w="970"/>
        <w:gridCol w:w="970"/>
        <w:gridCol w:w="1374"/>
      </w:tblGrid>
      <w:tr>
        <w:trPr/>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REYN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As of July 24, 2026, the registrant had 210,790,982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7"/>
        <w:gridCol w:w="270"/>
        <w:gridCol w:w="272"/>
        <w:gridCol w:w="2946"/>
        <w:gridCol w:w="2946"/>
        <w:gridCol w:w="2951"/>
        <w:gridCol w:w="149"/>
        <w:gridCol w:w="149"/>
        <w:gridCol w:w="215"/>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
              <w:r>
                <w:rPr>
                  <w:rStyle w:val="InternetLink"/>
                  <w:rFonts w:ascii="Times New Roman;serif" w:hAnsi="Times New Roman;serif"/>
                  <w:b/>
                  <w:strike w:val="false"/>
                  <w:dstrike w:val="false"/>
                  <w:color w:val="000000"/>
                  <w:sz w:val="20"/>
                  <w:u w:val="none"/>
                  <w:effect w:val="none"/>
                </w:rPr>
                <w:t>PART I.</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
              <w:r>
                <w:rPr>
                  <w:rStyle w:val="InternetLink"/>
                  <w:rFonts w:ascii="Times New Roman;serif" w:hAnsi="Times New Roman;serif"/>
                  <w:b w:val="false"/>
                  <w:color w:val="0000FF"/>
                  <w:sz w:val="20"/>
                  <w:u w:val="single"/>
                </w:rPr>
                <w:t>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52be6f4ab56249e1b8d44c654d94c63a_13">
              <w:r>
                <w:rPr>
                  <w:rStyle w:val="InternetLink"/>
                  <w:rFonts w:ascii="Times New Roman;serif" w:hAnsi="Times New Roman;serif"/>
                  <w:b w:val="false"/>
                  <w:strike w:val="false"/>
                  <w:dstrike w:val="false"/>
                  <w:color w:val="000000"/>
                  <w:sz w:val="20"/>
                  <w:u w:val="none"/>
                  <w:effect w:val="none"/>
                </w:rPr>
                <w:t>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6">
              <w:r>
                <w:rPr>
                  <w:rStyle w:val="InternetLink"/>
                  <w:rFonts w:ascii="Times New Roman;serif" w:hAnsi="Times New Roman;serif"/>
                  <w:b w:val="false"/>
                  <w:strike w:val="false"/>
                  <w:dstrike w:val="false"/>
                  <w:color w:val="000000"/>
                  <w:sz w:val="20"/>
                  <w:u w:val="none"/>
                  <w:effect w:val="none"/>
                </w:rPr>
                <w:t>Item 1.</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6">
              <w:r>
                <w:rPr>
                  <w:rStyle w:val="InternetLink"/>
                  <w:rFonts w:ascii="Times New Roman;serif" w:hAnsi="Times New Roman;serif"/>
                  <w:b w:val="false"/>
                  <w:color w:val="0000FF"/>
                  <w:sz w:val="20"/>
                  <w:u w:val="single"/>
                </w:rPr>
                <w:t>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6">
              <w:r>
                <w:rPr>
                  <w:rStyle w:val="InternetLink"/>
                  <w:rFonts w:ascii="Times New Roman;serif" w:hAnsi="Times New Roman;serif"/>
                  <w:b w:val="false"/>
                  <w:strike w:val="false"/>
                  <w:dstrike w:val="false"/>
                  <w:color w:val="000000"/>
                  <w:sz w:val="20"/>
                  <w:u w:val="none"/>
                  <w:effect w:val="none"/>
                </w:rPr>
                <w:t>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9">
              <w:r>
                <w:rPr>
                  <w:rStyle w:val="InternetLink"/>
                  <w:rFonts w:ascii="Times New Roman;serif" w:hAnsi="Times New Roman;serif"/>
                  <w:b w:val="false"/>
                  <w:color w:val="000080"/>
                  <w:sz w:val="20"/>
                  <w:u w:val="single"/>
                </w:rPr>
                <w:t xml:space="preserve">Condensed Consolidated Statements of Income for the three </w:t>
              </w:r>
            </w:hyperlink>
            <w:hyperlink w:anchor="i52be6f4ab56249e1b8d44c654d94c63a_19">
              <w:r>
                <w:rPr>
                  <w:rStyle w:val="InternetLink"/>
                  <w:rFonts w:ascii="Times New Roman;serif" w:hAnsi="Times New Roman;serif"/>
                  <w:b w:val="false"/>
                  <w:color w:val="000080"/>
                  <w:sz w:val="20"/>
                  <w:u w:val="single"/>
                </w:rPr>
                <w:t xml:space="preserve">and six </w:t>
              </w:r>
            </w:hyperlink>
            <w:hyperlink w:anchor="i52be6f4ab56249e1b8d44c654d94c63a_19">
              <w:r>
                <w:rPr>
                  <w:rStyle w:val="InternetLink"/>
                  <w:rFonts w:ascii="Times New Roman;serif" w:hAnsi="Times New Roman;serif"/>
                  <w:b w:val="false"/>
                  <w:color w:val="000080"/>
                  <w:sz w:val="20"/>
                  <w:u w:val="single"/>
                </w:rPr>
                <w:t xml:space="preserve">months ended </w:t>
              </w:r>
            </w:hyperlink>
            <w:hyperlink w:anchor="i52be6f4ab56249e1b8d44c654d94c63a_19">
              <w:r>
                <w:rPr>
                  <w:rStyle w:val="InternetLink"/>
                  <w:rFonts w:ascii="Times New Roman;serif" w:hAnsi="Times New Roman;serif"/>
                  <w:b w:val="false"/>
                  <w:color w:val="000080"/>
                  <w:sz w:val="20"/>
                  <w:u w:val="single"/>
                </w:rPr>
                <w:t>June 30</w:t>
              </w:r>
            </w:hyperlink>
            <w:hyperlink w:anchor="i52be6f4ab56249e1b8d44c654d94c63a_1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9">
              <w:r>
                <w:rPr>
                  <w:rStyle w:val="InternetLink"/>
                  <w:rFonts w:ascii="Times New Roman;serif" w:hAnsi="Times New Roman;serif"/>
                  <w:b w:val="false"/>
                  <w:strike w:val="false"/>
                  <w:dstrike w:val="false"/>
                  <w:color w:val="000000"/>
                  <w:sz w:val="20"/>
                  <w:u w:val="none"/>
                  <w:effect w:val="none"/>
                </w:rPr>
                <w:t>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22">
              <w:r>
                <w:rPr>
                  <w:rStyle w:val="InternetLink"/>
                  <w:rFonts w:ascii="Times New Roman;serif" w:hAnsi="Times New Roman;serif"/>
                  <w:b w:val="false"/>
                  <w:color w:val="000080"/>
                  <w:sz w:val="20"/>
                  <w:u w:val="single"/>
                </w:rPr>
                <w:t>Condensed Consolidated Statements of Comprehensive Income for the three</w:t>
              </w:r>
            </w:hyperlink>
            <w:hyperlink w:anchor="i52be6f4ab56249e1b8d44c654d94c63a_22">
              <w:r>
                <w:rPr>
                  <w:rStyle w:val="InternetLink"/>
                  <w:rFonts w:ascii="Times New Roman;serif" w:hAnsi="Times New Roman;serif"/>
                  <w:b w:val="false"/>
                  <w:color w:val="000080"/>
                  <w:sz w:val="20"/>
                  <w:u w:val="single"/>
                </w:rPr>
                <w:t xml:space="preserve"> and six</w:t>
              </w:r>
            </w:hyperlink>
            <w:hyperlink w:anchor="i52be6f4ab56249e1b8d44c654d94c63a_22">
              <w:r>
                <w:rPr>
                  <w:rStyle w:val="InternetLink"/>
                  <w:rFonts w:ascii="Times New Roman;serif" w:hAnsi="Times New Roman;serif"/>
                  <w:b w:val="false"/>
                  <w:color w:val="000080"/>
                  <w:sz w:val="20"/>
                  <w:u w:val="single"/>
                </w:rPr>
                <w:t xml:space="preserve"> months ended </w:t>
              </w:r>
            </w:hyperlink>
            <w:hyperlink w:anchor="i52be6f4ab56249e1b8d44c654d94c63a_22">
              <w:r>
                <w:rPr>
                  <w:rStyle w:val="InternetLink"/>
                  <w:rFonts w:ascii="Times New Roman;serif" w:hAnsi="Times New Roman;serif"/>
                  <w:b w:val="false"/>
                  <w:color w:val="000080"/>
                  <w:sz w:val="20"/>
                  <w:u w:val="single"/>
                </w:rPr>
                <w:t xml:space="preserve">June </w:t>
              </w:r>
            </w:hyperlink>
            <w:hyperlink w:anchor="i52be6f4ab56249e1b8d44c654d94c63a_22">
              <w:r>
                <w:rPr>
                  <w:rStyle w:val="InternetLink"/>
                  <w:rFonts w:ascii="Times New Roman;serif" w:hAnsi="Times New Roman;serif"/>
                  <w:b w:val="false"/>
                  <w:color w:val="000080"/>
                  <w:sz w:val="20"/>
                  <w:u w:val="single"/>
                </w:rPr>
                <w:t>30</w:t>
              </w:r>
            </w:hyperlink>
            <w:hyperlink w:anchor="i52be6f4ab56249e1b8d44c654d94c63a_22">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22">
              <w:r>
                <w:rPr>
                  <w:rStyle w:val="InternetLink"/>
                  <w:rFonts w:ascii="Times New Roman;serif" w:hAnsi="Times New Roman;serif"/>
                  <w:b w:val="false"/>
                  <w:strike w:val="false"/>
                  <w:dstrike w:val="false"/>
                  <w:color w:val="000000"/>
                  <w:sz w:val="20"/>
                  <w:u w:val="none"/>
                  <w:effect w:val="none"/>
                </w:rPr>
                <w:t>3</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25">
              <w:r>
                <w:rPr>
                  <w:rStyle w:val="InternetLink"/>
                  <w:rFonts w:ascii="Times New Roman;serif" w:hAnsi="Times New Roman;serif"/>
                  <w:b w:val="false"/>
                  <w:color w:val="000080"/>
                  <w:sz w:val="20"/>
                  <w:u w:val="single"/>
                </w:rPr>
                <w:t xml:space="preserve">Condensed Consolidated Balance Sheets as of </w:t>
              </w:r>
            </w:hyperlink>
            <w:hyperlink w:anchor="i52be6f4ab56249e1b8d44c654d94c63a_25">
              <w:r>
                <w:rPr>
                  <w:rStyle w:val="InternetLink"/>
                  <w:rFonts w:ascii="Times New Roman;serif" w:hAnsi="Times New Roman;serif"/>
                  <w:b w:val="false"/>
                  <w:color w:val="000080"/>
                  <w:sz w:val="20"/>
                  <w:u w:val="single"/>
                </w:rPr>
                <w:t>June 30</w:t>
              </w:r>
            </w:hyperlink>
            <w:hyperlink w:anchor="i52be6f4ab56249e1b8d44c654d94c63a_25">
              <w:r>
                <w:rPr>
                  <w:rStyle w:val="InternetLink"/>
                  <w:rFonts w:ascii="Times New Roman;serif" w:hAnsi="Times New Roman;serif"/>
                  <w:b w:val="false"/>
                  <w:color w:val="000080"/>
                  <w:sz w:val="20"/>
                  <w:u w:val="single"/>
                </w:rPr>
                <w:t>, 2026 and December 31, 20</w:t>
              </w:r>
            </w:hyperlink>
            <w:hyperlink w:anchor="i52be6f4ab56249e1b8d44c654d94c63a_25">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25">
              <w:r>
                <w:rPr>
                  <w:rStyle w:val="InternetLink"/>
                  <w:rFonts w:ascii="Times New Roman;serif" w:hAnsi="Times New Roman;serif"/>
                  <w:b w:val="false"/>
                  <w:strike w:val="false"/>
                  <w:dstrike w:val="false"/>
                  <w:color w:val="000000"/>
                  <w:sz w:val="20"/>
                  <w:u w:val="none"/>
                  <w:effect w:val="none"/>
                </w:rPr>
                <w:t>4</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28">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52be6f4ab56249e1b8d44c654d94c63a_28">
              <w:r>
                <w:rPr>
                  <w:rStyle w:val="InternetLink"/>
                  <w:rFonts w:ascii="Times New Roman;serif" w:hAnsi="Times New Roman;serif"/>
                  <w:b w:val="false"/>
                  <w:color w:val="000080"/>
                  <w:sz w:val="20"/>
                  <w:u w:val="single"/>
                </w:rPr>
                <w:t xml:space="preserve">and six </w:t>
              </w:r>
            </w:hyperlink>
            <w:hyperlink w:anchor="i52be6f4ab56249e1b8d44c654d94c63a_28">
              <w:r>
                <w:rPr>
                  <w:rStyle w:val="InternetLink"/>
                  <w:rFonts w:ascii="Times New Roman;serif" w:hAnsi="Times New Roman;serif"/>
                  <w:b w:val="false"/>
                  <w:color w:val="000080"/>
                  <w:sz w:val="20"/>
                  <w:u w:val="single"/>
                </w:rPr>
                <w:t xml:space="preserve">months ended </w:t>
              </w:r>
            </w:hyperlink>
            <w:hyperlink w:anchor="i52be6f4ab56249e1b8d44c654d94c63a_28">
              <w:r>
                <w:rPr>
                  <w:rStyle w:val="InternetLink"/>
                  <w:rFonts w:ascii="Times New Roman;serif" w:hAnsi="Times New Roman;serif"/>
                  <w:b w:val="false"/>
                  <w:color w:val="000080"/>
                  <w:sz w:val="20"/>
                  <w:u w:val="single"/>
                </w:rPr>
                <w:t>June</w:t>
              </w:r>
            </w:hyperlink>
            <w:hyperlink w:anchor="i52be6f4ab56249e1b8d44c654d94c63a_28">
              <w:r>
                <w:rPr>
                  <w:rStyle w:val="InternetLink"/>
                  <w:rFonts w:ascii="Times New Roman;serif" w:hAnsi="Times New Roman;serif"/>
                  <w:b w:val="false"/>
                  <w:color w:val="000080"/>
                  <w:sz w:val="20"/>
                  <w:u w:val="single"/>
                </w:rPr>
                <w:t xml:space="preserve"> 3</w:t>
              </w:r>
            </w:hyperlink>
            <w:hyperlink w:anchor="i52be6f4ab56249e1b8d44c654d94c63a_28">
              <w:r>
                <w:rPr>
                  <w:rStyle w:val="InternetLink"/>
                  <w:rFonts w:ascii="Times New Roman;serif" w:hAnsi="Times New Roman;serif"/>
                  <w:b w:val="false"/>
                  <w:color w:val="000080"/>
                  <w:sz w:val="20"/>
                  <w:u w:val="single"/>
                </w:rPr>
                <w:t>0</w:t>
              </w:r>
            </w:hyperlink>
            <w:hyperlink w:anchor="i52be6f4ab56249e1b8d44c654d94c63a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28">
              <w:r>
                <w:rPr>
                  <w:rStyle w:val="InternetLink"/>
                  <w:rFonts w:ascii="Times New Roman;serif" w:hAnsi="Times New Roman;serif"/>
                  <w:b w:val="false"/>
                  <w:strike w:val="false"/>
                  <w:dstrike w:val="false"/>
                  <w:color w:val="000000"/>
                  <w:sz w:val="20"/>
                  <w:u w:val="none"/>
                  <w:effect w:val="none"/>
                </w:rPr>
                <w:t>5</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31">
              <w:r>
                <w:rPr>
                  <w:rStyle w:val="InternetLink"/>
                  <w:rFonts w:ascii="Times New Roman;serif" w:hAnsi="Times New Roman;serif"/>
                  <w:b w:val="false"/>
                  <w:color w:val="000080"/>
                  <w:sz w:val="20"/>
                  <w:u w:val="single"/>
                </w:rPr>
                <w:t xml:space="preserve">Condensed Consolidated Statements of Cash Flows for the </w:t>
              </w:r>
            </w:hyperlink>
            <w:hyperlink w:anchor="i52be6f4ab56249e1b8d44c654d94c63a_31">
              <w:r>
                <w:rPr>
                  <w:rStyle w:val="InternetLink"/>
                  <w:rFonts w:ascii="Times New Roman;serif" w:hAnsi="Times New Roman;serif"/>
                  <w:b w:val="false"/>
                  <w:color w:val="000080"/>
                  <w:sz w:val="20"/>
                  <w:u w:val="single"/>
                </w:rPr>
                <w:t>six</w:t>
              </w:r>
            </w:hyperlink>
            <w:hyperlink w:anchor="i52be6f4ab56249e1b8d44c654d94c63a_31">
              <w:r>
                <w:rPr>
                  <w:rStyle w:val="InternetLink"/>
                  <w:rFonts w:ascii="Times New Roman;serif" w:hAnsi="Times New Roman;serif"/>
                  <w:b w:val="false"/>
                  <w:color w:val="000080"/>
                  <w:sz w:val="20"/>
                  <w:u w:val="single"/>
                </w:rPr>
                <w:t xml:space="preserve"> months ended </w:t>
              </w:r>
            </w:hyperlink>
            <w:hyperlink w:anchor="i52be6f4ab56249e1b8d44c654d94c63a_31">
              <w:r>
                <w:rPr>
                  <w:rStyle w:val="InternetLink"/>
                  <w:rFonts w:ascii="Times New Roman;serif" w:hAnsi="Times New Roman;serif"/>
                  <w:b w:val="false"/>
                  <w:color w:val="000080"/>
                  <w:sz w:val="20"/>
                  <w:u w:val="single"/>
                </w:rPr>
                <w:t>June</w:t>
              </w:r>
            </w:hyperlink>
            <w:hyperlink w:anchor="i52be6f4ab56249e1b8d44c654d94c63a_31">
              <w:r>
                <w:rPr>
                  <w:rStyle w:val="InternetLink"/>
                  <w:rFonts w:ascii="Times New Roman;serif" w:hAnsi="Times New Roman;serif"/>
                  <w:b w:val="false"/>
                  <w:color w:val="000080"/>
                  <w:sz w:val="20"/>
                  <w:u w:val="single"/>
                </w:rPr>
                <w:t xml:space="preserve"> 3</w:t>
              </w:r>
            </w:hyperlink>
            <w:hyperlink w:anchor="i52be6f4ab56249e1b8d44c654d94c63a_31">
              <w:r>
                <w:rPr>
                  <w:rStyle w:val="InternetLink"/>
                  <w:rFonts w:ascii="Times New Roman;serif" w:hAnsi="Times New Roman;serif"/>
                  <w:b w:val="false"/>
                  <w:color w:val="000080"/>
                  <w:sz w:val="20"/>
                  <w:u w:val="single"/>
                </w:rPr>
                <w:t>0</w:t>
              </w:r>
            </w:hyperlink>
            <w:hyperlink w:anchor="i52be6f4ab56249e1b8d44c654d94c63a_31">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31">
              <w:r>
                <w:rPr>
                  <w:rStyle w:val="InternetLink"/>
                  <w:rFonts w:ascii="Times New Roman;serif" w:hAnsi="Times New Roman;serif"/>
                  <w:b w:val="false"/>
                  <w:strike w:val="false"/>
                  <w:dstrike w:val="false"/>
                  <w:color w:val="000000"/>
                  <w:sz w:val="20"/>
                  <w:u w:val="none"/>
                  <w:effect w:val="none"/>
                </w:rPr>
                <w:t>6</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34">
              <w:r>
                <w:rPr>
                  <w:rStyle w:val="InternetLink"/>
                  <w:rFonts w:ascii="Times New Roman;serif" w:hAnsi="Times New Roman;serif"/>
                  <w:b w:val="false"/>
                  <w:color w:val="0000FF"/>
                  <w:sz w:val="20"/>
                  <w:u w:val="single"/>
                </w:rPr>
                <w:t>Notes to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34">
              <w:r>
                <w:rPr>
                  <w:rStyle w:val="InternetLink"/>
                  <w:rFonts w:ascii="Times New Roman;serif" w:hAnsi="Times New Roman;serif"/>
                  <w:b w:val="false"/>
                  <w:strike w:val="false"/>
                  <w:dstrike w:val="false"/>
                  <w:color w:val="000000"/>
                  <w:sz w:val="20"/>
                  <w:u w:val="none"/>
                  <w:effect w:val="none"/>
                </w:rPr>
                <w:t>7</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79">
              <w:r>
                <w:rPr>
                  <w:rStyle w:val="InternetLink"/>
                  <w:rFonts w:ascii="Times New Roman;serif" w:hAnsi="Times New Roman;serif"/>
                  <w:b w:val="false"/>
                  <w:strike w:val="false"/>
                  <w:dstrike w:val="false"/>
                  <w:color w:val="000000"/>
                  <w:sz w:val="20"/>
                  <w:u w:val="none"/>
                  <w:effect w:val="none"/>
                </w:rPr>
                <w:t>Item 2.</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79">
              <w:r>
                <w:rPr>
                  <w:rStyle w:val="InternetLink"/>
                  <w:rFonts w:ascii="Times New Roman;serif" w:hAnsi="Times New Roman;serif"/>
                  <w:b w:val="false"/>
                  <w:strike w:val="false"/>
                  <w:dstrike w:val="false"/>
                  <w:color w:val="000000"/>
                  <w:sz w:val="20"/>
                  <w:u w:val="none"/>
                  <w:effect w:val="none"/>
                </w:rPr>
                <w:t>16</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1">
              <w:r>
                <w:rPr>
                  <w:rStyle w:val="InternetLink"/>
                  <w:rFonts w:ascii="Times New Roman;serif" w:hAnsi="Times New Roman;serif"/>
                  <w:b w:val="false"/>
                  <w:strike w:val="false"/>
                  <w:dstrike w:val="false"/>
                  <w:color w:val="000000"/>
                  <w:sz w:val="20"/>
                  <w:u w:val="none"/>
                  <w:effect w:val="none"/>
                </w:rPr>
                <w:t>Item 3.</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1">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21">
              <w:r>
                <w:rPr>
                  <w:rStyle w:val="InternetLink"/>
                  <w:rFonts w:ascii="Times New Roman;serif" w:hAnsi="Times New Roman;serif"/>
                  <w:b w:val="false"/>
                  <w:strike w:val="false"/>
                  <w:dstrike w:val="false"/>
                  <w:color w:val="000000"/>
                  <w:sz w:val="20"/>
                  <w:u w:val="none"/>
                  <w:effect w:val="none"/>
                </w:rPr>
                <w:t>29</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4">
              <w:r>
                <w:rPr>
                  <w:rStyle w:val="InternetLink"/>
                  <w:rFonts w:ascii="Times New Roman;serif" w:hAnsi="Times New Roman;serif"/>
                  <w:b w:val="false"/>
                  <w:strike w:val="false"/>
                  <w:dstrike w:val="false"/>
                  <w:color w:val="000000"/>
                  <w:sz w:val="20"/>
                  <w:u w:val="none"/>
                  <w:effect w:val="none"/>
                </w:rPr>
                <w:t>Item 4.</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4">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24">
              <w:r>
                <w:rPr>
                  <w:rStyle w:val="InternetLink"/>
                  <w:rFonts w:ascii="Times New Roman;serif" w:hAnsi="Times New Roman;serif"/>
                  <w:b w:val="false"/>
                  <w:strike w:val="false"/>
                  <w:dstrike w:val="false"/>
                  <w:color w:val="000000"/>
                  <w:sz w:val="20"/>
                  <w:u w:val="none"/>
                  <w:effect w:val="none"/>
                </w:rPr>
                <w:t>29</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7">
              <w:r>
                <w:rPr>
                  <w:rStyle w:val="InternetLink"/>
                  <w:rFonts w:ascii="Times New Roman;serif" w:hAnsi="Times New Roman;serif"/>
                  <w:b/>
                  <w:strike w:val="false"/>
                  <w:dstrike w:val="false"/>
                  <w:color w:val="000000"/>
                  <w:sz w:val="20"/>
                  <w:u w:val="none"/>
                  <w:effect w:val="none"/>
                </w:rPr>
                <w:t>PART II.</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27">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27">
              <w:r>
                <w:rPr>
                  <w:rStyle w:val="InternetLink"/>
                  <w:rFonts w:ascii="Times New Roman;serif" w:hAnsi="Times New Roman;serif"/>
                  <w:b w:val="false"/>
                  <w:strike w:val="false"/>
                  <w:dstrike w:val="false"/>
                  <w:color w:val="000000"/>
                  <w:sz w:val="20"/>
                  <w:u w:val="none"/>
                  <w:effect w:val="none"/>
                </w:rPr>
                <w:t>30</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0">
              <w:r>
                <w:rPr>
                  <w:rStyle w:val="InternetLink"/>
                  <w:rFonts w:ascii="Times New Roman;serif" w:hAnsi="Times New Roman;serif"/>
                  <w:b w:val="false"/>
                  <w:strike w:val="false"/>
                  <w:dstrike w:val="false"/>
                  <w:color w:val="000000"/>
                  <w:sz w:val="20"/>
                  <w:u w:val="none"/>
                  <w:effect w:val="none"/>
                </w:rPr>
                <w:t>Item 1.</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0">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30">
              <w:r>
                <w:rPr>
                  <w:rStyle w:val="InternetLink"/>
                  <w:rFonts w:ascii="Times New Roman;serif" w:hAnsi="Times New Roman;serif"/>
                  <w:b w:val="false"/>
                  <w:strike w:val="false"/>
                  <w:dstrike w:val="false"/>
                  <w:color w:val="000000"/>
                  <w:sz w:val="20"/>
                  <w:u w:val="none"/>
                  <w:effect w:val="none"/>
                </w:rPr>
                <w:t>30</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3">
              <w:r>
                <w:rPr>
                  <w:rStyle w:val="InternetLink"/>
                  <w:rFonts w:ascii="Times New Roman;serif" w:hAnsi="Times New Roman;serif"/>
                  <w:b w:val="false"/>
                  <w:strike w:val="false"/>
                  <w:dstrike w:val="false"/>
                  <w:color w:val="000000"/>
                  <w:sz w:val="20"/>
                  <w:u w:val="none"/>
                  <w:effect w:val="none"/>
                </w:rPr>
                <w:t>Item 1A.</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3">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33">
              <w:r>
                <w:rPr>
                  <w:rStyle w:val="InternetLink"/>
                  <w:rFonts w:ascii="Times New Roman;serif" w:hAnsi="Times New Roman;serif"/>
                  <w:b w:val="false"/>
                  <w:strike w:val="false"/>
                  <w:dstrike w:val="false"/>
                  <w:color w:val="000000"/>
                  <w:sz w:val="20"/>
                  <w:u w:val="none"/>
                  <w:effect w:val="none"/>
                </w:rPr>
                <w:t>30</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6">
              <w:r>
                <w:rPr>
                  <w:rStyle w:val="InternetLink"/>
                  <w:rFonts w:ascii="Times New Roman;serif" w:hAnsi="Times New Roman;serif"/>
                  <w:b w:val="false"/>
                  <w:strike w:val="false"/>
                  <w:dstrike w:val="false"/>
                  <w:color w:val="000000"/>
                  <w:sz w:val="20"/>
                  <w:u w:val="none"/>
                  <w:effect w:val="none"/>
                </w:rPr>
                <w:t>Item 2.</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6">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36">
              <w:r>
                <w:rPr>
                  <w:rStyle w:val="InternetLink"/>
                  <w:rFonts w:ascii="Times New Roman;serif" w:hAnsi="Times New Roman;serif"/>
                  <w:b w:val="false"/>
                  <w:strike w:val="false"/>
                  <w:dstrike w:val="false"/>
                  <w:color w:val="000000"/>
                  <w:sz w:val="20"/>
                  <w:u w:val="none"/>
                  <w:effect w:val="none"/>
                </w:rPr>
                <w:t>31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9">
              <w:r>
                <w:rPr>
                  <w:rStyle w:val="InternetLink"/>
                  <w:rFonts w:ascii="Times New Roman;serif" w:hAnsi="Times New Roman;serif"/>
                  <w:b w:val="false"/>
                  <w:strike w:val="false"/>
                  <w:dstrike w:val="false"/>
                  <w:color w:val="000000"/>
                  <w:sz w:val="20"/>
                  <w:u w:val="none"/>
                  <w:effect w:val="none"/>
                </w:rPr>
                <w:t>Item 3.</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39">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39">
              <w:r>
                <w:rPr>
                  <w:rStyle w:val="InternetLink"/>
                  <w:rFonts w:ascii="Times New Roman;serif" w:hAnsi="Times New Roman;serif"/>
                  <w:b w:val="false"/>
                  <w:strike w:val="false"/>
                  <w:dstrike w:val="false"/>
                  <w:color w:val="000000"/>
                  <w:sz w:val="20"/>
                  <w:u w:val="none"/>
                  <w:effect w:val="none"/>
                </w:rPr>
                <w:t>31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2">
              <w:r>
                <w:rPr>
                  <w:rStyle w:val="InternetLink"/>
                  <w:rFonts w:ascii="Times New Roman;serif" w:hAnsi="Times New Roman;serif"/>
                  <w:b w:val="false"/>
                  <w:strike w:val="false"/>
                  <w:dstrike w:val="false"/>
                  <w:color w:val="000000"/>
                  <w:sz w:val="20"/>
                  <w:u w:val="none"/>
                  <w:effect w:val="none"/>
                </w:rPr>
                <w:t>Item 4.</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2">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42">
              <w:r>
                <w:rPr>
                  <w:rStyle w:val="InternetLink"/>
                  <w:rFonts w:ascii="Times New Roman;serif" w:hAnsi="Times New Roman;serif"/>
                  <w:b w:val="false"/>
                  <w:strike w:val="false"/>
                  <w:dstrike w:val="false"/>
                  <w:color w:val="000000"/>
                  <w:sz w:val="20"/>
                  <w:u w:val="none"/>
                  <w:effect w:val="none"/>
                </w:rPr>
                <w:t>31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5">
              <w:r>
                <w:rPr>
                  <w:rStyle w:val="InternetLink"/>
                  <w:rFonts w:ascii="Times New Roman;serif" w:hAnsi="Times New Roman;serif"/>
                  <w:b w:val="false"/>
                  <w:strike w:val="false"/>
                  <w:dstrike w:val="false"/>
                  <w:color w:val="000000"/>
                  <w:sz w:val="20"/>
                  <w:u w:val="none"/>
                  <w:effect w:val="none"/>
                </w:rPr>
                <w:t>Item 5.</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5">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45">
              <w:r>
                <w:rPr>
                  <w:rStyle w:val="InternetLink"/>
                  <w:rFonts w:ascii="Times New Roman;serif" w:hAnsi="Times New Roman;serif"/>
                  <w:b w:val="false"/>
                  <w:strike w:val="false"/>
                  <w:dstrike w:val="false"/>
                  <w:color w:val="000000"/>
                  <w:sz w:val="20"/>
                  <w:u w:val="none"/>
                  <w:effect w:val="none"/>
                </w:rPr>
                <w:t>31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8">
              <w:r>
                <w:rPr>
                  <w:rStyle w:val="InternetLink"/>
                  <w:rFonts w:ascii="Times New Roman;serif" w:hAnsi="Times New Roman;serif"/>
                  <w:b w:val="false"/>
                  <w:strike w:val="false"/>
                  <w:dstrike w:val="false"/>
                  <w:color w:val="000000"/>
                  <w:sz w:val="20"/>
                  <w:u w:val="none"/>
                  <w:effect w:val="none"/>
                </w:rPr>
                <w:t>Item 6.</w:t>
              </w:r>
            </w:hyperlink>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48">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48">
              <w:r>
                <w:rPr>
                  <w:rStyle w:val="InternetLink"/>
                  <w:rFonts w:ascii="Times New Roman;serif" w:hAnsi="Times New Roman;serif"/>
                  <w:b w:val="false"/>
                  <w:strike w:val="false"/>
                  <w:dstrike w:val="false"/>
                  <w:color w:val="000000"/>
                  <w:sz w:val="20"/>
                  <w:u w:val="none"/>
                  <w:effect w:val="none"/>
                </w:rPr>
                <w:t>32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be6f4ab56249e1b8d44c654d94c63a_151">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be6f4ab56249e1b8d44c654d94c63a_151">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pPr>
      <w:r>
        <w:rPr>
          <w:rFonts w:ascii="Times New Roman;serif" w:hAnsi="Times New Roman;serif"/>
          <w:b w:val="false"/>
          <w:color w:val="000000"/>
          <w:sz w:val="20"/>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w:t>
      </w:r>
      <w:r>
        <w:rPr>
          <w:color w:val="65B4B4"/>
        </w:rPr>
        <w:t xml:space="preserve"> </w:t>
      </w:r>
      <w:r>
        <w:rPr>
          <w:color w:val="000000"/>
        </w:rPr>
        <w:t>“</w:t>
      </w:r>
      <w:r>
        <w:rPr>
          <w:rFonts w:ascii="Times New Roman;serif" w:hAnsi="Times New Roman;serif"/>
          <w:b w:val="false"/>
          <w:color w:val="000000"/>
          <w:sz w:val="20"/>
        </w:rPr>
        <w:t>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2025 and as updated in our Quarterly Reports on Form 10-Q. You should specifically consider the numerous risks outlined in the “Risk Factors” sections. These risks and uncertainties include factors related to:</w:t>
      </w:r>
    </w:p>
    <w:p>
      <w:pPr>
        <w:pStyle w:val="TextBody"/>
        <w:bidi w:val="0"/>
        <w:spacing w:before="0" w:after="0"/>
        <w:jc w:val="left"/>
        <w:rPr/>
      </w:pPr>
      <w:r>
        <w:rPr/>
      </w:r>
    </w:p>
    <w:p>
      <w:pPr>
        <w:pStyle w:val="TextBody"/>
        <w:bidi w:val="0"/>
        <w:spacing w:lineRule="auto" w:line="288" w:before="0" w:after="0"/>
        <w:ind w:left="0" w:right="0" w:hanging="490"/>
        <w:jc w:val="left"/>
        <w:rPr/>
      </w:pPr>
      <w:r>
        <w:rPr>
          <w:color w:val="000000"/>
        </w:rPr>
        <w:t>•</w:t>
      </w:r>
      <w:r>
        <w:rPr>
          <w:rFonts w:ascii="Times New Roman;serif" w:hAnsi="Times New Roman;serif"/>
          <w:b w:val="false"/>
          <w:color w:val="000000"/>
          <w:sz w:val="20"/>
        </w:rPr>
        <w:t>changes in consumer preferences, lifestyle, economic circumstances and environmental concerns, as well as changes in current or future laws and regulations related to environmental matters;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relationships with our major customers, consolidation of our customer bases and loss of a significant customer;</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competition and pricing pressures;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loss of, or disruption at, any of our key manufacturing facilities;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our suppliers of raw materials and any interruption in our supply of raw materials;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loss due to an accident, labor issues, weather conditions, natural disaster, or disease outbreak, including epidemics, pandemics or similar widespread public health concerns;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costs of raw materials, energy, labor and freight, including the impact of tariffs, trade sanctions and similar matters affecting our importation of certain raw materials and other products;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labor shortages and increased labor costs;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our ability to develop and maintain brands that are critical to our success;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economic downturns in our target markets;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our ability to acquire businesses;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impacts from inflationary trends;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difficulty meeting our sales growth objectives and innovation goals; and</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changes in market interest rates and the availability of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these factors and about the material factors or assumptions underlying such forward-looking statements is included in our Annual Report on Form 10-K for the fiscal year ended December 31, 2025, which was filed on February 4, 2026, under Part I, Item 1A. “Risk Factors” and as updated in our Quarterly Reports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494" w:type="dxa"/>
        <w:jc w:val="left"/>
        <w:tblInd w:w="0" w:type="dxa"/>
        <w:tblLayout w:type="fixed"/>
        <w:tblCellMar>
          <w:top w:w="28" w:type="dxa"/>
          <w:left w:w="28" w:type="dxa"/>
          <w:bottom w:w="28" w:type="dxa"/>
          <w:right w:w="28" w:type="dxa"/>
        </w:tblCellMar>
      </w:tblPr>
      <w:tblGrid>
        <w:gridCol w:w="1350"/>
        <w:gridCol w:w="1191"/>
        <w:gridCol w:w="1194"/>
        <w:gridCol w:w="232"/>
        <w:gridCol w:w="562"/>
        <w:gridCol w:w="120"/>
        <w:gridCol w:w="120"/>
        <w:gridCol w:w="120"/>
        <w:gridCol w:w="120"/>
        <w:gridCol w:w="232"/>
        <w:gridCol w:w="562"/>
        <w:gridCol w:w="120"/>
        <w:gridCol w:w="109"/>
        <w:gridCol w:w="109"/>
        <w:gridCol w:w="109"/>
        <w:gridCol w:w="211"/>
        <w:gridCol w:w="616"/>
        <w:gridCol w:w="109"/>
        <w:gridCol w:w="109"/>
        <w:gridCol w:w="109"/>
        <w:gridCol w:w="109"/>
        <w:gridCol w:w="211"/>
        <w:gridCol w:w="61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net revenues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944</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938</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1,756</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415</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79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w:t>
            </w:r>
            <w:r>
              <w:rPr>
                <w:color w:val="000000"/>
              </w:rPr>
              <w:t>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w:t>
            </w:r>
            <w:r>
              <w:rPr>
                <w:color w:val="000000"/>
              </w:rPr>
              <w:t>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expense</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42" w:type="dxa"/>
        <w:jc w:val="center"/>
        <w:tblInd w:w="0" w:type="dxa"/>
        <w:tblLayout w:type="fixed"/>
        <w:tblCellMar>
          <w:top w:w="28" w:type="dxa"/>
          <w:left w:w="28" w:type="dxa"/>
          <w:bottom w:w="28" w:type="dxa"/>
          <w:right w:w="28" w:type="dxa"/>
        </w:tblCellMar>
      </w:tblPr>
      <w:tblGrid>
        <w:gridCol w:w="1699"/>
        <w:gridCol w:w="1491"/>
        <w:gridCol w:w="1505"/>
        <w:gridCol w:w="268"/>
        <w:gridCol w:w="479"/>
        <w:gridCol w:w="138"/>
        <w:gridCol w:w="138"/>
        <w:gridCol w:w="138"/>
        <w:gridCol w:w="138"/>
        <w:gridCol w:w="268"/>
        <w:gridCol w:w="479"/>
        <w:gridCol w:w="138"/>
        <w:gridCol w:w="109"/>
        <w:gridCol w:w="109"/>
        <w:gridCol w:w="109"/>
        <w:gridCol w:w="219"/>
        <w:gridCol w:w="501"/>
        <w:gridCol w:w="113"/>
        <w:gridCol w:w="113"/>
        <w:gridCol w:w="113"/>
        <w:gridCol w:w="113"/>
        <w:gridCol w:w="219"/>
        <w:gridCol w:w="485"/>
        <w:gridCol w:w="160"/>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income taxes</w:t>
            </w:r>
          </w:p>
        </w:tc>
        <w:tc>
          <w:tcPr>
            <w:tcW w:w="7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6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w:t>
            </w:r>
            <w:r>
              <w:rPr>
                <w:color w:val="000000"/>
              </w:rPr>
              <w:t> </w:t>
            </w:r>
          </w:p>
        </w:tc>
        <w:tc>
          <w:tcPr>
            <w:tcW w:w="13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3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w:t>
            </w:r>
            <w:r>
              <w:rPr>
                <w:color w:val="000000"/>
              </w:rPr>
              <w:t> </w:t>
            </w:r>
          </w:p>
        </w:tc>
        <w:tc>
          <w:tcPr>
            <w:tcW w:w="113"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5"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w:t>
            </w:r>
            <w:r>
              <w:rPr>
                <w:color w:val="000000"/>
              </w:rPr>
              <w:t> </w:t>
            </w:r>
          </w:p>
        </w:tc>
        <w:tc>
          <w:tcPr>
            <w:tcW w:w="160"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12"/>
        <w:gridCol w:w="2273"/>
        <w:gridCol w:w="2291"/>
        <w:gridCol w:w="257"/>
        <w:gridCol w:w="769"/>
        <w:gridCol w:w="132"/>
        <w:gridCol w:w="109"/>
        <w:gridCol w:w="109"/>
        <w:gridCol w:w="109"/>
        <w:gridCol w:w="326"/>
        <w:gridCol w:w="976"/>
        <w:gridCol w:w="242"/>
      </w:tblGrid>
      <w:tr>
        <w:trPr/>
        <w:tc>
          <w:tcPr>
            <w:tcW w:w="261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of 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$1 and $2)</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1,185</w:t>
            </w:r>
            <w:r>
              <w:rPr>
                <w:color w:val="000000"/>
              </w:rPr>
              <w:t>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1,116</w:t>
            </w:r>
            <w:r>
              <w:rPr>
                <w:color w:val="000000"/>
              </w:rPr>
              <w:t> </w:t>
            </w:r>
          </w:p>
        </w:tc>
        <w:tc>
          <w:tcPr>
            <w:tcW w:w="2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$1,081 and $1,034)</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5,079</w:t>
            </w:r>
            <w:r>
              <w:rPr>
                <w:color w:val="000000"/>
              </w:rPr>
              <w:t>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4,936</w:t>
            </w:r>
            <w:r>
              <w:rPr>
                <w:color w:val="000000"/>
              </w:rPr>
              <w:t> </w:t>
            </w:r>
          </w:p>
        </w:tc>
        <w:tc>
          <w:tcPr>
            <w:tcW w:w="2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58"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660</w:t>
            </w:r>
            <w:r>
              <w:rPr>
                <w:color w:val="000000"/>
              </w:rPr>
              <w:t>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577</w:t>
            </w:r>
            <w:r>
              <w:rPr>
                <w:color w:val="000000"/>
              </w:rPr>
              <w:t> </w:t>
            </w:r>
          </w:p>
        </w:tc>
        <w:tc>
          <w:tcPr>
            <w:tcW w:w="2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postretirement benefit obligation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2,769</w:t>
            </w:r>
            <w:r>
              <w:rPr>
                <w:color w:val="000000"/>
              </w:rPr>
              <w:t>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2,683</w:t>
            </w:r>
            <w:r>
              <w:rPr>
                <w:color w:val="000000"/>
              </w:rPr>
              <w:t> </w:t>
            </w:r>
          </w:p>
        </w:tc>
        <w:tc>
          <w:tcPr>
            <w:tcW w:w="2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 shares authorized; 210.8 shares issued and outstanding</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2,310</w:t>
            </w:r>
            <w:r>
              <w:rPr>
                <w:color w:val="000000"/>
              </w:rPr>
              <w:t> </w:t>
            </w:r>
          </w:p>
        </w:tc>
        <w:tc>
          <w:tcPr>
            <w:tcW w:w="13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2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57"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5,079</w:t>
            </w:r>
            <w:r>
              <w:rPr>
                <w:color w:val="000000"/>
              </w:rPr>
              <w:t> </w:t>
            </w:r>
          </w:p>
        </w:tc>
        <w:tc>
          <w:tcPr>
            <w:tcW w:w="132"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4,936</w:t>
            </w:r>
            <w:r>
              <w:rPr>
                <w:color w:val="000000"/>
              </w:rPr>
              <w:t> </w:t>
            </w:r>
          </w:p>
        </w:tc>
        <w:tc>
          <w:tcPr>
            <w:tcW w:w="242"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for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92" w:type="dxa"/>
        <w:jc w:val="center"/>
        <w:tblInd w:w="0" w:type="dxa"/>
        <w:tblLayout w:type="fixed"/>
        <w:tblCellMar>
          <w:top w:w="28" w:type="dxa"/>
          <w:left w:w="28" w:type="dxa"/>
          <w:bottom w:w="28" w:type="dxa"/>
          <w:right w:w="28" w:type="dxa"/>
        </w:tblCellMar>
      </w:tblPr>
      <w:tblGrid>
        <w:gridCol w:w="1502"/>
        <w:gridCol w:w="1324"/>
        <w:gridCol w:w="1328"/>
        <w:gridCol w:w="222"/>
        <w:gridCol w:w="428"/>
        <w:gridCol w:w="116"/>
        <w:gridCol w:w="109"/>
        <w:gridCol w:w="109"/>
        <w:gridCol w:w="109"/>
        <w:gridCol w:w="211"/>
        <w:gridCol w:w="631"/>
        <w:gridCol w:w="109"/>
        <w:gridCol w:w="109"/>
        <w:gridCol w:w="109"/>
        <w:gridCol w:w="109"/>
        <w:gridCol w:w="211"/>
        <w:gridCol w:w="481"/>
        <w:gridCol w:w="109"/>
        <w:gridCol w:w="109"/>
        <w:gridCol w:w="109"/>
        <w:gridCol w:w="109"/>
        <w:gridCol w:w="368"/>
        <w:gridCol w:w="656"/>
        <w:gridCol w:w="192"/>
        <w:gridCol w:w="109"/>
        <w:gridCol w:w="109"/>
        <w:gridCol w:w="109"/>
        <w:gridCol w:w="211"/>
        <w:gridCol w:w="631"/>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w:t>
            </w:r>
            <w:r>
              <w:rPr>
                <w:color w:val="000000"/>
              </w:rPr>
              <w:t> </w:t>
            </w:r>
          </w:p>
        </w:tc>
        <w:tc>
          <w:tcPr>
            <w:tcW w:w="19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2,142</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income taxes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($0.23 per share declared and paid)</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1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2,122</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income taxes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($0.23 per share declared and paid)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9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($0.23 per share declared and paid)</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2,265</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($0.23 per share declared and paid)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w:t>
            </w:r>
            <w:r>
              <w:rPr>
                <w:color w:val="000000"/>
              </w:rPr>
              <w:t>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2be6f4ab56249e1b8d44c654d94c63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13" w:type="dxa"/>
        <w:jc w:val="center"/>
        <w:tblInd w:w="0" w:type="dxa"/>
        <w:tblLayout w:type="fixed"/>
        <w:tblCellMar>
          <w:top w:w="28" w:type="dxa"/>
          <w:left w:w="28" w:type="dxa"/>
          <w:bottom w:w="28" w:type="dxa"/>
          <w:right w:w="28" w:type="dxa"/>
        </w:tblCellMar>
      </w:tblPr>
      <w:tblGrid>
        <w:gridCol w:w="1832"/>
        <w:gridCol w:w="1613"/>
        <w:gridCol w:w="1624"/>
        <w:gridCol w:w="211"/>
        <w:gridCol w:w="466"/>
        <w:gridCol w:w="109"/>
        <w:gridCol w:w="109"/>
        <w:gridCol w:w="109"/>
        <w:gridCol w:w="109"/>
        <w:gridCol w:w="211"/>
        <w:gridCol w:w="466"/>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operating cash flows: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 receivable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7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used in financing activities</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Proceeds from term loan refinancing</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Repayments of existing term loan</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 long-term debt, net of interest rate swaps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cash inflows and outflows due to changes in term loan lender composition.</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Reynolds Consumer Products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shd w:fill="FFFFFF" w:val="clear"/>
        </w:rPr>
        <w:t xml:space="preserve">Note </w:t>
      </w:r>
      <w:r>
        <w:rPr>
          <w:rFonts w:ascii="Times New Roman;serif" w:hAnsi="Times New Roman;serif"/>
          <w:b/>
          <w:color w:val="000000"/>
          <w:sz w:val="20"/>
        </w:rPr>
        <w:t>1 – Description of Business and Basis of Presentation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Kitchen Essentials; Hefty Waste &amp; Clean-Up; Hefty Home &amp; Tableware; and Hefty Storage &amp; Organization. Refer to Note 9 - Segment Information for details of a segment reorganization that took place during the three months ended March 31, 2026.</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policies described in our Annual Report on Form 10-K for the year ended December 31, 2025,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Non-Cash Lease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$26 million in new operating lease right-of-use assets and $34 million in new finance lease right-of-use assets, all obtained in exchange for corresponding lease liabilities. During the six months ended June 30, 2025, we recorded $20 million in new operating lease right-of-use assets obtained in exchange for corresponding lease liabilities and had no new finance lease right-of-use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Supply Chain Financing: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 </w:t>
      </w:r>
    </w:p>
    <w:p>
      <w:pPr>
        <w:pStyle w:val="TextBody"/>
        <w:bidi w:val="0"/>
        <w:spacing w:lineRule="auto" w:line="288" w:before="240" w:after="283"/>
        <w:jc w:val="both"/>
        <w:rPr/>
      </w:pPr>
      <w:r>
        <w:rPr>
          <w:rFonts w:ascii="Times New Roman;serif" w:hAnsi="Times New Roman;serif"/>
          <w:b w:val="false"/>
          <w:color w:val="000000"/>
          <w:sz w:val="20"/>
        </w:rPr>
        <w:t>All outstanding amounts related to suppliers participating in the SCF are recorded within accounts payable in the condensed consolidated balance sheet and associated payments are included as an operating cash flow in the condensed consolidated statement of cash flows. As of June 30, 2026 and December 31, 2025, the amount of obligations outstanding that we have confirmed as valid under the SCF w</w:t>
      </w:r>
      <w:r>
        <w:rPr>
          <w:rFonts w:ascii="Times New Roman;serif" w:hAnsi="Times New Roman;serif"/>
          <w:b w:val="false"/>
          <w:color w:val="000000"/>
          <w:sz w:val="20"/>
          <w:shd w:fill="FFFFFF" w:val="clear"/>
        </w:rPr>
        <w:t xml:space="preserve">as $8 million and $9 million, respectively.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both"/>
        <w:rPr>
          <w:rFonts w:ascii="Times New Roman;serif" w:hAnsi="Times New Roman;serif"/>
          <w:b w:val="false"/>
          <w:i/>
          <w:color w:val="212529"/>
          <w:sz w:val="20"/>
        </w:rPr>
      </w:pPr>
      <w:r>
        <w:rPr>
          <w:rFonts w:ascii="Times New Roman;serif" w:hAnsi="Times New Roman;serif"/>
          <w:b w:val="false"/>
          <w:i/>
          <w:color w:val="212529"/>
          <w:sz w:val="20"/>
        </w:rPr>
        <w:t>Accounts Receivable Factoring: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are party to a factoring agreement with a global financial institution to sell certain accounts receivable up to</w:t>
      </w:r>
      <w:r>
        <w:rPr>
          <w:color w:val="212529"/>
        </w:rPr>
        <w:t xml:space="preserve"> </w:t>
      </w:r>
      <w:r>
        <w:rPr>
          <w:rFonts w:ascii="Times New Roman;serif" w:hAnsi="Times New Roman;serif"/>
          <w:b w:val="false"/>
          <w:color w:val="212529"/>
          <w:sz w:val="20"/>
        </w:rPr>
        <w:t xml:space="preserve">$95 million. Factored receivables as of </w:t>
      </w:r>
      <w:r>
        <w:rPr>
          <w:rFonts w:ascii="Times New Roman;serif" w:hAnsi="Times New Roman;serif"/>
          <w:b w:val="false"/>
          <w:color w:val="000000"/>
          <w:sz w:val="20"/>
        </w:rPr>
        <w:t>June 30, 2026 were</w:t>
      </w:r>
      <w:r>
        <w:rPr>
          <w:color w:val="212529"/>
        </w:rPr>
        <w:t xml:space="preserve"> </w:t>
      </w:r>
      <w:r>
        <w:rPr>
          <w:rFonts w:ascii="Times New Roman;serif" w:hAnsi="Times New Roman;serif"/>
          <w:b w:val="false"/>
          <w:color w:val="212529"/>
          <w:sz w:val="20"/>
          <w:shd w:fill="FFFFFF" w:val="clear"/>
        </w:rPr>
        <w:t>$38 million.</w:t>
      </w:r>
      <w:r>
        <w:rPr>
          <w:color w:val="212529"/>
        </w:rPr>
        <w:t xml:space="preserve"> </w:t>
      </w:r>
      <w:r>
        <w:rPr>
          <w:rFonts w:ascii="Times New Roman;serif" w:hAnsi="Times New Roman;serif"/>
          <w:b w:val="false"/>
          <w:color w:val="212529"/>
          <w:sz w:val="20"/>
        </w:rPr>
        <w:t>Transactions under 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2 – New Accounting Standards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Guidance Issued But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which will require additional disclosure about specific expense categories included in the income statement. Annual disclosure requirements will be effective for us in our Annual Report on Form 10-K for the fiscal year ending December 31, 2026, and quarterly disclosure requirements will be effective for us in the first quarter of 2027, with early adoption permitted.</w:t>
      </w:r>
      <w:r>
        <w:rPr>
          <w:color w:val="000000"/>
        </w:rPr>
        <w:t xml:space="preserve"> </w:t>
      </w:r>
      <w:r>
        <w:rPr>
          <w:rFonts w:ascii="Times New Roman;serif" w:hAnsi="Times New Roman;serif"/>
          <w:b w:val="false"/>
          <w:color w:val="000000"/>
          <w:sz w:val="20"/>
        </w:rPr>
        <w:t>We are currently assessing the impact of this standard on our condensed consolidated financial statements and related disclosures.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FASB issued ASU 2025-06, </w:t>
      </w:r>
      <w:r>
        <w:rPr>
          <w:rFonts w:ascii="Times New Roman;serif" w:hAnsi="Times New Roman;serif"/>
          <w:b w:val="false"/>
          <w:i/>
          <w:color w:val="000000"/>
          <w:sz w:val="20"/>
        </w:rPr>
        <w:t xml:space="preserve">Intangibles - Goodwill and Other - Internal-Use Software (Subtopic 350-40), </w:t>
      </w:r>
      <w:r>
        <w:rPr>
          <w:rFonts w:ascii="Times New Roman;serif" w:hAnsi="Times New Roman;serif"/>
          <w:b w:val="false"/>
          <w:color w:val="000000"/>
          <w:sz w:val="20"/>
        </w:rPr>
        <w:t>which updates the accounting for internal-use software costs by increasing the operability of the recognition guidance considering different methods of software development. This ASU is effective for annual reporting periods beginning after December 15, 2027, and interim reporting periods within those annual reporting periods, with early adoption permitted. We are currently assessing the impact of this standard on our condensed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November 2025, FASB issued ASU 2025-09,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xml:space="preserve">, which updates hedge accounting requirements. This ASU is effective for annual reporting periods beginning after December 15, 2026, and interim reporting periods within those annual reporting periods, with early adoption permitted. We are currently assessing the impact of this standard on our condensed consolidated financial statements. </w:t>
      </w:r>
    </w:p>
    <w:p>
      <w:pPr>
        <w:pStyle w:val="TextBody"/>
        <w:bidi w:val="0"/>
        <w:spacing w:lineRule="auto" w:line="288" w:before="240" w:after="283"/>
        <w:jc w:val="both"/>
        <w:rPr/>
      </w:pPr>
      <w:r>
        <w:rPr>
          <w:rFonts w:ascii="Times New Roman;serif" w:hAnsi="Times New Roman;serif"/>
          <w:b w:val="false"/>
          <w:color w:val="000000"/>
          <w:sz w:val="20"/>
        </w:rPr>
        <w:t xml:space="preserve">In December 2025, FASB issued ASU 2025-11, </w:t>
      </w:r>
      <w:r>
        <w:rPr>
          <w:rFonts w:ascii="Times New Roman;serif" w:hAnsi="Times New Roman;serif"/>
          <w:b w:val="false"/>
          <w:i/>
          <w:color w:val="000000"/>
          <w:sz w:val="20"/>
        </w:rPr>
        <w:t xml:space="preserve">Interim Reporting (Topic 270): Narrow Scope Improvements, </w:t>
      </w:r>
      <w:r>
        <w:rPr>
          <w:rFonts w:ascii="Times New Roman;serif" w:hAnsi="Times New Roman;serif"/>
          <w:b w:val="false"/>
          <w:color w:val="000000"/>
          <w:sz w:val="20"/>
        </w:rPr>
        <w:t xml:space="preserve">which clarifies interim disclosure requirements. This ASU is effective for interim reporting periods beginning after December 15, 2027, with early adoption permitted. We are currently assessing the impact of this standard on our condensed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3 –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3767" w:type="dxa"/>
        <w:jc w:val="left"/>
        <w:tblInd w:w="0" w:type="dxa"/>
        <w:tblLayout w:type="fixed"/>
        <w:tblCellMar>
          <w:top w:w="28" w:type="dxa"/>
          <w:left w:w="28" w:type="dxa"/>
          <w:bottom w:w="28" w:type="dxa"/>
          <w:right w:w="28" w:type="dxa"/>
        </w:tblCellMar>
      </w:tblPr>
      <w:tblGrid>
        <w:gridCol w:w="543"/>
        <w:gridCol w:w="476"/>
        <w:gridCol w:w="480"/>
        <w:gridCol w:w="211"/>
        <w:gridCol w:w="481"/>
        <w:gridCol w:w="109"/>
        <w:gridCol w:w="109"/>
        <w:gridCol w:w="109"/>
        <w:gridCol w:w="109"/>
        <w:gridCol w:w="284"/>
        <w:gridCol w:w="648"/>
        <w:gridCol w:w="208"/>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1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718</w:t>
            </w:r>
            <w:r>
              <w:rPr>
                <w:color w:val="000000"/>
              </w:rPr>
              <w:t> </w:t>
            </w:r>
          </w:p>
        </w:tc>
        <w:tc>
          <w:tcPr>
            <w:tcW w:w="10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584</w:t>
            </w:r>
            <w:r>
              <w:rPr>
                <w:color w:val="000000"/>
              </w:rPr>
              <w:t> </w:t>
            </w:r>
          </w:p>
        </w:tc>
        <w:tc>
          <w:tcPr>
            <w:tcW w:w="208"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60" w:after="283"/>
        <w:jc w:val="left"/>
        <w:rPr/>
      </w:pPr>
      <w:r>
        <w:rPr>
          <w:rFonts w:ascii="Times New Roman;serif" w:hAnsi="Times New Roman;serif"/>
          <w:b/>
          <w:color w:val="000000"/>
          <w:sz w:val="20"/>
          <w:shd w:fill="FFFFFF" w:val="clear"/>
        </w:rPr>
        <w:t xml:space="preserve">Note </w:t>
      </w:r>
      <w:r>
        <w:rPr>
          <w:rFonts w:ascii="Times New Roman;serif" w:hAnsi="Times New Roman;serif"/>
          <w:b/>
          <w:color w:val="000000"/>
          <w:sz w:val="20"/>
        </w:rPr>
        <w:t>4 –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p>
      <w:pPr>
        <w:pStyle w:val="TextBody"/>
        <w:bidi w:val="0"/>
        <w:spacing w:before="0" w:after="0"/>
        <w:jc w:val="both"/>
        <w:rPr/>
      </w:pPr>
      <w:r>
        <w:rPr/>
      </w:r>
    </w:p>
    <w:tbl>
      <w:tblPr>
        <w:tblW w:w="5447" w:type="dxa"/>
        <w:jc w:val="left"/>
        <w:tblInd w:w="0" w:type="dxa"/>
        <w:tblLayout w:type="fixed"/>
        <w:tblCellMar>
          <w:top w:w="28" w:type="dxa"/>
          <w:left w:w="28" w:type="dxa"/>
          <w:bottom w:w="28" w:type="dxa"/>
          <w:right w:w="28" w:type="dxa"/>
        </w:tblCellMar>
      </w:tblPr>
      <w:tblGrid>
        <w:gridCol w:w="1095"/>
        <w:gridCol w:w="966"/>
        <w:gridCol w:w="969"/>
        <w:gridCol w:w="211"/>
        <w:gridCol w:w="631"/>
        <w:gridCol w:w="109"/>
        <w:gridCol w:w="109"/>
        <w:gridCol w:w="109"/>
        <w:gridCol w:w="109"/>
        <w:gridCol w:w="241"/>
        <w:gridCol w:w="722"/>
        <w:gridCol w:w="176"/>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7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1,530</w:t>
            </w:r>
            <w:r>
              <w:rPr>
                <w:color w:val="000000"/>
              </w:rPr>
              <w:t> </w:t>
            </w:r>
          </w:p>
        </w:tc>
        <w:tc>
          <w:tcPr>
            <w:tcW w:w="10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1,580</w:t>
            </w:r>
            <w:r>
              <w:rPr>
                <w:color w:val="000000"/>
              </w:rPr>
              <w:t> </w:t>
            </w:r>
          </w:p>
        </w:tc>
        <w:tc>
          <w:tcPr>
            <w:tcW w:w="176"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External Debt Facilities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six months ended June 30, 2025, comprised of $12 million of new fees allocated to modified loans and $1 million of deferred financing transaction costs and original issue discount expensed related to extinguished loans. This expense is presented separately in our condensed consolidated statements of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during the six months ended June 30,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occurs, the lenders under the External Debt Facilities are entitled to take various actions, including the acceleration of amounts due under the External Debt Facilities and all actions permitted to be taken by secured creditors.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 Loan Facility matures in March 2032. The Term Loan Facility amortizes in equal quarterly installments of $4 million, which commenced in June 2025, with the balance payable on maturity. During the six months ended June 30, 2026, we made a voluntary principal repayment of $50 million. As a result of voluntary principal repayments made, the Term Loan Facility has no quarterly amortization payments due until December 2031, when the quarterly amortization payments will recommence.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Facility matures in October 2029 and includes a sub-facility for letters of credit. As of June 30, 2026, we had no outstanding borrowings under the Revolving Facility, and we had $8 million of letters of credit outstanding, which reduces the borrowing capacity under the Revolving Facility.</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Our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long-term debt as of June 30, 2026, which is a Level 2 fair value measurement, approximates the carrying value due to the variable market interest rate and the stability of our credit profile.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5 - Financial Instruments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Derivatives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series of interest rate swaps to fix the SOFR of our External Debt Facilities. During the year ended December 31, 2025, we entered into additional forward-starting interest rate swaps with start dates beginning in February 2026 that had an aggregate notional value of $900 million. These swaps fix the SOFR at annual rates ranging from 3.33% to 3.41% (resulting in annual effective interest rates of 5.08% to 5.16%, including margin), have maturity dates between March 2028 and March 2031, and carry a weighted average effective rate of 5.12%. As of June 30, 2026 and December 31, 2025, the aggregate notional amount of interest rate swaps outstanding was $900 million and $1,000 million,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swaps outstanding as of June 30, 2026 hedge a portion of the interest rate exposure resulting from borrowings under our Term Loan Facility. We have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assets and liabilities associated with our interest rate swaps, as reflected gross in the condensed consolidated balance sheets, were as follows:</w:t>
      </w:r>
    </w:p>
    <w:tbl>
      <w:tblPr>
        <w:tblW w:w="5138" w:type="dxa"/>
        <w:jc w:val="left"/>
        <w:tblInd w:w="0" w:type="dxa"/>
        <w:tblLayout w:type="fixed"/>
        <w:tblCellMar>
          <w:top w:w="28" w:type="dxa"/>
          <w:left w:w="28" w:type="dxa"/>
          <w:bottom w:w="28" w:type="dxa"/>
          <w:right w:w="28" w:type="dxa"/>
        </w:tblCellMar>
      </w:tblPr>
      <w:tblGrid>
        <w:gridCol w:w="611"/>
        <w:gridCol w:w="539"/>
        <w:gridCol w:w="544"/>
        <w:gridCol w:w="109"/>
        <w:gridCol w:w="109"/>
        <w:gridCol w:w="109"/>
        <w:gridCol w:w="344"/>
        <w:gridCol w:w="663"/>
        <w:gridCol w:w="178"/>
        <w:gridCol w:w="109"/>
        <w:gridCol w:w="109"/>
        <w:gridCol w:w="109"/>
        <w:gridCol w:w="531"/>
        <w:gridCol w:w="684"/>
        <w:gridCol w:w="390"/>
      </w:tblGrid>
      <w:tr>
        <w:trPr/>
        <w:tc>
          <w:tcPr>
            <w:tcW w:w="6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shd w:fill="FFFFFF" w:val="clear"/>
        </w:rPr>
        <w:t xml:space="preserve">Note 6 </w:t>
      </w:r>
      <w:r>
        <w:rPr>
          <w:color w:val="000000"/>
        </w:rPr>
        <w:t>–</w:t>
      </w:r>
      <w:r>
        <w:rPr>
          <w:color w:val="000000"/>
          <w:shd w:fill="FFFFFF" w:val="clear"/>
        </w:rPr>
        <w:t xml:space="preserve"> </w:t>
      </w:r>
      <w:r>
        <w:rPr>
          <w:rFonts w:ascii="Times New Roman;serif" w:hAnsi="Times New Roman;serif"/>
          <w:b/>
          <w:color w:val="000000"/>
          <w:sz w:val="20"/>
          <w:shd w:fill="FFFFFF" w:val="clear"/>
        </w:rPr>
        <w:t>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There were no RSUs or PSUs granted in the three months ended June 30, 2026 and 0.4 million of each were granted in the six months ended June 30, 2026.</w:t>
      </w:r>
    </w:p>
    <w:p>
      <w:pPr>
        <w:pStyle w:val="TextBody"/>
        <w:bidi w:val="0"/>
        <w:spacing w:lineRule="auto" w:line="288" w:before="120" w:after="283"/>
        <w:jc w:val="both"/>
        <w:rPr/>
      </w:pPr>
      <w:r>
        <w:rPr>
          <w:rFonts w:ascii="Times New Roman;serif" w:hAnsi="Times New Roman;serif"/>
          <w:b w:val="false"/>
          <w:color w:val="000000"/>
          <w:sz w:val="20"/>
        </w:rPr>
        <w:t>As of June 30, 2026, there were stock-based compensation awards representing</w:t>
      </w:r>
      <w:r>
        <w:rPr>
          <w:color w:val="000000"/>
          <w:shd w:fill="FFFFFF" w:val="clear"/>
        </w:rPr>
        <w:t xml:space="preserve"> </w:t>
      </w:r>
      <w:r>
        <w:rPr>
          <w:rFonts w:ascii="Times New Roman;serif" w:hAnsi="Times New Roman;serif"/>
          <w:b w:val="false"/>
          <w:color w:val="000000"/>
          <w:sz w:val="20"/>
          <w:shd w:fill="FFFFFF" w:val="clear"/>
        </w:rPr>
        <w:t>2.2 million sha</w:t>
      </w:r>
      <w:r>
        <w:rPr>
          <w:rFonts w:ascii="Times New Roman;serif" w:hAnsi="Times New Roman;serif"/>
          <w:b w:val="false"/>
          <w:color w:val="000000"/>
          <w:sz w:val="20"/>
        </w:rPr>
        <w:t xml:space="preserve">res outstanding compared to 2.0 million shares outstanding as of December 31, 2025. Stock-based compensation expense was $4 million and $8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respectively, compared to $5 million and $11 million in the comparable prior 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shd w:fill="FFFFFF" w:val="clear"/>
        </w:rPr>
        <w:t xml:space="preserve">Note </w:t>
      </w:r>
      <w:r>
        <w:rPr>
          <w:rFonts w:ascii="Times New Roman;serif" w:hAnsi="Times New Roman;serif"/>
          <w:b/>
          <w:color w:val="000000"/>
          <w:sz w:val="20"/>
        </w:rPr>
        <w:t>7 – Commitments and Contingencies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June 30, 2026,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shd w:fill="FFFFFF" w:val="clear"/>
        </w:rPr>
        <w:t xml:space="preserve">Note </w:t>
      </w:r>
      <w:r>
        <w:rPr>
          <w:rFonts w:ascii="Times New Roman;serif" w:hAnsi="Times New Roman;serif"/>
          <w:b/>
          <w:color w:val="000000"/>
          <w:sz w:val="20"/>
        </w:rPr>
        <w:t>8 – Accumulated Other Comprehensive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balances of each component of accumulated other comprehensive income.</w:t>
      </w:r>
    </w:p>
    <w:tbl>
      <w:tblPr>
        <w:tblW w:w="10205" w:type="dxa"/>
        <w:jc w:val="left"/>
        <w:tblInd w:w="0" w:type="dxa"/>
        <w:tblLayout w:type="fixed"/>
        <w:tblCellMar>
          <w:top w:w="28" w:type="dxa"/>
          <w:left w:w="28" w:type="dxa"/>
          <w:bottom w:w="28" w:type="dxa"/>
          <w:right w:w="28" w:type="dxa"/>
        </w:tblCellMar>
      </w:tblPr>
      <w:tblGrid>
        <w:gridCol w:w="965"/>
        <w:gridCol w:w="662"/>
        <w:gridCol w:w="658"/>
        <w:gridCol w:w="563"/>
        <w:gridCol w:w="1007"/>
        <w:gridCol w:w="295"/>
        <w:gridCol w:w="109"/>
        <w:gridCol w:w="109"/>
        <w:gridCol w:w="109"/>
        <w:gridCol w:w="403"/>
        <w:gridCol w:w="721"/>
        <w:gridCol w:w="210"/>
        <w:gridCol w:w="109"/>
        <w:gridCol w:w="109"/>
        <w:gridCol w:w="109"/>
        <w:gridCol w:w="403"/>
        <w:gridCol w:w="777"/>
        <w:gridCol w:w="209"/>
        <w:gridCol w:w="109"/>
        <w:gridCol w:w="109"/>
        <w:gridCol w:w="109"/>
        <w:gridCol w:w="667"/>
        <w:gridCol w:w="1187"/>
        <w:gridCol w:w="497"/>
      </w:tblGrid>
      <w:tr>
        <w:trPr/>
        <w:tc>
          <w:tcPr>
            <w:tcW w:w="9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5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2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2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w:t>
            </w:r>
            <w:r>
              <w:rPr>
                <w:color w:val="000000"/>
              </w:rPr>
              <w:t> </w:t>
            </w:r>
          </w:p>
        </w:tc>
        <w:tc>
          <w:tcPr>
            <w:tcW w:w="4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arising during the period</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earnings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deferred taxes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w:t>
            </w: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arising during the period</w:t>
            </w:r>
          </w:p>
        </w:tc>
        <w:tc>
          <w:tcPr>
            <w:tcW w:w="15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earnings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deferred taxes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arising during the period</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earnings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deferred taxes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w:t>
            </w: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arising during the period</w:t>
            </w:r>
          </w:p>
        </w:tc>
        <w:tc>
          <w:tcPr>
            <w:tcW w:w="15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earnings</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deferred taxes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5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w:t>
            </w:r>
            <w:r>
              <w:rPr>
                <w:color w:val="000000"/>
              </w:rPr>
              <w:t>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w:t>
            </w:r>
            <w:r>
              <w:rPr>
                <w:color w:val="000000"/>
              </w:rPr>
              <w:t>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w:t>
            </w:r>
            <w:r>
              <w:rPr>
                <w:color w:val="000000"/>
              </w:rPr>
              <w:t> </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r>
        <w:trPr/>
        <w:tc>
          <w:tcPr>
            <w:tcW w:w="2285"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60" w:after="283"/>
        <w:jc w:val="both"/>
        <w:rPr/>
      </w:pPr>
      <w:r>
        <w:rPr>
          <w:rFonts w:ascii="Times New Roman;serif" w:hAnsi="Times New Roman;serif"/>
          <w:b/>
          <w:color w:val="000000"/>
          <w:sz w:val="20"/>
          <w:shd w:fill="FFFFFF" w:val="clear"/>
        </w:rPr>
        <w:t>Note 9</w:t>
      </w:r>
      <w:r>
        <w:rPr>
          <w:color w:val="000000"/>
        </w:rPr>
        <w:t xml:space="preserve"> – </w:t>
      </w:r>
      <w:r>
        <w:rPr>
          <w:rFonts w:ascii="Times New Roman;serif" w:hAnsi="Times New Roman;serif"/>
          <w:b/>
          <w:color w:val="000000"/>
          <w:sz w:val="20"/>
        </w:rPr>
        <w:t>Segment Information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we reorganized the previous Hefty Waste &amp; Storage and Presto Products segments by consolidating waste bags into the new Hefty Waste &amp; 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our future reports for the remainder of 2026.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segment reorganization, $803 million of goodwill was reallocated on a relative fair value basis from the previous Hefty Waste &amp; Storage and Presto Products segments to the new Hefty Waste &amp; Clean-Up and Hefty Storage &amp; Organization segments. We performed a goodwill impairment analysis immediately before and after the segment reorganization, and concluded that goodwill was not impaired. The goodwill balances as of June 30, 2026, for Reynolds Cooking &amp; Kitchen Essentials, Hefty Waste &amp; Clean-Up, Hefty Home &amp; Tableware, and Hefty Storage &amp; Organization were $794 million, $520 million, $298 million and $283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Kitchen Essentials, Hefty Waste &amp; Clean-Up, Hefty Home &amp; Tableware, and Hefty Storage &amp; Organization. The key factors used to identify these reportable segments are the organization and alignment of our internal operations and the nature of our products. This reflects how our CODM monitors performance, allocates capital and makes strategic and operational decisions.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segments are described as follows:</w:t>
      </w:r>
    </w:p>
    <w:p>
      <w:pPr>
        <w:pStyle w:val="TextBody"/>
        <w:bidi w:val="0"/>
        <w:spacing w:lineRule="auto" w:line="288" w:before="320" w:after="283"/>
        <w:jc w:val="both"/>
        <w:rPr>
          <w:rFonts w:ascii="Times New Roman;serif" w:hAnsi="Times New Roman;serif"/>
          <w:b w:val="false"/>
          <w:i/>
          <w:color w:val="000000"/>
          <w:sz w:val="20"/>
        </w:rPr>
      </w:pPr>
      <w:r>
        <w:rPr>
          <w:rFonts w:ascii="Times New Roman;serif" w:hAnsi="Times New Roman;serif"/>
          <w:b w:val="false"/>
          <w:i/>
          <w:color w:val="000000"/>
          <w:sz w:val="20"/>
        </w:rPr>
        <w:t>Reynolds Cooking &amp; Kitchen Essentials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Reynolds Cooking &amp; Kitchen Essentials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pStyle w:val="TextBody"/>
        <w:bidi w:val="0"/>
        <w:spacing w:lineRule="auto" w:line="288" w:before="320" w:after="283"/>
        <w:jc w:val="both"/>
        <w:rPr>
          <w:rFonts w:ascii="Times New Roman;serif" w:hAnsi="Times New Roman;serif"/>
          <w:b w:val="false"/>
          <w:i/>
          <w:color w:val="000000"/>
          <w:sz w:val="20"/>
        </w:rPr>
      </w:pPr>
      <w:r>
        <w:rPr>
          <w:rFonts w:ascii="Times New Roman;serif" w:hAnsi="Times New Roman;serif"/>
          <w:b w:val="false"/>
          <w:i/>
          <w:color w:val="000000"/>
          <w:sz w:val="20"/>
        </w:rPr>
        <w:t>Hefty Waste &amp; Clean-Up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new focused Hefty Waste &amp; Clean-Up segment, we produce both branded and store brand trash bags. Our branded products are sold under the Hefty Ultra Strong, Hefty Strong, Hefty Essentials, and Brute brands in the U.S. and select international markets. </w:t>
      </w:r>
    </w:p>
    <w:p>
      <w:pPr>
        <w:pStyle w:val="TextBody"/>
        <w:bidi w:val="0"/>
        <w:spacing w:lineRule="auto" w:line="288" w:before="320" w:after="283"/>
        <w:jc w:val="left"/>
        <w:rPr>
          <w:rFonts w:ascii="Times New Roman;serif" w:hAnsi="Times New Roman;serif"/>
          <w:b w:val="false"/>
          <w:i/>
          <w:color w:val="000000"/>
          <w:sz w:val="20"/>
        </w:rPr>
      </w:pPr>
      <w:r>
        <w:rPr>
          <w:rFonts w:ascii="Times New Roman;serif" w:hAnsi="Times New Roman;serif"/>
          <w:b w:val="false"/>
          <w:i/>
          <w:color w:val="000000"/>
          <w:sz w:val="20"/>
        </w:rPr>
        <w:t>Hefty Home &amp; Tableware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Hefty Home &amp; Tableware segment sells both branded and store brand disposable and compostable plates, bowls, platters, containers, cups and cutlery. Our Hefty branded products include dishes, party cups, cutlery and containers.</w:t>
      </w:r>
    </w:p>
    <w:p>
      <w:pPr>
        <w:pStyle w:val="TextBody"/>
        <w:bidi w:val="0"/>
        <w:spacing w:lineRule="auto" w:line="288" w:before="320" w:after="283"/>
        <w:jc w:val="both"/>
        <w:rPr>
          <w:rFonts w:ascii="Times New Roman;serif" w:hAnsi="Times New Roman;serif"/>
          <w:b w:val="false"/>
          <w:i/>
          <w:color w:val="000000"/>
          <w:sz w:val="20"/>
        </w:rPr>
      </w:pPr>
      <w:r>
        <w:rPr>
          <w:rFonts w:ascii="Times New Roman;serif" w:hAnsi="Times New Roman;serif"/>
          <w:b w:val="false"/>
          <w:i/>
          <w:color w:val="000000"/>
          <w:sz w:val="20"/>
        </w:rPr>
        <w:t>Hefty Storage &amp; Organization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Hefty Storage &amp; Organization segment produces both branded and store brand food storage bags. Our branded products are sold under the Hefty brand for our food storage bags in the U.S. Our food storage bags are sold internationally as Reynolds, Diamond, or Hefty Basics brands based on region. Our Hefty Storage &amp; Organization segment also includes our specialty business, which serves other consumer products companies by providing Fresh-Lock and Slide-Rite resealable closure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20" w:after="283"/>
        <w:jc w:val="both"/>
        <w:rPr>
          <w:rFonts w:ascii="Times New Roman;serif" w:hAnsi="Times New Roman;serif"/>
          <w:b w:val="false"/>
          <w:i/>
          <w:color w:val="000000"/>
          <w:sz w:val="20"/>
        </w:rPr>
      </w:pPr>
      <w:r>
        <w:rPr>
          <w:rFonts w:ascii="Times New Roman;serif" w:hAnsi="Times New Roman;serif"/>
          <w:b w:val="false"/>
          <w:i/>
          <w:color w:val="000000"/>
          <w:sz w:val="20"/>
        </w:rPr>
        <w:t>Information by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segment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performance versus the prior year and expected long-term financial performance when making decisions about allocating capital and personnel to the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represents each segment’s earnings before interest, tax, depreciation and amortization and may be further adjusted to exclude certain items, if applicable.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775"/>
        <w:gridCol w:w="286"/>
        <w:gridCol w:w="289"/>
        <w:gridCol w:w="252"/>
        <w:gridCol w:w="559"/>
        <w:gridCol w:w="132"/>
        <w:gridCol w:w="109"/>
        <w:gridCol w:w="109"/>
        <w:gridCol w:w="109"/>
        <w:gridCol w:w="277"/>
        <w:gridCol w:w="613"/>
        <w:gridCol w:w="144"/>
        <w:gridCol w:w="109"/>
        <w:gridCol w:w="109"/>
        <w:gridCol w:w="109"/>
        <w:gridCol w:w="244"/>
        <w:gridCol w:w="541"/>
        <w:gridCol w:w="127"/>
        <w:gridCol w:w="109"/>
        <w:gridCol w:w="109"/>
        <w:gridCol w:w="109"/>
        <w:gridCol w:w="357"/>
        <w:gridCol w:w="790"/>
        <w:gridCol w:w="186"/>
        <w:gridCol w:w="109"/>
        <w:gridCol w:w="109"/>
        <w:gridCol w:w="109"/>
        <w:gridCol w:w="211"/>
        <w:gridCol w:w="481"/>
        <w:gridCol w:w="109"/>
        <w:gridCol w:w="109"/>
        <w:gridCol w:w="109"/>
        <w:gridCol w:w="109"/>
        <w:gridCol w:w="371"/>
        <w:gridCol w:w="451"/>
        <w:gridCol w:w="193"/>
        <w:gridCol w:w="109"/>
        <w:gridCol w:w="109"/>
        <w:gridCol w:w="109"/>
        <w:gridCol w:w="211"/>
        <w:gridCol w:w="481"/>
        <w:gridCol w:w="163"/>
      </w:tblGrid>
      <w:tr>
        <w:trPr/>
        <w:tc>
          <w:tcPr>
            <w:tcW w:w="7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885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944</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5"/>
        <w:gridCol w:w="286"/>
        <w:gridCol w:w="289"/>
        <w:gridCol w:w="252"/>
        <w:gridCol w:w="559"/>
        <w:gridCol w:w="132"/>
        <w:gridCol w:w="109"/>
        <w:gridCol w:w="109"/>
        <w:gridCol w:w="109"/>
        <w:gridCol w:w="277"/>
        <w:gridCol w:w="613"/>
        <w:gridCol w:w="144"/>
        <w:gridCol w:w="109"/>
        <w:gridCol w:w="109"/>
        <w:gridCol w:w="109"/>
        <w:gridCol w:w="244"/>
        <w:gridCol w:w="541"/>
        <w:gridCol w:w="127"/>
        <w:gridCol w:w="109"/>
        <w:gridCol w:w="109"/>
        <w:gridCol w:w="109"/>
        <w:gridCol w:w="357"/>
        <w:gridCol w:w="790"/>
        <w:gridCol w:w="186"/>
        <w:gridCol w:w="109"/>
        <w:gridCol w:w="109"/>
        <w:gridCol w:w="109"/>
        <w:gridCol w:w="211"/>
        <w:gridCol w:w="481"/>
        <w:gridCol w:w="109"/>
        <w:gridCol w:w="109"/>
        <w:gridCol w:w="109"/>
        <w:gridCol w:w="109"/>
        <w:gridCol w:w="362"/>
        <w:gridCol w:w="465"/>
        <w:gridCol w:w="187"/>
        <w:gridCol w:w="109"/>
        <w:gridCol w:w="109"/>
        <w:gridCol w:w="109"/>
        <w:gridCol w:w="211"/>
        <w:gridCol w:w="481"/>
        <w:gridCol w:w="164"/>
      </w:tblGrid>
      <w:tr>
        <w:trPr/>
        <w:tc>
          <w:tcPr>
            <w:tcW w:w="7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 xml:space="preserve">Tableware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885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938</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7"/>
        <w:gridCol w:w="336"/>
        <w:gridCol w:w="339"/>
        <w:gridCol w:w="335"/>
        <w:gridCol w:w="335"/>
        <w:gridCol w:w="336"/>
        <w:gridCol w:w="109"/>
        <w:gridCol w:w="109"/>
        <w:gridCol w:w="109"/>
        <w:gridCol w:w="358"/>
        <w:gridCol w:w="358"/>
        <w:gridCol w:w="360"/>
        <w:gridCol w:w="109"/>
        <w:gridCol w:w="109"/>
        <w:gridCol w:w="109"/>
        <w:gridCol w:w="314"/>
        <w:gridCol w:w="314"/>
        <w:gridCol w:w="315"/>
        <w:gridCol w:w="109"/>
        <w:gridCol w:w="109"/>
        <w:gridCol w:w="109"/>
        <w:gridCol w:w="462"/>
        <w:gridCol w:w="462"/>
        <w:gridCol w:w="463"/>
        <w:gridCol w:w="109"/>
        <w:gridCol w:w="109"/>
        <w:gridCol w:w="109"/>
        <w:gridCol w:w="240"/>
        <w:gridCol w:w="240"/>
        <w:gridCol w:w="241"/>
        <w:gridCol w:w="109"/>
        <w:gridCol w:w="109"/>
        <w:gridCol w:w="109"/>
        <w:gridCol w:w="340"/>
        <w:gridCol w:w="340"/>
        <w:gridCol w:w="342"/>
        <w:gridCol w:w="109"/>
        <w:gridCol w:w="109"/>
        <w:gridCol w:w="109"/>
        <w:gridCol w:w="179"/>
        <w:gridCol w:w="179"/>
        <w:gridCol w:w="268"/>
      </w:tblGrid>
      <w:tr>
        <w:trPr/>
        <w:tc>
          <w:tcPr>
            <w:tcW w:w="7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874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10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r>
    </w:tbl>
    <w:tbl>
      <w:tblPr>
        <w:tblW w:w="10205" w:type="dxa"/>
        <w:jc w:val="left"/>
        <w:tblInd w:w="0" w:type="dxa"/>
        <w:tblLayout w:type="fixed"/>
        <w:tblCellMar>
          <w:top w:w="28" w:type="dxa"/>
          <w:left w:w="28" w:type="dxa"/>
          <w:bottom w:w="28" w:type="dxa"/>
          <w:right w:w="28" w:type="dxa"/>
        </w:tblCellMar>
      </w:tblPr>
      <w:tblGrid>
        <w:gridCol w:w="787"/>
        <w:gridCol w:w="336"/>
        <w:gridCol w:w="339"/>
        <w:gridCol w:w="335"/>
        <w:gridCol w:w="335"/>
        <w:gridCol w:w="336"/>
        <w:gridCol w:w="109"/>
        <w:gridCol w:w="109"/>
        <w:gridCol w:w="109"/>
        <w:gridCol w:w="358"/>
        <w:gridCol w:w="358"/>
        <w:gridCol w:w="360"/>
        <w:gridCol w:w="109"/>
        <w:gridCol w:w="109"/>
        <w:gridCol w:w="109"/>
        <w:gridCol w:w="314"/>
        <w:gridCol w:w="314"/>
        <w:gridCol w:w="315"/>
        <w:gridCol w:w="109"/>
        <w:gridCol w:w="109"/>
        <w:gridCol w:w="109"/>
        <w:gridCol w:w="462"/>
        <w:gridCol w:w="462"/>
        <w:gridCol w:w="463"/>
        <w:gridCol w:w="109"/>
        <w:gridCol w:w="109"/>
        <w:gridCol w:w="109"/>
        <w:gridCol w:w="240"/>
        <w:gridCol w:w="240"/>
        <w:gridCol w:w="241"/>
        <w:gridCol w:w="109"/>
        <w:gridCol w:w="109"/>
        <w:gridCol w:w="109"/>
        <w:gridCol w:w="340"/>
        <w:gridCol w:w="340"/>
        <w:gridCol w:w="342"/>
        <w:gridCol w:w="109"/>
        <w:gridCol w:w="109"/>
        <w:gridCol w:w="109"/>
        <w:gridCol w:w="179"/>
        <w:gridCol w:w="179"/>
        <w:gridCol w:w="268"/>
      </w:tblGrid>
      <w:tr>
        <w:trPr/>
        <w:tc>
          <w:tcPr>
            <w:tcW w:w="7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874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10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1,756</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360" w:after="283"/>
        <w:jc w:val="left"/>
        <w:rPr/>
      </w:pPr>
      <w:r>
        <w:rPr/>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Segment assets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2"/>
        <w:gridCol w:w="216"/>
        <w:gridCol w:w="218"/>
        <w:gridCol w:w="250"/>
        <w:gridCol w:w="555"/>
        <w:gridCol w:w="131"/>
        <w:gridCol w:w="109"/>
        <w:gridCol w:w="109"/>
        <w:gridCol w:w="109"/>
        <w:gridCol w:w="276"/>
        <w:gridCol w:w="610"/>
        <w:gridCol w:w="143"/>
        <w:gridCol w:w="109"/>
        <w:gridCol w:w="109"/>
        <w:gridCol w:w="109"/>
        <w:gridCol w:w="243"/>
        <w:gridCol w:w="539"/>
        <w:gridCol w:w="127"/>
        <w:gridCol w:w="109"/>
        <w:gridCol w:w="109"/>
        <w:gridCol w:w="109"/>
        <w:gridCol w:w="357"/>
        <w:gridCol w:w="790"/>
        <w:gridCol w:w="186"/>
        <w:gridCol w:w="109"/>
        <w:gridCol w:w="109"/>
        <w:gridCol w:w="109"/>
        <w:gridCol w:w="211"/>
        <w:gridCol w:w="631"/>
        <w:gridCol w:w="109"/>
        <w:gridCol w:w="109"/>
        <w:gridCol w:w="109"/>
        <w:gridCol w:w="109"/>
        <w:gridCol w:w="228"/>
        <w:gridCol w:w="668"/>
        <w:gridCol w:w="119"/>
        <w:gridCol w:w="109"/>
        <w:gridCol w:w="109"/>
        <w:gridCol w:w="109"/>
        <w:gridCol w:w="211"/>
        <w:gridCol w:w="631"/>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Cooking</w:t>
              <w:br/>
              <w:t>&amp; 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 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5,079</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4,936</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(1)Unallocated includes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segment items reflected in Segment Adjusted EBITDA primarily include cost of sales (including input, manufacturing and logistics costs), salaries and benefits, advertising expenses and professional fees. These items are monitored on an entity-wide basis and are not included in segment information that is regularly reviewed by our CODM.</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segment Adjusted EBITDA to GAAP income before income taxes:</w:t>
      </w:r>
    </w:p>
    <w:p>
      <w:pPr>
        <w:pStyle w:val="TextBody"/>
        <w:bidi w:val="0"/>
        <w:spacing w:before="0" w:after="0"/>
        <w:jc w:val="both"/>
        <w:rPr/>
      </w:pPr>
      <w:r>
        <w:rPr/>
      </w:r>
    </w:p>
    <w:tbl>
      <w:tblPr>
        <w:tblW w:w="9876" w:type="dxa"/>
        <w:jc w:val="left"/>
        <w:tblInd w:w="0" w:type="dxa"/>
        <w:tblLayout w:type="fixed"/>
        <w:tblCellMar>
          <w:top w:w="28" w:type="dxa"/>
          <w:left w:w="28" w:type="dxa"/>
          <w:bottom w:w="28" w:type="dxa"/>
          <w:right w:w="28" w:type="dxa"/>
        </w:tblCellMar>
      </w:tblPr>
      <w:tblGrid>
        <w:gridCol w:w="1874"/>
        <w:gridCol w:w="1644"/>
        <w:gridCol w:w="1657"/>
        <w:gridCol w:w="249"/>
        <w:gridCol w:w="569"/>
        <w:gridCol w:w="129"/>
        <w:gridCol w:w="129"/>
        <w:gridCol w:w="129"/>
        <w:gridCol w:w="129"/>
        <w:gridCol w:w="249"/>
        <w:gridCol w:w="551"/>
        <w:gridCol w:w="129"/>
        <w:gridCol w:w="109"/>
        <w:gridCol w:w="109"/>
        <w:gridCol w:w="109"/>
        <w:gridCol w:w="226"/>
        <w:gridCol w:w="515"/>
        <w:gridCol w:w="116"/>
        <w:gridCol w:w="116"/>
        <w:gridCol w:w="116"/>
        <w:gridCol w:w="116"/>
        <w:gridCol w:w="226"/>
        <w:gridCol w:w="515"/>
        <w:gridCol w:w="165"/>
      </w:tblGrid>
      <w:tr>
        <w:trPr/>
        <w:tc>
          <w:tcPr>
            <w:tcW w:w="187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 unallocated expenses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to GAAP income before income taxes</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(2)</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(3)</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GAAP income before income taxes</w:t>
            </w:r>
          </w:p>
        </w:tc>
        <w:tc>
          <w:tcPr>
            <w:tcW w:w="24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12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w:t>
            </w:r>
            <w:r>
              <w:rPr>
                <w:color w:val="000000"/>
              </w:rPr>
              <w:t> </w:t>
            </w:r>
          </w:p>
        </w:tc>
        <w:tc>
          <w:tcPr>
            <w:tcW w:w="12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w:t>
            </w:r>
            <w:r>
              <w:rPr>
                <w:color w:val="000000"/>
              </w:rPr>
              <w:t> </w:t>
            </w:r>
          </w:p>
        </w:tc>
        <w:tc>
          <w:tcPr>
            <w:tcW w:w="11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w:t>
            </w:r>
            <w:r>
              <w:rPr>
                <w:color w:val="000000"/>
              </w:rPr>
              <w:t> </w:t>
            </w:r>
          </w:p>
        </w:tc>
        <w:tc>
          <w:tcPr>
            <w:tcW w:w="16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Reflects the expense recorded related to our March 2025 Term Loan Facility refinancing.</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Reflects costs related to the execution of cost savings and revenue growth strategic initiatives.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Reflects compensation and other costs related to the CEO transition effective January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Information in Relation to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different product lines are generally sold to a common group of customers. For all product lines, there is a relatively short time period between the receipt of the order and the transfer of control over the goods to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10 – Related Party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 2025, PFL completed the sale of PEI Group, which was a related party through March 31, 2025, to an unrelated party. Accordingly, transactions and balances with PEI Group from April 1, 2025 are no longer classified as related party items. The related party cash flow amounts presented reflect only activity through March 31, 2025. This change does not affect the presentation of historical related party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from products sold to PEI Group as a related party were zero and $17 million for the three and six months ended June 30, 2025, respectively. Products purchased from PEI Group as a related party were zero and $51 million for the three and six months ended June 30, 2025, respectively. PEI Group as a related party charged us freight and warehousing costs of zero and $4 million for the three and six months ended June 30, 2025, respectively, which were included in cost of sales. The resulting related party receivables and payables were settled regularly in the normal course of business. Because PEI Group ceased to be a related party after March 31, 2025, there were no transactions with PEI Group as a related party in the three and six months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$36 million of the dividends paid during each of the three months ended June 30, 2026 and June 30, 2025, and $72 million of the dividends paid during each of the six months ended June 30, 2026 and June 30, 2025, were paid to PFL.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Note 11 – Subsequent Events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Quarterly Cash Dividend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23, 2026, our Board of Directors approved a cash dividend of $0.23 per common share to be paid on August 31, 2026 to shareholders of record on August 17,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there have been no events subsequent to June 30, 2026 which would require recognition or disclosure in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Description of the Company and its Business Segments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we reorganized the previous Hefty Waste &amp; Storage and Presto Products segments by consolidating waste bags into the new Hefty Waste &amp; 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our future reports for the remainder of 2026.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our operations in four operating and reportable segments: Reynolds Cooking &amp; Kitchen Essentials, Hefty Waste &amp; Clean-Up, Hefty Home &amp; Tableware, and Hefty Storage &amp; Organization: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Reynolds Cooking &amp; Kitchen Essentials: Through our Reynolds Cooking &amp; Kitchen Essentials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Hefty Waste &amp; Clean-Up: Through our newly focused Hefty Waste &amp; Clean-Up segment, we produce both branded and store brand trash bags. Hefty is a well-recognized leader in the trash bag category and our private label products offer brand equivalent quality and value to our retail partners. Reynolds Consumer Products is the largest U.S. trash bag manufacturer by dollar share across MULO</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0"/>
        </w:rPr>
        <w:t>retail channels</w:t>
      </w:r>
      <w:r>
        <w:rPr>
          <w:rFonts w:ascii="Times New Roman;serif" w:hAnsi="Times New Roman;serif"/>
          <w:b w:val="false"/>
          <w:color w:val="000000"/>
          <w:sz w:val="13"/>
        </w:rPr>
        <w:t>1</w:t>
      </w:r>
      <w:r>
        <w:rPr>
          <w:rFonts w:ascii="Times New Roman;serif" w:hAnsi="Times New Roman;serif"/>
          <w:b w:val="false"/>
          <w:color w:val="000000"/>
          <w:sz w:val="20"/>
        </w:rPr>
        <w:t xml:space="preserve">. Our branded products are sold under the Hefty Ultra Strong, Hefty Strong, Hefty Essentials, and Brute brands in the U.S. and select international markets. Hefty has the #1 branded market share in the U.S. large black trash bag segment, and the #2 branded market share in the tall kitchen trash bag segment. Our waste bag portfolio includes a full suite of products across varying size, strength, scent, color and closure. We also offer sustainable solutions such as compostable bags and bags made from recycled materials. We are proud to have partnered with John Cena as our Hefty brand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Based on internal estimates derived from Circana MULO</w:t>
      </w:r>
      <w:r>
        <w:rPr>
          <w:rFonts w:ascii="Times New Roman;serif" w:hAnsi="Times New Roman;serif"/>
          <w:b w:val="false"/>
          <w:color w:val="000000"/>
          <w:sz w:val="14"/>
        </w:rPr>
        <w:t xml:space="preserve">+ </w:t>
      </w:r>
      <w:r>
        <w:rPr>
          <w:rFonts w:ascii="Times New Roman;serif" w:hAnsi="Times New Roman;serif"/>
          <w:b w:val="false"/>
          <w:color w:val="000000"/>
          <w:sz w:val="20"/>
        </w:rPr>
        <w:t>point-of-sale data and company analysis, including attribution of branded and private label sales by manufacturer.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spokesperson for over ten years and originating with our key waste bag business. We also greatly value our partnership with both Arm &amp; Hammer and Fabuloso brands that drive consumer confidence in our Hefty brand odor control and scent.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Hefty Home &amp; Tableware: Through our Hefty Home &amp;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In 2025, we launched the line of Hefty ECOSAVE Cutlery, a high quality compostable offering. We are also proud to have partnered with John Cena as our Hefty spokesperson.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Hefty Storage &amp; Organization: Through our newly focused Hefty Storage &amp; Organization segment, we have consolidated our food bag business to increase efficiencies, sharpen our focus on innovation and unlock incremental growth opportunities. The Hefty Storage &amp; Organization segment produces both branded and store brand food bags and business-to-business closures. Hefty is a well-recognized supplier in the food bag category and our private label products offer brand-equivalent quality and value to our retail partners. Our branded products are sold under the Hefty Slider, Hefty Press to Close and Hefty Compostable brands in the U.S. and select international markets. Our food storage bag portfolio includes a full suite of products across varying size, type of closure and in freezer and storage. We also offer sustainable solutions such as compostable bags and bags made from recycled materials. We are proud to have partnered with John Cena as our Hefty Food Brand Spokesperson.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Total net revenues increased 1% in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 in 2025. The increase was primarily </w:t>
      </w:r>
      <w:r>
        <w:rPr>
          <w:rFonts w:ascii="Times New Roman;serif" w:hAnsi="Times New Roman;serif"/>
          <w:b w:val="false"/>
          <w:color w:val="000000"/>
          <w:sz w:val="20"/>
        </w:rPr>
        <w:t xml:space="preserve">due to </w:t>
      </w:r>
      <w:r>
        <w:rPr>
          <w:rFonts w:ascii="Times New Roman;serif" w:hAnsi="Times New Roman;serif"/>
          <w:b w:val="false"/>
          <w:color w:val="000000"/>
          <w:sz w:val="20"/>
          <w:shd w:fill="FFFFFF" w:val="clear"/>
        </w:rPr>
        <w:t>higher pricing in response to higher input costs and the timing of promotional activity partially offset by lower volume.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Total net revenues </w:t>
      </w:r>
      <w:r>
        <w:rPr>
          <w:rFonts w:ascii="Times New Roman;serif" w:hAnsi="Times New Roman;serif"/>
          <w:b w:val="false"/>
          <w:color w:val="000000"/>
          <w:sz w:val="20"/>
        </w:rPr>
        <w:t>increased 4%</w:t>
      </w:r>
      <w:r>
        <w:rPr>
          <w:color w:val="000000"/>
          <w:shd w:fill="FFFFFF" w:val="clear"/>
        </w:rPr>
        <w:t xml:space="preserve"> </w:t>
      </w:r>
      <w:r>
        <w:rPr>
          <w:rFonts w:ascii="Times New Roman;serif" w:hAnsi="Times New Roman;serif"/>
          <w:b w:val="false"/>
          <w:color w:val="000000"/>
          <w:sz w:val="20"/>
        </w:rPr>
        <w:t>in the six months ended June 30, 2026 compared to the same period in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primarily driven by higher pricing in response to higher input costs, partially offset by lower volume.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three months ended June 30, 2026, our net income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by 22% compared to the same period in 2025, primarily driven by</w:t>
      </w:r>
      <w:r>
        <w:rPr>
          <w:color w:val="000000"/>
        </w:rPr>
        <w:t xml:space="preserve"> </w:t>
      </w:r>
      <w:r>
        <w:rPr>
          <w:rFonts w:ascii="Times New Roman;serif" w:hAnsi="Times New Roman;serif"/>
          <w:b w:val="false"/>
          <w:color w:val="000000"/>
          <w:sz w:val="20"/>
        </w:rPr>
        <w:t>lower operational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our net income </w:t>
      </w:r>
      <w:r>
        <w:rPr>
          <w:rFonts w:ascii="Times New Roman;serif" w:hAnsi="Times New Roman;serif"/>
          <w:b w:val="false"/>
          <w:color w:val="000000"/>
          <w:sz w:val="20"/>
        </w:rPr>
        <w:t xml:space="preserve">increased by 41%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primarily driven by higher revenue, lower operational costs, and costs related to strategic initiatives and our CEO transition in the prior year period that did not repeat, partially offset by higher input costs and higher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this Quarterly Report on Form 10-Q we use the non-GAAP financial measures “Adjusted EBITDA”, “Adjusted Net Income”, and “Adjusted EPS”, which are measures adjusted for the impact of specified items and are not in accordance with GAAP.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Earnings Per Share calculated in accordance with GAAP, plus debt refinancing expense, costs to execute strategic initiatives and CEO transition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net income, the most directly comparable GAAP financial measure, to Adjusted EBITDA:</w:t>
      </w:r>
    </w:p>
    <w:tbl>
      <w:tblPr>
        <w:tblW w:w="8365" w:type="dxa"/>
        <w:jc w:val="left"/>
        <w:tblInd w:w="0" w:type="dxa"/>
        <w:tblLayout w:type="fixed"/>
        <w:tblCellMar>
          <w:top w:w="28" w:type="dxa"/>
          <w:left w:w="28" w:type="dxa"/>
          <w:bottom w:w="28" w:type="dxa"/>
          <w:right w:w="28" w:type="dxa"/>
        </w:tblCellMar>
      </w:tblPr>
      <w:tblGrid>
        <w:gridCol w:w="1168"/>
        <w:gridCol w:w="1025"/>
        <w:gridCol w:w="1031"/>
        <w:gridCol w:w="247"/>
        <w:gridCol w:w="565"/>
        <w:gridCol w:w="128"/>
        <w:gridCol w:w="128"/>
        <w:gridCol w:w="128"/>
        <w:gridCol w:w="128"/>
        <w:gridCol w:w="247"/>
        <w:gridCol w:w="565"/>
        <w:gridCol w:w="128"/>
        <w:gridCol w:w="109"/>
        <w:gridCol w:w="109"/>
        <w:gridCol w:w="109"/>
        <w:gridCol w:w="226"/>
        <w:gridCol w:w="516"/>
        <w:gridCol w:w="117"/>
        <w:gridCol w:w="117"/>
        <w:gridCol w:w="117"/>
        <w:gridCol w:w="117"/>
        <w:gridCol w:w="226"/>
        <w:gridCol w:w="516"/>
        <w:gridCol w:w="117"/>
        <w:gridCol w:w="109"/>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 GAAP</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(3)</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47"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171</w:t>
            </w:r>
            <w:r>
              <w:rPr>
                <w:color w:val="000000"/>
              </w:rPr>
              <w:t> </w:t>
            </w:r>
          </w:p>
        </w:tc>
        <w:tc>
          <w:tcPr>
            <w:tcW w:w="128"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163</w:t>
            </w:r>
            <w:r>
              <w:rPr>
                <w:color w:val="000000"/>
              </w:rPr>
              <w:t> </w:t>
            </w:r>
          </w:p>
        </w:tc>
        <w:tc>
          <w:tcPr>
            <w:tcW w:w="128"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302</w:t>
            </w:r>
            <w:r>
              <w:rPr>
                <w:color w:val="000000"/>
              </w:rPr>
              <w:t> </w:t>
            </w:r>
          </w:p>
        </w:tc>
        <w:tc>
          <w:tcPr>
            <w:tcW w:w="117"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w:t>
            </w:r>
            <w:r>
              <w:rPr>
                <w:color w:val="000000"/>
              </w:rPr>
              <w:t> </w:t>
            </w:r>
          </w:p>
        </w:tc>
        <w:tc>
          <w:tcPr>
            <w:tcW w:w="117"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Reflects the expense recorded related to our March 2025 Term Loan Facility refinancing.</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Reflects costs related to the execution of cost savings and revenue growth strategic initiatives.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Reflects compensation and other costs related to the CEO transition effective January 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reconciliations of our net income and diluted EPS, the most directly comparable GAAP financial measure, to Adjusted Net Income and Adjusted Diluted EPS:</w:t>
      </w:r>
    </w:p>
    <w:tbl>
      <w:tblPr>
        <w:tblW w:w="10205" w:type="dxa"/>
        <w:jc w:val="left"/>
        <w:tblInd w:w="0" w:type="dxa"/>
        <w:tblLayout w:type="fixed"/>
        <w:tblCellMar>
          <w:top w:w="28" w:type="dxa"/>
          <w:left w:w="28" w:type="dxa"/>
          <w:bottom w:w="28" w:type="dxa"/>
          <w:right w:w="28" w:type="dxa"/>
        </w:tblCellMar>
      </w:tblPr>
      <w:tblGrid>
        <w:gridCol w:w="1047"/>
        <w:gridCol w:w="821"/>
        <w:gridCol w:w="829"/>
        <w:gridCol w:w="263"/>
        <w:gridCol w:w="470"/>
        <w:gridCol w:w="135"/>
        <w:gridCol w:w="113"/>
        <w:gridCol w:w="113"/>
        <w:gridCol w:w="113"/>
        <w:gridCol w:w="384"/>
        <w:gridCol w:w="349"/>
        <w:gridCol w:w="341"/>
        <w:gridCol w:w="113"/>
        <w:gridCol w:w="113"/>
        <w:gridCol w:w="113"/>
        <w:gridCol w:w="234"/>
        <w:gridCol w:w="585"/>
        <w:gridCol w:w="120"/>
        <w:gridCol w:w="109"/>
        <w:gridCol w:w="109"/>
        <w:gridCol w:w="109"/>
        <w:gridCol w:w="263"/>
        <w:gridCol w:w="469"/>
        <w:gridCol w:w="135"/>
        <w:gridCol w:w="113"/>
        <w:gridCol w:w="113"/>
        <w:gridCol w:w="113"/>
        <w:gridCol w:w="384"/>
        <w:gridCol w:w="349"/>
        <w:gridCol w:w="341"/>
        <w:gridCol w:w="113"/>
        <w:gridCol w:w="113"/>
        <w:gridCol w:w="113"/>
        <w:gridCol w:w="233"/>
        <w:gridCol w:w="583"/>
        <w:gridCol w:w="187"/>
      </w:tblGrid>
      <w:tr>
        <w:trPr/>
        <w:tc>
          <w:tcPr>
            <w:tcW w:w="104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6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per share data)</w:t>
            </w:r>
          </w:p>
        </w:tc>
        <w:tc>
          <w:tcPr>
            <w:tcW w:w="8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Reported - GAAP</w:t>
            </w:r>
          </w:p>
        </w:tc>
        <w:tc>
          <w:tcPr>
            <w:tcW w:w="2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0.42</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w:t>
            </w:r>
            <w:r>
              <w:rPr>
                <w:color w:val="000000"/>
              </w:rPr>
              <w:t>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0.35</w:t>
            </w:r>
            <w:r>
              <w:rPr>
                <w:color w:val="000000"/>
              </w:rPr>
              <w:t> </w:t>
            </w:r>
          </w:p>
        </w:tc>
        <w:tc>
          <w:tcPr>
            <w:tcW w:w="18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(1)</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(1)</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(Non-GAAP)</w:t>
            </w:r>
          </w:p>
        </w:tc>
        <w:tc>
          <w:tcPr>
            <w:tcW w:w="263"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w:t>
            </w:r>
            <w:r>
              <w:rPr>
                <w:color w:val="000000"/>
              </w:rPr>
              <w:t> </w:t>
            </w:r>
          </w:p>
        </w:tc>
        <w:tc>
          <w:tcPr>
            <w:tcW w:w="13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0.42</w:t>
            </w:r>
            <w:r>
              <w:rPr>
                <w:color w:val="000000"/>
              </w:rPr>
              <w:t> </w:t>
            </w:r>
          </w:p>
        </w:tc>
        <w:tc>
          <w:tcPr>
            <w:tcW w:w="120"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w:t>
            </w:r>
            <w:r>
              <w:rPr>
                <w:color w:val="000000"/>
              </w:rPr>
              <w:t> </w:t>
            </w:r>
          </w:p>
        </w:tc>
        <w:tc>
          <w:tcPr>
            <w:tcW w:w="13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0.39</w:t>
            </w:r>
            <w:r>
              <w:rPr>
                <w:color w:val="000000"/>
              </w:rPr>
              <w:t> </w:t>
            </w:r>
          </w:p>
        </w:tc>
        <w:tc>
          <w:tcPr>
            <w:tcW w:w="187"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Amounts are after tax, calculated based on the applicable tax treatment of each adjustment, using a normalized effective tax rate of 23.5% for deductible items and 0% for non-deductible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360" w:after="283"/>
        <w:jc w:val="left"/>
        <w:rPr/>
      </w:pPr>
      <w:r>
        <w:rPr/>
      </w:r>
    </w:p>
    <w:tbl>
      <w:tblPr>
        <w:tblW w:w="10205" w:type="dxa"/>
        <w:jc w:val="left"/>
        <w:tblInd w:w="0" w:type="dxa"/>
        <w:tblLayout w:type="fixed"/>
        <w:tblCellMar>
          <w:top w:w="28" w:type="dxa"/>
          <w:left w:w="28" w:type="dxa"/>
          <w:bottom w:w="28" w:type="dxa"/>
          <w:right w:w="28" w:type="dxa"/>
        </w:tblCellMar>
      </w:tblPr>
      <w:tblGrid>
        <w:gridCol w:w="1047"/>
        <w:gridCol w:w="821"/>
        <w:gridCol w:w="828"/>
        <w:gridCol w:w="236"/>
        <w:gridCol w:w="539"/>
        <w:gridCol w:w="121"/>
        <w:gridCol w:w="109"/>
        <w:gridCol w:w="109"/>
        <w:gridCol w:w="109"/>
        <w:gridCol w:w="384"/>
        <w:gridCol w:w="349"/>
        <w:gridCol w:w="341"/>
        <w:gridCol w:w="109"/>
        <w:gridCol w:w="109"/>
        <w:gridCol w:w="109"/>
        <w:gridCol w:w="234"/>
        <w:gridCol w:w="585"/>
        <w:gridCol w:w="120"/>
        <w:gridCol w:w="109"/>
        <w:gridCol w:w="109"/>
        <w:gridCol w:w="109"/>
        <w:gridCol w:w="236"/>
        <w:gridCol w:w="539"/>
        <w:gridCol w:w="121"/>
        <w:gridCol w:w="109"/>
        <w:gridCol w:w="109"/>
        <w:gridCol w:w="109"/>
        <w:gridCol w:w="384"/>
        <w:gridCol w:w="349"/>
        <w:gridCol w:w="341"/>
        <w:gridCol w:w="109"/>
        <w:gridCol w:w="109"/>
        <w:gridCol w:w="109"/>
        <w:gridCol w:w="233"/>
        <w:gridCol w:w="582"/>
        <w:gridCol w:w="180"/>
      </w:tblGrid>
      <w:tr>
        <w:trPr/>
        <w:tc>
          <w:tcPr>
            <w:tcW w:w="104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per share data)</w:t>
            </w:r>
          </w:p>
        </w:tc>
        <w:tc>
          <w:tcPr>
            <w:tcW w:w="8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Reported - GAAP</w:t>
            </w:r>
          </w:p>
        </w:tc>
        <w:tc>
          <w:tcPr>
            <w:tcW w:w="2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0.70</w:t>
            </w:r>
            <w:r>
              <w:rPr>
                <w:color w:val="000000"/>
              </w:rPr>
              <w:t>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0.50</w:t>
            </w:r>
            <w:r>
              <w:rPr>
                <w:color w:val="000000"/>
              </w:rPr>
              <w:t> </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Debt refinancing expense</w:t>
            </w:r>
            <w:r>
              <w:rPr>
                <w:rFonts w:ascii="Times New Roman;serif" w:hAnsi="Times New Roman;serif"/>
                <w:b w:val="false"/>
                <w:color w:val="000000"/>
                <w:sz w:val="13"/>
              </w:rPr>
              <w:t>(1)</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Costs to execute strategic initiatives</w:t>
            </w:r>
            <w:r>
              <w:rPr>
                <w:rFonts w:ascii="Times New Roman;serif" w:hAnsi="Times New Roman;serif"/>
                <w:b w:val="false"/>
                <w:color w:val="000000"/>
                <w:sz w:val="13"/>
              </w:rPr>
              <w:t>(1)</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CEO transition costs</w:t>
            </w:r>
            <w:r>
              <w:rPr>
                <w:rFonts w:ascii="Times New Roman;serif" w:hAnsi="Times New Roman;serif"/>
                <w:b w:val="false"/>
                <w:color w:val="000000"/>
                <w:sz w:val="13"/>
              </w:rPr>
              <w:t>(1)</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(Non-GAAP)</w:t>
            </w:r>
          </w:p>
        </w:tc>
        <w:tc>
          <w:tcPr>
            <w:tcW w:w="23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12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211.9</w:t>
            </w:r>
            <w:r>
              <w:rPr>
                <w:color w:val="000000"/>
              </w:rPr>
              <w:t> </w:t>
            </w:r>
          </w:p>
        </w:tc>
        <w:tc>
          <w:tcPr>
            <w:tcW w:w="34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0.70</w:t>
            </w:r>
            <w:r>
              <w:rPr>
                <w:color w:val="000000"/>
              </w:rPr>
              <w:t> </w:t>
            </w:r>
          </w:p>
        </w:tc>
        <w:tc>
          <w:tcPr>
            <w:tcW w:w="120"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w:t>
            </w:r>
            <w:r>
              <w:rPr>
                <w:color w:val="000000"/>
              </w:rPr>
              <w:t> </w:t>
            </w:r>
          </w:p>
        </w:tc>
        <w:tc>
          <w:tcPr>
            <w:tcW w:w="12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210.3</w:t>
            </w:r>
            <w:r>
              <w:rPr>
                <w:color w:val="000000"/>
              </w:rPr>
              <w:t> </w:t>
            </w:r>
          </w:p>
        </w:tc>
        <w:tc>
          <w:tcPr>
            <w:tcW w:w="341"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0.63</w:t>
            </w:r>
            <w:r>
              <w:rPr>
                <w:color w:val="000000"/>
              </w:rPr>
              <w:t> </w:t>
            </w:r>
          </w:p>
        </w:tc>
        <w:tc>
          <w:tcPr>
            <w:tcW w:w="180" w:type="dxa"/>
            <w:tcBorders>
              <w:top w:val="single" w:sz="4"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Amounts are after tax, calculated based on the applicable tax treatment of each adjustment, using a normalized effective tax rate of 23.5% for deductible items and 0% for non-deductible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 – Three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during the three months ended March 31, 2025, and industrial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Aggregation of Segment Revenue and Adjusted EBITDA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93"/>
        <w:gridCol w:w="652"/>
        <w:gridCol w:w="615"/>
        <w:gridCol w:w="264"/>
        <w:gridCol w:w="584"/>
        <w:gridCol w:w="138"/>
        <w:gridCol w:w="109"/>
        <w:gridCol w:w="109"/>
        <w:gridCol w:w="109"/>
        <w:gridCol w:w="303"/>
        <w:gridCol w:w="669"/>
        <w:gridCol w:w="157"/>
        <w:gridCol w:w="109"/>
        <w:gridCol w:w="109"/>
        <w:gridCol w:w="109"/>
        <w:gridCol w:w="262"/>
        <w:gridCol w:w="582"/>
        <w:gridCol w:w="137"/>
        <w:gridCol w:w="109"/>
        <w:gridCol w:w="109"/>
        <w:gridCol w:w="109"/>
        <w:gridCol w:w="389"/>
        <w:gridCol w:w="860"/>
        <w:gridCol w:w="202"/>
        <w:gridCol w:w="109"/>
        <w:gridCol w:w="109"/>
        <w:gridCol w:w="109"/>
        <w:gridCol w:w="320"/>
        <w:gridCol w:w="570"/>
        <w:gridCol w:w="166"/>
        <w:gridCol w:w="109"/>
        <w:gridCol w:w="109"/>
        <w:gridCol w:w="109"/>
        <w:gridCol w:w="227"/>
        <w:gridCol w:w="503"/>
        <w:gridCol w:w="177"/>
      </w:tblGrid>
      <w:tr>
        <w:trPr/>
        <w:tc>
          <w:tcPr>
            <w:tcW w:w="7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 xml:space="preserve">Cooking &amp; </w:t>
              <w:br/>
              <w:t>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Hefty Home &amp; </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Reynolds </w:t>
              <w:br/>
              <w:t xml:space="preserve">Consumer </w:t>
              <w:br/>
              <w:t>Products</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three months ended June 30:</w:t>
            </w:r>
          </w:p>
        </w:tc>
        <w:tc>
          <w:tcPr>
            <w:tcW w:w="9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EBITDA⁽²⁾ for the three months ended June 30:</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unallocated net revenues include other revenue adjustments. The unallocated Adjusted EBITDA represents the combination of corporate expenses which are not allocated to our segments and other unallocated revenue adjustments.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(2)Adjusted EBITDA is a non-GAAP measure. See “Non-GAAP Measures” for details, including a reconciliation between net income and Adjusted EBITDA.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Three Months Ended June 30, 2026 Compared with the Three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Reynolds Consumer Products</w:t>
      </w:r>
    </w:p>
    <w:p>
      <w:pPr>
        <w:pStyle w:val="TextBody"/>
        <w:bidi w:val="0"/>
        <w:spacing w:before="0" w:after="0"/>
        <w:jc w:val="both"/>
        <w:rPr/>
      </w:pPr>
      <w:r>
        <w:rPr/>
      </w:r>
    </w:p>
    <w:tbl>
      <w:tblPr>
        <w:tblW w:w="10050" w:type="dxa"/>
        <w:jc w:val="left"/>
        <w:tblInd w:w="0" w:type="dxa"/>
        <w:tblLayout w:type="fixed"/>
        <w:tblCellMar>
          <w:top w:w="28" w:type="dxa"/>
          <w:left w:w="28" w:type="dxa"/>
          <w:bottom w:w="28" w:type="dxa"/>
          <w:right w:w="28" w:type="dxa"/>
        </w:tblCellMar>
      </w:tblPr>
      <w:tblGrid>
        <w:gridCol w:w="1351"/>
        <w:gridCol w:w="1186"/>
        <w:gridCol w:w="1197"/>
        <w:gridCol w:w="229"/>
        <w:gridCol w:w="209"/>
        <w:gridCol w:w="212"/>
        <w:gridCol w:w="109"/>
        <w:gridCol w:w="109"/>
        <w:gridCol w:w="109"/>
        <w:gridCol w:w="240"/>
        <w:gridCol w:w="240"/>
        <w:gridCol w:w="241"/>
        <w:gridCol w:w="109"/>
        <w:gridCol w:w="109"/>
        <w:gridCol w:w="109"/>
        <w:gridCol w:w="229"/>
        <w:gridCol w:w="209"/>
        <w:gridCol w:w="212"/>
        <w:gridCol w:w="109"/>
        <w:gridCol w:w="109"/>
        <w:gridCol w:w="109"/>
        <w:gridCol w:w="240"/>
        <w:gridCol w:w="240"/>
        <w:gridCol w:w="241"/>
        <w:gridCol w:w="109"/>
        <w:gridCol w:w="109"/>
        <w:gridCol w:w="109"/>
        <w:gridCol w:w="211"/>
        <w:gridCol w:w="376"/>
        <w:gridCol w:w="109"/>
        <w:gridCol w:w="109"/>
        <w:gridCol w:w="109"/>
        <w:gridCol w:w="109"/>
        <w:gridCol w:w="290"/>
        <w:gridCol w:w="290"/>
        <w:gridCol w:w="291"/>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6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net revenues</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expense</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⁽¹⁾</w:t>
            </w:r>
          </w:p>
        </w:tc>
        <w:tc>
          <w:tcPr>
            <w:tcW w:w="22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2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w:t>
            </w:r>
            <w:r>
              <w:rPr>
                <w:color w:val="000000"/>
              </w:rPr>
              <w:t> </w:t>
            </w:r>
          </w:p>
        </w:tc>
        <w:tc>
          <w:tcPr>
            <w:tcW w:w="10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40" w:after="283"/>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is a non-GAAP measure. See “Non-GAAP Measures” for details, including a reconciliation between net income and Adjusted EBITDA.</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Components of Change in Net Revenues for the Three Months Ended June 30, 2026 vs. the Three Months Ended June 30, 2025</w:t>
      </w:r>
    </w:p>
    <w:p>
      <w:pPr>
        <w:pStyle w:val="TextBody"/>
        <w:bidi w:val="0"/>
        <w:spacing w:before="0" w:after="0"/>
        <w:jc w:val="both"/>
        <w:rPr/>
      </w:pPr>
      <w:r>
        <w:rPr/>
      </w:r>
    </w:p>
    <w:tbl>
      <w:tblPr>
        <w:tblW w:w="7180" w:type="dxa"/>
        <w:jc w:val="center"/>
        <w:tblInd w:w="0" w:type="dxa"/>
        <w:tblLayout w:type="fixed"/>
        <w:tblCellMar>
          <w:top w:w="28" w:type="dxa"/>
          <w:left w:w="28" w:type="dxa"/>
          <w:bottom w:w="28" w:type="dxa"/>
          <w:right w:w="28" w:type="dxa"/>
        </w:tblCellMar>
      </w:tblPr>
      <w:tblGrid>
        <w:gridCol w:w="1233"/>
        <w:gridCol w:w="1084"/>
        <w:gridCol w:w="1088"/>
        <w:gridCol w:w="160"/>
        <w:gridCol w:w="160"/>
        <w:gridCol w:w="161"/>
        <w:gridCol w:w="109"/>
        <w:gridCol w:w="109"/>
        <w:gridCol w:w="109"/>
        <w:gridCol w:w="180"/>
        <w:gridCol w:w="180"/>
        <w:gridCol w:w="181"/>
        <w:gridCol w:w="110"/>
        <w:gridCol w:w="110"/>
        <w:gridCol w:w="110"/>
        <w:gridCol w:w="300"/>
        <w:gridCol w:w="300"/>
        <w:gridCol w:w="301"/>
        <w:gridCol w:w="109"/>
        <w:gridCol w:w="109"/>
        <w:gridCol w:w="109"/>
        <w:gridCol w:w="165"/>
        <w:gridCol w:w="165"/>
        <w:gridCol w:w="166"/>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Volume/Mix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Cooking &amp; Kitchen Essentials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Waste &amp; Clean-Up</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Home &amp; Tableware</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Storage &amp; Organization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RCP</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Total Net Revenues</w:t>
      </w:r>
      <w:r>
        <w:rPr>
          <w:rFonts w:ascii="Times New Roman;serif" w:hAnsi="Times New Roman;serif"/>
          <w:b w:val="false"/>
          <w:color w:val="000000"/>
          <w:sz w:val="20"/>
        </w:rPr>
        <w:t xml:space="preserve">. Total net revenues increased by $6 million, or 1%, to $944 million. The increase was driven </w:t>
      </w:r>
      <w:r>
        <w:rPr>
          <w:rFonts w:ascii="Times New Roman;serif" w:hAnsi="Times New Roman;serif"/>
          <w:b w:val="false"/>
          <w:color w:val="000000"/>
          <w:sz w:val="20"/>
          <w:shd w:fill="FFFFFF" w:val="clear"/>
        </w:rPr>
        <w:t>by higher pricing in response to higher input costs and the timing of promotional activity, partially offset by lower volume.</w:t>
      </w:r>
    </w:p>
    <w:p>
      <w:pPr>
        <w:pStyle w:val="TextBody"/>
        <w:bidi w:val="0"/>
        <w:spacing w:before="40" w:after="283"/>
        <w:jc w:val="both"/>
        <w:rPr/>
      </w:pPr>
      <w:r>
        <w:rPr/>
      </w:r>
    </w:p>
    <w:p>
      <w:pPr>
        <w:pStyle w:val="TextBody"/>
        <w:bidi w:val="0"/>
        <w:spacing w:lineRule="auto" w:line="268" w:before="0" w:after="0"/>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Cost of sales decreased by $13 million, or 2%, to $699 million. The decrease was primarily driven by lower operational costs and lower volume.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expenses increased by $11 million, or 11%, to $107 million, primarily driven by higher personnel costs, higher professional fees and higher advertising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Other Expense, Net. </w:t>
      </w:r>
      <w:r>
        <w:rPr>
          <w:rFonts w:ascii="Times New Roman;serif" w:hAnsi="Times New Roman;serif"/>
          <w:b w:val="false"/>
          <w:color w:val="000000"/>
          <w:sz w:val="20"/>
        </w:rPr>
        <w:t>Other expense, net decreased by $12 million, or 100%, reflecting costs to execute strategic initiatives and costs associated with our CEO transition in the prior year period that did not repeat in the current 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w:t>
      </w:r>
      <w:r>
        <w:rPr>
          <w:rFonts w:ascii="Times New Roman;serif" w:hAnsi="Times New Roman;serif"/>
          <w:b w:val="false"/>
          <w:i/>
          <w:color w:val="000000"/>
          <w:sz w:val="20"/>
        </w:rPr>
        <w:t>Net</w:t>
      </w:r>
      <w:r>
        <w:rPr>
          <w:rFonts w:ascii="Times New Roman;serif" w:hAnsi="Times New Roman;serif"/>
          <w:b w:val="false"/>
          <w:color w:val="000000"/>
          <w:sz w:val="20"/>
        </w:rPr>
        <w:t>. Interest expense, net was flat compared to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We recognized income tax expense of $27 million on income before income taxes of $116 million (an effective tax rate of 23.6%) for the three months ended June 30, 2026 compared to income tax expense of $23 million on income before income taxes of $96 million (an effective tax rate of 23.7%)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360" w:after="283"/>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Adjusted EBITDA increased by $8 million, or 5%, to $171 million. The increase in Adjusted EBITDA was driven by lower operational costs, partially offset by lower volume and higher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Reynolds Cooking &amp; Kitchen Essentials</w:t>
      </w:r>
    </w:p>
    <w:tbl>
      <w:tblPr>
        <w:tblW w:w="7522" w:type="dxa"/>
        <w:jc w:val="center"/>
        <w:tblInd w:w="0" w:type="dxa"/>
        <w:tblLayout w:type="fixed"/>
        <w:tblCellMar>
          <w:top w:w="28" w:type="dxa"/>
          <w:left w:w="28" w:type="dxa"/>
          <w:bottom w:w="28" w:type="dxa"/>
          <w:right w:w="28" w:type="dxa"/>
        </w:tblCellMar>
      </w:tblPr>
      <w:tblGrid>
        <w:gridCol w:w="1085"/>
        <w:gridCol w:w="953"/>
        <w:gridCol w:w="962"/>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Non-retail net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i/>
          <w:color w:val="000000"/>
          <w:sz w:val="20"/>
        </w:rPr>
        <w:t>Total Segment Net Revenues</w:t>
      </w:r>
      <w:r>
        <w:rPr>
          <w:rFonts w:ascii="Times New Roman;serif" w:hAnsi="Times New Roman;serif"/>
          <w:b w:val="false"/>
          <w:color w:val="000000"/>
          <w:sz w:val="20"/>
        </w:rPr>
        <w:t>. Reynolds Cooking &amp; Kitchen Essentials total segment net revenues increased by $19 million, or 6%, to $314 million. The increase in net revenues was primarily due to higher pricing, in response to higher input costs, partially offset by lower volume.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Reynolds Cooking &amp; Kitchen Essentials Adjusted EBITDA increased by $4 million, or 8%, to $53 million. The increase was primarily driven by lower operational costs, partially offset by the impact of lower volume.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Waste &amp; Clean-Up</w:t>
      </w:r>
    </w:p>
    <w:tbl>
      <w:tblPr>
        <w:tblW w:w="7485" w:type="dxa"/>
        <w:jc w:val="center"/>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35"/>
        <w:gridCol w:w="331"/>
        <w:gridCol w:w="123"/>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rFonts w:ascii="Times New Roman;serif" w:hAnsi="Times New Roman;serif"/>
          <w:b w:val="false"/>
          <w:color w:val="000000"/>
          <w:sz w:val="20"/>
        </w:rPr>
        <w:t>. Hefty Waste &amp; Clean-Up total segment net revenues decreased by $3 million, or 1%, to $233 million. The decrease in net revenues was due to the timing of promotional activities.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Hefty Waste &amp; Clean-Up Adjusted EBITDA decreased by $3 million, or 4%, to $69 million. The decrease was due to the impact of lower revenue.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Home &amp; Tableware</w:t>
      </w:r>
    </w:p>
    <w:tbl>
      <w:tblPr>
        <w:tblW w:w="7552" w:type="dxa"/>
        <w:jc w:val="center"/>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11"/>
        <w:gridCol w:w="436"/>
        <w:gridCol w:w="109"/>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color w:val="000000"/>
        </w:rPr>
        <w:t xml:space="preserve"> </w:t>
      </w:r>
      <w:r>
        <w:rPr>
          <w:rFonts w:ascii="Times New Roman;serif" w:hAnsi="Times New Roman;serif"/>
          <w:b w:val="false"/>
          <w:color w:val="000000"/>
          <w:sz w:val="20"/>
        </w:rPr>
        <w:t>Hefty Home &amp; Tableware total segment net revenues decreased by $25 million, or 10%, to $217 million. The decrease in net revenues was primarily due to lower volume, primarily foam, partially offset by reduced promotional activity.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Hefty Home &amp; Tableware Adjusted EBITDA increased by $8 million, or 23%, to $43 million. The increase in Adjusted EBITDA was primarily driven by</w:t>
      </w:r>
      <w:r>
        <w:rPr>
          <w:color w:val="000000"/>
        </w:rPr>
        <w:t xml:space="preserve"> </w:t>
      </w:r>
      <w:r>
        <w:rPr>
          <w:rFonts w:ascii="Times New Roman;serif" w:hAnsi="Times New Roman;serif"/>
          <w:b w:val="false"/>
          <w:color w:val="000000"/>
          <w:sz w:val="20"/>
        </w:rPr>
        <w:t xml:space="preserve">lower operational costs. The impact of lower volume was offset by reduced promotional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Storage &amp; Organization</w:t>
      </w:r>
    </w:p>
    <w:tbl>
      <w:tblPr>
        <w:tblW w:w="7457" w:type="dxa"/>
        <w:jc w:val="left"/>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42"/>
        <w:gridCol w:w="293"/>
        <w:gridCol w:w="126"/>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color w:val="000000"/>
        </w:rPr>
        <w:t xml:space="preserve"> </w:t>
      </w:r>
      <w:r>
        <w:rPr>
          <w:rFonts w:ascii="Times New Roman;serif" w:hAnsi="Times New Roman;serif"/>
          <w:b w:val="false"/>
          <w:color w:val="000000"/>
          <w:sz w:val="20"/>
        </w:rPr>
        <w:t>Hefty Storage &amp; Organization total segment net revenues increased by $9 million, or 5%, to $176 million. The increase in net revenues was due to higher volume, partially offset by the timing of promotional activities.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Hefty Storage &amp; Organization Adjusted EBITDA decreased by $3 million, or 10%, to $27 million. The decrease in Adjusted EBITDA was primarily driven by costs associated with the ramp up of new business and higher promotional activity.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 – Six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through March 31, 2025, and industrial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Aggregation of Segment Revenue and Adjusted EBITDA</w:t>
      </w:r>
    </w:p>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771"/>
        <w:gridCol w:w="632"/>
        <w:gridCol w:w="595"/>
        <w:gridCol w:w="263"/>
        <w:gridCol w:w="583"/>
        <w:gridCol w:w="138"/>
        <w:gridCol w:w="109"/>
        <w:gridCol w:w="109"/>
        <w:gridCol w:w="109"/>
        <w:gridCol w:w="302"/>
        <w:gridCol w:w="668"/>
        <w:gridCol w:w="156"/>
        <w:gridCol w:w="109"/>
        <w:gridCol w:w="109"/>
        <w:gridCol w:w="109"/>
        <w:gridCol w:w="258"/>
        <w:gridCol w:w="573"/>
        <w:gridCol w:w="135"/>
        <w:gridCol w:w="109"/>
        <w:gridCol w:w="109"/>
        <w:gridCol w:w="109"/>
        <w:gridCol w:w="388"/>
        <w:gridCol w:w="859"/>
        <w:gridCol w:w="202"/>
        <w:gridCol w:w="109"/>
        <w:gridCol w:w="109"/>
        <w:gridCol w:w="109"/>
        <w:gridCol w:w="320"/>
        <w:gridCol w:w="570"/>
        <w:gridCol w:w="166"/>
        <w:gridCol w:w="109"/>
        <w:gridCol w:w="109"/>
        <w:gridCol w:w="109"/>
        <w:gridCol w:w="211"/>
        <w:gridCol w:w="616"/>
        <w:gridCol w:w="164"/>
      </w:tblGrid>
      <w:tr>
        <w:trPr/>
        <w:tc>
          <w:tcPr>
            <w:tcW w:w="7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Reynolds</w:t>
              <w:br/>
              <w:t xml:space="preserve">Cooking &amp; </w:t>
              <w:br/>
              <w:t>Kitchen Essentials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Waste &amp; Clean-Up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 Home &amp;</w:t>
              <w:br/>
              <w:t>Tableware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Hefty</w:t>
              <w:br/>
              <w:t>Storage &amp;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Unallocated⁽</w:t>
            </w:r>
            <w:r>
              <w:rPr>
                <w:rFonts w:ascii="Times New Roman;serif" w:hAnsi="Times New Roman;serif"/>
                <w:b/>
                <w:color w:val="000000"/>
                <w:sz w:val="10"/>
              </w:rPr>
              <w:t>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Reynolds </w:t>
              <w:br/>
              <w:t xml:space="preserve">Consumer </w:t>
              <w:br/>
              <w:t>Products</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six months ended June 30:</w:t>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EBITDA⁽²⁾ for the six months ended June 30:</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unallocated net revenues include other revenue adjustments. The unallocated Adjusted EBITDA represents the combination of corporate expenses which are not allocated to our segments and other unallocated revenue adjustments.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(2)Adjusted EBITDA is a non-GAAP measure. See “Non-GAAP Measures” for details, including a reconciliation between net income and Adjusted EBITDA.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Six Months Ended June 30, 2026 Compared with the Six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Reynolds Consumer Products</w:t>
      </w:r>
    </w:p>
    <w:tbl>
      <w:tblPr>
        <w:tblW w:w="10205" w:type="dxa"/>
        <w:jc w:val="left"/>
        <w:tblInd w:w="0" w:type="dxa"/>
        <w:tblLayout w:type="fixed"/>
        <w:tblCellMar>
          <w:top w:w="28" w:type="dxa"/>
          <w:left w:w="28" w:type="dxa"/>
          <w:bottom w:w="28" w:type="dxa"/>
          <w:right w:w="28" w:type="dxa"/>
        </w:tblCellMar>
      </w:tblPr>
      <w:tblGrid>
        <w:gridCol w:w="1261"/>
        <w:gridCol w:w="1023"/>
        <w:gridCol w:w="1032"/>
        <w:gridCol w:w="211"/>
        <w:gridCol w:w="616"/>
        <w:gridCol w:w="109"/>
        <w:gridCol w:w="109"/>
        <w:gridCol w:w="109"/>
        <w:gridCol w:w="109"/>
        <w:gridCol w:w="240"/>
        <w:gridCol w:w="240"/>
        <w:gridCol w:w="241"/>
        <w:gridCol w:w="109"/>
        <w:gridCol w:w="109"/>
        <w:gridCol w:w="109"/>
        <w:gridCol w:w="211"/>
        <w:gridCol w:w="616"/>
        <w:gridCol w:w="109"/>
        <w:gridCol w:w="109"/>
        <w:gridCol w:w="109"/>
        <w:gridCol w:w="109"/>
        <w:gridCol w:w="240"/>
        <w:gridCol w:w="240"/>
        <w:gridCol w:w="241"/>
        <w:gridCol w:w="109"/>
        <w:gridCol w:w="109"/>
        <w:gridCol w:w="109"/>
        <w:gridCol w:w="211"/>
        <w:gridCol w:w="376"/>
        <w:gridCol w:w="109"/>
        <w:gridCol w:w="109"/>
        <w:gridCol w:w="109"/>
        <w:gridCol w:w="109"/>
        <w:gridCol w:w="290"/>
        <w:gridCol w:w="290"/>
        <w:gridCol w:w="291"/>
        <w:gridCol w:w="109"/>
        <w:gridCol w:w="109"/>
        <w:gridCol w:w="155"/>
      </w:tblGrid>
      <w:tr>
        <w:trPr/>
        <w:tc>
          <w:tcPr>
            <w:tcW w:w="1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net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1,756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⁽¹⁾</w:t>
            </w:r>
          </w:p>
        </w:tc>
        <w:tc>
          <w:tcPr>
            <w:tcW w:w="211"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302</w:t>
            </w:r>
            <w:r>
              <w:rPr>
                <w:color w:val="000000"/>
              </w:rPr>
              <w:t> </w:t>
            </w:r>
          </w:p>
        </w:tc>
        <w:tc>
          <w:tcPr>
            <w:tcW w:w="10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w:t>
            </w:r>
            <w:r>
              <w:rPr>
                <w:color w:val="000000"/>
              </w:rPr>
              <w:t> </w:t>
            </w:r>
          </w:p>
        </w:tc>
        <w:tc>
          <w:tcPr>
            <w:tcW w:w="10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1"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109" w:type="dxa"/>
            <w:tcBorders>
              <w:top w:val="double" w:sz="5"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5"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is a non-GAAP measure. See “Non-GAAP Measures” for details, including a reconciliation between net income and Adjusted EBITDA.</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Components of Change in Net Revenues for the Six Months Ended June 30, 2026 vs. the Six Months Ended June 30, 2025</w:t>
      </w:r>
    </w:p>
    <w:tbl>
      <w:tblPr>
        <w:tblW w:w="7180" w:type="dxa"/>
        <w:jc w:val="left"/>
        <w:tblInd w:w="0" w:type="dxa"/>
        <w:tblLayout w:type="fixed"/>
        <w:tblCellMar>
          <w:top w:w="28" w:type="dxa"/>
          <w:left w:w="28" w:type="dxa"/>
          <w:bottom w:w="28" w:type="dxa"/>
          <w:right w:w="28" w:type="dxa"/>
        </w:tblCellMar>
      </w:tblPr>
      <w:tblGrid>
        <w:gridCol w:w="1233"/>
        <w:gridCol w:w="1084"/>
        <w:gridCol w:w="1088"/>
        <w:gridCol w:w="160"/>
        <w:gridCol w:w="160"/>
        <w:gridCol w:w="161"/>
        <w:gridCol w:w="109"/>
        <w:gridCol w:w="109"/>
        <w:gridCol w:w="109"/>
        <w:gridCol w:w="180"/>
        <w:gridCol w:w="180"/>
        <w:gridCol w:w="181"/>
        <w:gridCol w:w="110"/>
        <w:gridCol w:w="110"/>
        <w:gridCol w:w="110"/>
        <w:gridCol w:w="300"/>
        <w:gridCol w:w="300"/>
        <w:gridCol w:w="301"/>
        <w:gridCol w:w="109"/>
        <w:gridCol w:w="109"/>
        <w:gridCol w:w="109"/>
        <w:gridCol w:w="165"/>
        <w:gridCol w:w="165"/>
        <w:gridCol w:w="166"/>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Volume/Mix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Cooking &amp; Kitchen Essentials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Waste &amp; Clean-Up</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Home &amp; Tableware</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Hefty Storage &amp; Organization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RCP</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i/>
          <w:color w:val="000000"/>
          <w:sz w:val="20"/>
        </w:rPr>
        <w:t>Total Net Revenues</w:t>
      </w:r>
      <w:r>
        <w:rPr>
          <w:rFonts w:ascii="Times New Roman;serif" w:hAnsi="Times New Roman;serif"/>
          <w:b w:val="false"/>
          <w:color w:val="000000"/>
          <w:sz w:val="20"/>
        </w:rPr>
        <w:t>. Total net revenues increased by $65 million, or 4% to $1,821 million. The increase was primarily driven by higher pricing in response to higher input costs, partially offset by lower volume</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Cost of Sales</w:t>
      </w:r>
      <w:r>
        <w:rPr>
          <w:rFonts w:ascii="Times New Roman;serif" w:hAnsi="Times New Roman;serif"/>
          <w:b w:val="false"/>
          <w:color w:val="000000"/>
          <w:sz w:val="20"/>
        </w:rPr>
        <w:t>. Cost of sales increased by $27 million, or 2%, to $1,368 million. The increase was primarily driven by higher input costs, partially offset by lower operational costs and lower volume.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expenses increased by $15 million, or 7%, to $216 million, primarily driven by higher personnel costs and higher professional fees.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Other Expense, Net. </w:t>
      </w:r>
      <w:r>
        <w:rPr>
          <w:rFonts w:ascii="Times New Roman;serif" w:hAnsi="Times New Roman;serif"/>
          <w:b w:val="false"/>
          <w:color w:val="000000"/>
          <w:sz w:val="20"/>
        </w:rPr>
        <w:t>Other expense, net decreased by $21 million, or 100%, to zero in the six months ended June 30, 2026, reflecting costs to execute strategic initiatives and costs associated with our CEO transition in the prior year period that did not repeat in the current 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w:t>
      </w:r>
      <w:r>
        <w:rPr>
          <w:rFonts w:ascii="Times New Roman;serif" w:hAnsi="Times New Roman;serif"/>
          <w:b w:val="false"/>
          <w:i/>
          <w:color w:val="000000"/>
          <w:sz w:val="20"/>
        </w:rPr>
        <w:t>Net</w:t>
      </w:r>
      <w:r>
        <w:rPr>
          <w:rFonts w:ascii="Times New Roman;serif" w:hAnsi="Times New Roman;serif"/>
          <w:b w:val="false"/>
          <w:color w:val="000000"/>
          <w:sz w:val="20"/>
        </w:rPr>
        <w:t xml:space="preserve">. Interest expense, net increased by $2 million, or 5%, to $44 million.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Debt Refinancing Expense</w:t>
      </w:r>
      <w:r>
        <w:rPr>
          <w:rFonts w:ascii="Times New Roman;serif" w:hAnsi="Times New Roman;serif"/>
          <w:b w:val="false"/>
          <w:color w:val="000000"/>
          <w:sz w:val="20"/>
        </w:rPr>
        <w:t xml:space="preserve">. In connection with the refinancing of our senior secured term loan facility in March 2025, we recorded debt refinancing expense of $13 million in the six months ended June 30,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We recognized income tax expense of $45 million on income before taxes of $193 million (an effective tax rate of 23.6%) for the six months ended June 30, 2026 compared to income tax expense of $33 million on income before taxes of $138 million (an effective tax rate of 23.9%) for the six months ended June 30, 2025.</w:t>
      </w:r>
    </w:p>
    <w:p>
      <w:pPr>
        <w:pStyle w:val="TextBody"/>
        <w:bidi w:val="0"/>
        <w:spacing w:lineRule="auto" w:line="26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Adjusted EBITDA increased by $23 million, or 8%, to $302 million. The increase in Adjusted EBITDA was primarily attributable to the timing of pricing actions in relation to input cost increases and lower operational costs, partially offset by higher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Reynolds Cooking &amp; Kitchen Essentials</w:t>
      </w:r>
    </w:p>
    <w:tbl>
      <w:tblPr>
        <w:tblW w:w="7522" w:type="dxa"/>
        <w:jc w:val="left"/>
        <w:tblInd w:w="0" w:type="dxa"/>
        <w:tblLayout w:type="fixed"/>
        <w:tblCellMar>
          <w:top w:w="28" w:type="dxa"/>
          <w:left w:w="28" w:type="dxa"/>
          <w:bottom w:w="28" w:type="dxa"/>
          <w:right w:w="28" w:type="dxa"/>
        </w:tblCellMar>
      </w:tblPr>
      <w:tblGrid>
        <w:gridCol w:w="1085"/>
        <w:gridCol w:w="953"/>
        <w:gridCol w:w="962"/>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Non-retail net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rFonts w:ascii="Times New Roman;serif" w:hAnsi="Times New Roman;serif"/>
          <w:b w:val="false"/>
          <w:color w:val="000000"/>
          <w:sz w:val="20"/>
        </w:rPr>
        <w:t>. Reynolds Cooking &amp; Kitchen Essentials total segment net revenues increased by $75 million, or 14%, to $629 million. The increase in net revenues was primarily due to higher pricing in response to higher input costs, partially offset by lower volume.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Adjusted EBITDA</w:t>
      </w:r>
      <w:r>
        <w:rPr>
          <w:rFonts w:ascii="Times New Roman;serif" w:hAnsi="Times New Roman;serif"/>
          <w:b w:val="false"/>
          <w:color w:val="000000"/>
          <w:sz w:val="20"/>
        </w:rPr>
        <w:t>. Reynolds Cooking &amp; Kitchen Essentials Adjusted EBITDA increased by $10 million, or 11%, to $97 million. The increase in Adjusted EBITDA was primarily driven by lower operational costs and the timing of pricing actions in relation to input cost increases and lower operational costs.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Waste &amp; Clean-Up</w:t>
      </w:r>
    </w:p>
    <w:tbl>
      <w:tblPr>
        <w:tblW w:w="7485" w:type="dxa"/>
        <w:jc w:val="center"/>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35"/>
        <w:gridCol w:w="331"/>
        <w:gridCol w:w="123"/>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rFonts w:ascii="Times New Roman;serif" w:hAnsi="Times New Roman;serif"/>
          <w:b w:val="false"/>
          <w:color w:val="000000"/>
          <w:sz w:val="20"/>
        </w:rPr>
        <w:t>. Hefty Waste &amp; Clean-Up total segment net revenues decreased by $5 million, or 1%, to $457 million. The decrease in net revenues was primarily driven by the timing of promotional activities and lower volume.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Hefty Waste &amp; Clean-Up Adjusted EBITDA decreased by $3 million, or 2%, to $131 million. The decrease in Adjusted EBITDA was primarily driven by lower revenue and higher logistics costs, partially offset by lower operational costs.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Home &amp; Tableware</w:t>
      </w:r>
    </w:p>
    <w:tbl>
      <w:tblPr>
        <w:tblW w:w="7552" w:type="dxa"/>
        <w:jc w:val="left"/>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11"/>
        <w:gridCol w:w="436"/>
        <w:gridCol w:w="109"/>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Total Segment Net Revenues.</w:t>
      </w:r>
      <w:r>
        <w:rPr>
          <w:color w:val="000000"/>
        </w:rPr>
        <w:t xml:space="preserve"> </w:t>
      </w:r>
      <w:r>
        <w:rPr>
          <w:rFonts w:ascii="Times New Roman;serif" w:hAnsi="Times New Roman;serif"/>
          <w:b w:val="false"/>
          <w:color w:val="000000"/>
          <w:sz w:val="20"/>
        </w:rPr>
        <w:t xml:space="preserve">Hefty Home &amp; Tableware total segment net revenues decreased by $24 million, or 6%, to $397 million. The decrease in net revenues was primarily due to lower foam volume, partially offset by the wrap-around of prior year price increases.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Hefty Home &amp; Tableware Adjusted EBITDA increased by $20 million, or 38%, to $72 million. The increase in Adjusted EBITDA was primarily due to lower operational costs. The impact of lower volume was partially offset by reduced promotional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Hefty Storage &amp; Organization</w:t>
      </w:r>
    </w:p>
    <w:tbl>
      <w:tblPr>
        <w:tblW w:w="7477" w:type="dxa"/>
        <w:jc w:val="left"/>
        <w:tblInd w:w="0" w:type="dxa"/>
        <w:tblLayout w:type="fixed"/>
        <w:tblCellMar>
          <w:top w:w="28" w:type="dxa"/>
          <w:left w:w="28" w:type="dxa"/>
          <w:bottom w:w="28" w:type="dxa"/>
          <w:right w:w="28" w:type="dxa"/>
        </w:tblCellMar>
      </w:tblPr>
      <w:tblGrid>
        <w:gridCol w:w="1085"/>
        <w:gridCol w:w="953"/>
        <w:gridCol w:w="962"/>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90"/>
        <w:gridCol w:w="290"/>
        <w:gridCol w:w="2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for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pPr>
      <w:r>
        <w:rPr>
          <w:rFonts w:ascii="Times New Roman;serif" w:hAnsi="Times New Roman;serif"/>
          <w:b w:val="false"/>
          <w:i/>
          <w:color w:val="000000"/>
          <w:sz w:val="20"/>
        </w:rPr>
        <w:t>Total Segment Net Revenues.</w:t>
      </w:r>
      <w:r>
        <w:rPr>
          <w:color w:val="000000"/>
        </w:rPr>
        <w:t xml:space="preserve"> </w:t>
      </w:r>
      <w:r>
        <w:rPr>
          <w:rFonts w:ascii="Times New Roman;serif" w:hAnsi="Times New Roman;serif"/>
          <w:b w:val="false"/>
          <w:color w:val="000000"/>
          <w:sz w:val="20"/>
        </w:rPr>
        <w:t>Hefty Storage &amp; Organization total segment net revenues increased by $15 million, or 5%, to $335 million. The increase in net revenues was primarily driven by higher volume, partially offset by the timing of promotional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Adjusted EBITDA</w:t>
      </w:r>
      <w:r>
        <w:rPr>
          <w:rFonts w:ascii="Times New Roman;serif" w:hAnsi="Times New Roman;serif"/>
          <w:b w:val="false"/>
          <w:color w:val="000000"/>
          <w:sz w:val="20"/>
        </w:rPr>
        <w:t>. Hefty Storage &amp; Organization Adjusted EBITDA increased by $3 million, or 6%, to $54 million. The increase in Adjusted EBITDA was primarily driven by lower operational costs and higher volume, partially offset by the timing of promotional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existing cash and cash equivalents, cash generated from operating activities and available borrowings under the Revolving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our cash flows for the periods presented:</w:t>
      </w:r>
    </w:p>
    <w:tbl>
      <w:tblPr>
        <w:tblW w:w="6162" w:type="dxa"/>
        <w:jc w:val="center"/>
        <w:tblInd w:w="0" w:type="dxa"/>
        <w:tblLayout w:type="fixed"/>
        <w:tblCellMar>
          <w:top w:w="28" w:type="dxa"/>
          <w:left w:w="28" w:type="dxa"/>
          <w:bottom w:w="28" w:type="dxa"/>
          <w:right w:w="28" w:type="dxa"/>
        </w:tblCellMar>
      </w:tblPr>
      <w:tblGrid>
        <w:gridCol w:w="1256"/>
        <w:gridCol w:w="1103"/>
        <w:gridCol w:w="1106"/>
        <w:gridCol w:w="293"/>
        <w:gridCol w:w="647"/>
        <w:gridCol w:w="151"/>
        <w:gridCol w:w="151"/>
        <w:gridCol w:w="151"/>
        <w:gridCol w:w="151"/>
        <w:gridCol w:w="293"/>
        <w:gridCol w:w="647"/>
        <w:gridCol w:w="213"/>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Decrease in cash and cash equivalents</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60" w:after="283"/>
        <w:jc w:val="both"/>
        <w:rPr/>
      </w:pPr>
      <w:r>
        <w:rPr>
          <w:rFonts w:ascii="Times New Roman;serif" w:hAnsi="Times New Roman;serif"/>
          <w:b w:val="false"/>
          <w:i/>
          <w:color w:val="000000"/>
          <w:sz w:val="20"/>
        </w:rPr>
        <w:t>Cash provided by operating activities</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Net cash from operating activities increased by $26 million to $173 million in the six months ended June 30, 2026. </w:t>
      </w:r>
      <w:r>
        <w:rPr>
          <w:rFonts w:ascii="Times New Roman;serif" w:hAnsi="Times New Roman;serif"/>
          <w:b w:val="false"/>
          <w:color w:val="212529"/>
          <w:sz w:val="20"/>
        </w:rPr>
        <w:t>The increase was primarily driven by higher net income partially offset by higher working capital.</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$22 million to $101 million. The increase was driven by higher cash outlays for capital expenditures.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lineRule="auto" w:line="288" w:before="120" w:after="283"/>
        <w:jc w:val="both"/>
        <w:rPr/>
      </w:pPr>
      <w:r>
        <w:rPr>
          <w:rFonts w:ascii="Times New Roman;serif" w:hAnsi="Times New Roman;serif"/>
          <w:b w:val="false"/>
          <w:color w:val="000000"/>
          <w:sz w:val="20"/>
        </w:rPr>
        <w:t xml:space="preserve">Net cash used in financing activities increased by $5 million to $153 million. The increase was primarily attributable to higher </w:t>
      </w:r>
      <w:r>
        <w:rPr>
          <w:rFonts w:ascii="Times New Roman;serif" w:hAnsi="Times New Roman;serif"/>
          <w:b w:val="false"/>
          <w:color w:val="212529"/>
          <w:sz w:val="20"/>
        </w:rPr>
        <w:t>tax withholdings on stock awards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External Debt Facilities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remained unchanged .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under the Term Loan Facility was $1,536 million. As of June 30, 2026, we had no outstanding borrowings under the Revolving Facility, and we had $8 million of letters of credit outstanding, which reduces the borrowing capacity under the Revolving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rate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External Debt Facilities bear interest at a rate per annum equal to, at our option, either a base rate plus an applicable margin of 0.75% or SOFR plus an applicable margin of 1.75%.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series of interest rate swaps to fix the SOFR of our External Debt Facilities.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notional amount of interest rate swaps in effect as of June 30, 2026 was $900 million, and the SOFR was fixed at an annual rate of 3.33% to 3.41% (resulting in annual effective interest rates of 5.08% to 5.16%, including margin). These interest rate swaps hedge a portion of the interest rate exposure resulting from borrowings under our Term Loan Facility for between two and five years.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Prepayments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Facility contains customary mandatory prepayments, including with respect to excess cash flow, asset sale proceeds and proceeds from certain incurrences of indebtedness.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Borrower may voluntarily repay outstanding loans under the Term Loan Facility at any time without premium or penalty, other than customary breakage costs with respect to SOFR based loans.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made voluntary principal payments of $50 million related to our Term Loan Facility.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and maturity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 Loan Facility matures in March 2032. The Term Loan Facility amortizes in equal quarterly installments of $4 million, which commenced in June 2025, with the balance payable on maturity. As a result of voluntary principal repayments made, the Term Loan Facility has no quarterly amortization payments due until December 2031, when the quarterly amortization payments will recommence.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Revolving Facility matures in October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Guarantee and security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Certain covenants and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External Debt Facilities contain a number of covenants that, among other things, restrict, subject to certain exceptions, our ability and the ability of the restricted subsidiaries of RCPI to:</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incur additional indebtedness and guarantee indebtedness;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create or incur liens;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engage in mergers or consolidations;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sell, transfer or otherwise dispose of assets;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pay dividends and distributions or repurchase capital stock;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prepay, redeem or repurchase certain indebtedness;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make investments, loans and advances;</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enter into certain transactions with affiliates;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enter into agreements which limit the ability of our restricted subsidiaries to incur restrictions on their ability to make distributions; and </w:t>
      </w:r>
    </w:p>
    <w:p>
      <w:pPr>
        <w:pStyle w:val="TextBody"/>
        <w:bidi w:val="0"/>
        <w:spacing w:lineRule="auto" w:line="288" w:before="120" w:after="283"/>
        <w:ind w:left="0" w:right="0" w:hanging="490"/>
        <w:jc w:val="left"/>
        <w:rPr/>
      </w:pPr>
      <w:r>
        <w:rPr>
          <w:color w:val="000000"/>
        </w:rPr>
        <w:t>•</w:t>
      </w:r>
      <w:r>
        <w:rPr>
          <w:rFonts w:ascii="Times New Roman;serif" w:hAnsi="Times New Roman;serif"/>
          <w:b w:val="false"/>
          <w:color w:val="000000"/>
          <w:sz w:val="20"/>
        </w:rPr>
        <w:t xml:space="preserve">enter into amendments to certain indebtedness in a manner materially adverse to the lenders.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occurs, the lenders under the External Debt Facilities are entitled to take various actions, including the acceleration of amounts due under the External Debt Facilities and all actions permitted to be taken by secured creditors.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in compliance with the covenants contained in our External Debt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 Factoring</w:t>
      </w:r>
    </w:p>
    <w:p>
      <w:pPr>
        <w:pStyle w:val="TextBody"/>
        <w:bidi w:val="0"/>
        <w:spacing w:lineRule="auto" w:line="288" w:before="240" w:after="283"/>
        <w:jc w:val="both"/>
        <w:rPr/>
      </w:pPr>
      <w:r>
        <w:rPr>
          <w:rFonts w:ascii="Times New Roman;serif" w:hAnsi="Times New Roman;serif"/>
          <w:b w:val="false"/>
          <w:color w:val="000000"/>
          <w:sz w:val="20"/>
        </w:rPr>
        <w:t>We are party to a factoring agreement with a global financial institution to sell certain accounts receivable up to</w:t>
      </w:r>
      <w:r>
        <w:rPr>
          <w:color w:val="212529"/>
        </w:rPr>
        <w:t xml:space="preserve"> </w:t>
      </w:r>
      <w:r>
        <w:rPr>
          <w:rFonts w:ascii="Times New Roman;serif" w:hAnsi="Times New Roman;serif"/>
          <w:b w:val="false"/>
          <w:color w:val="212529"/>
          <w:sz w:val="20"/>
        </w:rPr>
        <w:t xml:space="preserve">$95 million. Factored receivables as of </w:t>
      </w:r>
      <w:r>
        <w:rPr>
          <w:rFonts w:ascii="Times New Roman;serif" w:hAnsi="Times New Roman;serif"/>
          <w:b w:val="false"/>
          <w:color w:val="000000"/>
          <w:sz w:val="20"/>
        </w:rPr>
        <w:t xml:space="preserve">June 30, 2026 were </w:t>
      </w:r>
      <w:r>
        <w:rPr>
          <w:rFonts w:ascii="Times New Roman;serif" w:hAnsi="Times New Roman;serif"/>
          <w:b w:val="false"/>
          <w:color w:val="212529"/>
          <w:sz w:val="20"/>
          <w:shd w:fill="FFFFFF" w:val="clear"/>
        </w:rPr>
        <w:t>$38 million.</w:t>
      </w:r>
      <w:r>
        <w:rPr>
          <w:color w:val="212529"/>
        </w:rPr>
        <w:t xml:space="preserve"> </w:t>
      </w:r>
      <w:r>
        <w:rPr>
          <w:rFonts w:ascii="Times New Roman;serif" w:hAnsi="Times New Roman;serif"/>
          <w:b w:val="false"/>
          <w:color w:val="212529"/>
          <w:sz w:val="20"/>
        </w:rPr>
        <w:t>Transactions under 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pStyle w:val="TextBody"/>
        <w:bidi w:val="0"/>
        <w:spacing w:lineRule="auto" w:line="288" w:before="360" w:after="283"/>
        <w:jc w:val="both"/>
        <w:rPr>
          <w:rFonts w:ascii="Times New Roman;serif" w:hAnsi="Times New Roman;serif"/>
          <w:b w:val="false"/>
          <w:i/>
          <w:color w:val="212529"/>
          <w:sz w:val="20"/>
        </w:rPr>
      </w:pPr>
      <w:r>
        <w:rPr>
          <w:rFonts w:ascii="Times New Roman;serif" w:hAnsi="Times New Roman;serif"/>
          <w:b w:val="false"/>
          <w:i/>
          <w:color w:val="212529"/>
          <w:sz w:val="20"/>
        </w:rPr>
        <w:t>Supply Chain Financing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 </w:t>
      </w:r>
    </w:p>
    <w:p>
      <w:pPr>
        <w:pStyle w:val="TextBody"/>
        <w:bidi w:val="0"/>
        <w:spacing w:lineRule="auto" w:line="288" w:before="240" w:after="283"/>
        <w:jc w:val="both"/>
        <w:rPr/>
      </w:pPr>
      <w:r>
        <w:rPr>
          <w:rFonts w:ascii="Times New Roman;serif" w:hAnsi="Times New Roman;serif"/>
          <w:b w:val="false"/>
          <w:color w:val="000000"/>
          <w:sz w:val="20"/>
        </w:rPr>
        <w:t>All outstanding amounts related to suppliers participating in the SCF are recorded within accounts payable in the condensed consolidated balance sheet and associated payments are included as an operating cash flow in the condensed consolidated statement of cash flows. As of June 30, 2026 and December 31, 2025, the amount of obligations outstanding that we have confirmed as valid under the SCF w</w:t>
      </w:r>
      <w:r>
        <w:rPr>
          <w:rFonts w:ascii="Times New Roman;serif" w:hAnsi="Times New Roman;serif"/>
          <w:b w:val="false"/>
          <w:color w:val="000000"/>
          <w:sz w:val="20"/>
          <w:shd w:fill="FFFFFF" w:val="clear"/>
        </w:rPr>
        <w:t xml:space="preserve">as $8 million and $9 million, respectively. </w:t>
      </w:r>
    </w:p>
    <w:p>
      <w:pPr>
        <w:pStyle w:val="TextBody"/>
        <w:bidi w:val="0"/>
        <w:spacing w:lineRule="auto" w:line="288" w:before="240" w:after="283"/>
        <w:jc w:val="both"/>
        <w:rPr>
          <w:rFonts w:ascii="Times New Roman;serif" w:hAnsi="Times New Roman;serif"/>
          <w:b w:val="false"/>
          <w:i/>
          <w:color w:val="212529"/>
          <w:sz w:val="20"/>
        </w:rPr>
      </w:pPr>
      <w:r>
        <w:rPr>
          <w:rFonts w:ascii="Times New Roman;serif" w:hAnsi="Times New Roman;serif"/>
          <w:b w:val="false"/>
          <w:i/>
          <w:color w:val="212529"/>
          <w:sz w:val="20"/>
        </w:rPr>
        <w:t>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cash dividends of $0.23 and $0.46 per share, respectively, were declared and paid. On July 23, 2026, a quarterly cash dividend of $0.23 per share was declared and is to be paid on August 31, 2026.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“Item 7A: Quantitative and Qualitative Disclosures About Market Risk” of our Annual Report on Form 10-K for the fiscal year ended December 31, 2025. During the six months ended June 30, 2026, there have been no material changes in our exposure to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2026. Based on that evaluation, our Chief Executive Officer and Chief Financial Officer have concluded that, as of June 30, 2026, our disclosure controls and procedures were effective. </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set forth under this heading is incorporated by reference from Note 7 - Commitments and Contingencies, to the condensed consolidated financial statements included in 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disclosed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7"/>
        <w:gridCol w:w="245"/>
        <w:gridCol w:w="246"/>
        <w:gridCol w:w="109"/>
        <w:gridCol w:w="109"/>
        <w:gridCol w:w="109"/>
        <w:gridCol w:w="2709"/>
        <w:gridCol w:w="2635"/>
        <w:gridCol w:w="3766"/>
      </w:tblGrid>
      <w:tr>
        <w:trPr/>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conformed version that includes all amendments through April 25, 2024 (incorporated herein by reference to Exhibit 3.1 to the Company’s Quarterly Report on Form 10-Q filed with the SEC on August 7, 2024)</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(incorporated herein by reference to Exhibit 3.2 to the Company’s Current Report on Form 8-K filed with the SEC on February 4, 2020)</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yn-20260630x10qx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yn-20260630x10q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yn-20260630x10q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yn-20260630x10q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40" w:after="283"/>
        <w:ind w:left="0" w:right="0" w:hanging="360"/>
        <w:jc w:val="left"/>
        <w:rPr/>
      </w:pPr>
      <w:r>
        <w:rPr/>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393" w:type="dxa"/>
        <w:jc w:val="left"/>
        <w:tblInd w:w="0" w:type="dxa"/>
        <w:tblLayout w:type="fixed"/>
        <w:tblCellMar>
          <w:top w:w="28" w:type="dxa"/>
          <w:left w:w="28" w:type="dxa"/>
          <w:bottom w:w="28" w:type="dxa"/>
          <w:right w:w="28" w:type="dxa"/>
        </w:tblCellMar>
      </w:tblPr>
      <w:tblGrid>
        <w:gridCol w:w="690"/>
        <w:gridCol w:w="606"/>
        <w:gridCol w:w="606"/>
        <w:gridCol w:w="1032"/>
        <w:gridCol w:w="1032"/>
        <w:gridCol w:w="1055"/>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REYNOLDS CONSUMER PRODUCTS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Chris Mayrhofer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Mayrhofer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Controller </w:t>
              <w:b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Scott Huckins,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Reynolds Consumer Products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4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75"/>
        <w:gridCol w:w="975"/>
        <w:gridCol w:w="137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Huckins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Scott Huckins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Nathan Lowe,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Reynolds Consumer Products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1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4"/>
        <w:gridCol w:w="614"/>
        <w:gridCol w:w="87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Nathan Lowe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Nathan Lowe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Reynolds Consumer Products Inc. (the “Company”) on Form 10-Q for the period ended June 30, 2026 as filed with the Securities and Exchange Commission on the date hereof (the “Report”), I, Scott Huckins, President and Chief Executive Officer, certify,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544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75"/>
        <w:gridCol w:w="975"/>
        <w:gridCol w:w="137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Huckins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Scott Huckins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Reynolds Consumer Products Inc. (the “Company”) on Form 10-Q for the period ended June 30, 2026 as filed with the Securities and Exchange Commission on the date hereof (the “Report”), I, Nathan Lowe, Chief Financial Officer, certify,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21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4"/>
        <w:gridCol w:w="614"/>
        <w:gridCol w:w="87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Nathan Lowe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Nathan Lowe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431/000162828024035405/reyn-2024630x10qxexx33.htm" TargetMode="External"/><Relationship Id="rId3" Type="http://schemas.openxmlformats.org/officeDocument/2006/relationships/hyperlink" Target="https://www.sec.gov/Archives/edgar/data/0001786431/000119312520024304/d87478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15289</Words>
  <Characters>81660</Characters>
  <CharactersWithSpaces>95402</CharactersWithSpaces>
  <Paragraphs>2454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