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001-39205</w:t>
      </w:r>
    </w:p>
    <w:p>
      <w:pPr>
        <w:spacing w:after="0" w:line="7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REYNOLDS CONSUMER PRODUCTS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ectPr>
          <w:pgSz w:w="11900" w:h="16838" w:orient="portrait"/>
          <w:cols w:equalWidth="0" w:num="1">
            <w:col w:w="11240"/>
          </w:cols>
          <w:pgMar w:left="320" w:top="229" w:right="339" w:bottom="1440" w:gutter="0" w:footer="0" w:header="0"/>
        </w:sectPr>
      </w:pPr>
    </w:p>
    <w:p>
      <w:pPr>
        <w:spacing w:after="0" w:line="55"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45-3464426</w:t>
      </w:r>
    </w:p>
    <w:p>
      <w:pPr>
        <w:spacing w:after="0" w:line="63" w:lineRule="exact"/>
        <w:rPr>
          <w:sz w:val="24"/>
          <w:szCs w:val="24"/>
          <w:color w:val="auto"/>
        </w:rPr>
      </w:pPr>
    </w:p>
    <w:p>
      <w:pPr>
        <w:sectPr>
          <w:pgSz w:w="11900" w:h="16838" w:orient="portrait"/>
          <w:cols w:equalWidth="0" w:num="2">
            <w:col w:w="7280" w:space="720"/>
            <w:col w:w="3240"/>
          </w:cols>
          <w:pgMar w:left="320" w:top="229" w:right="33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27"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5"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2"/>
          <w:szCs w:val="12"/>
          <w:b w:val="1"/>
          <w:bCs w:val="1"/>
          <w:color w:val="auto"/>
        </w:rPr>
        <w:t>Identification Number)</w:t>
      </w:r>
    </w:p>
    <w:p>
      <w:pPr>
        <w:spacing w:after="0" w:line="100" w:lineRule="exact"/>
        <w:rPr>
          <w:sz w:val="24"/>
          <w:szCs w:val="24"/>
          <w:color w:val="auto"/>
        </w:rPr>
      </w:pPr>
    </w:p>
    <w:p>
      <w:pPr>
        <w:sectPr>
          <w:pgSz w:w="11900" w:h="16838" w:orient="portrait"/>
          <w:cols w:equalWidth="0" w:num="2">
            <w:col w:w="7080" w:space="720"/>
            <w:col w:w="3440"/>
          </w:cols>
          <w:pgMar w:left="320" w:top="22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1900 W. Field Court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Lake Forest, Illinois 60045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(800) 879-5067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6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ectPr>
          <w:pgSz w:w="11900" w:h="16838" w:orient="portrait"/>
          <w:cols w:equalWidth="0" w:num="1">
            <w:col w:w="11240"/>
          </w:cols>
          <w:pgMar w:left="320" w:top="229" w:right="3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700" w:type="dxa"/>
            <w:vAlign w:val="bottom"/>
          </w:tcPr>
          <w:p>
            <w:pPr>
              <w:spacing w:after="0"/>
              <w:rPr>
                <w:sz w:val="15"/>
                <w:szCs w:val="15"/>
                <w:color w:val="auto"/>
              </w:rPr>
            </w:pPr>
          </w:p>
        </w:tc>
      </w:tr>
      <w:tr>
        <w:trPr>
          <w:trHeight w:val="204"/>
        </w:trPr>
        <w:tc>
          <w:tcPr>
            <w:tcW w:w="4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04"/>
        </w:trPr>
        <w:tc>
          <w:tcPr>
            <w:tcW w:w="3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160" w:type="dxa"/>
            <w:vAlign w:val="bottom"/>
          </w:tcPr>
          <w:p>
            <w:pPr>
              <w:spacing w:after="0"/>
              <w:rPr>
                <w:sz w:val="17"/>
                <w:szCs w:val="17"/>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REYN</w:t>
            </w:r>
          </w:p>
        </w:tc>
        <w:tc>
          <w:tcPr>
            <w:tcW w:w="14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13"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9"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2"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rPr>
                <w:sz w:val="20"/>
                <w:szCs w:val="20"/>
                <w:color w:val="auto"/>
              </w:rPr>
            </w:pPr>
            <w:r>
              <w:rPr>
                <w:rFonts w:ascii="Wingdings" w:cs="Wingdings" w:eastAsia="Wingdings" w:hAnsi="Wingdings"/>
                <w:sz w:val="16"/>
                <w:szCs w:val="16"/>
                <w:b w:val="1"/>
                <w:bCs w:val="1"/>
                <w:color w:val="auto"/>
                <w:w w:val="83"/>
              </w:rPr>
              <w:t>o</w:t>
            </w:r>
          </w:p>
        </w:tc>
      </w:tr>
      <w:tr>
        <w:trPr>
          <w:trHeight w:val="271"/>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8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5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rPr>
                <w:sz w:val="20"/>
                <w:szCs w:val="20"/>
                <w:color w:val="auto"/>
              </w:rPr>
            </w:pPr>
            <w:r>
              <w:rPr>
                <w:rFonts w:ascii="Wingdings" w:cs="Wingdings" w:eastAsia="Wingdings" w:hAnsi="Wingdings"/>
                <w:sz w:val="16"/>
                <w:szCs w:val="16"/>
                <w:b w:val="1"/>
                <w:bCs w:val="1"/>
                <w:color w:val="auto"/>
                <w:w w:val="83"/>
              </w:rPr>
              <w:t>o</w:t>
            </w:r>
          </w:p>
        </w:tc>
      </w:tr>
      <w:tr>
        <w:trPr>
          <w:trHeight w:val="297"/>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68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51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114" w:lineRule="exact"/>
        <w:rPr>
          <w:sz w:val="24"/>
          <w:szCs w:val="24"/>
          <w:color w:val="auto"/>
        </w:rPr>
      </w:pPr>
    </w:p>
    <w:p>
      <w:pPr>
        <w:ind w:right="580"/>
        <w:spacing w:after="0" w:line="267"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ind w:right="2980"/>
        <w:spacing w:after="0" w:line="24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25, 2024, the registrant had 210,145,957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FINANCIAL INFORMATION</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7120" w:type="dxa"/>
            <w:vAlign w:val="bottom"/>
            <w:gridSpan w:val="10"/>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82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for the three and nine months ended September 30, 2024 and 2023</w:t>
            </w:r>
          </w:p>
        </w:tc>
        <w:tc>
          <w:tcPr>
            <w:tcW w:w="1300" w:type="dxa"/>
            <w:vAlign w:val="bottom"/>
            <w:gridSpan w:val="3"/>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September 30, 2024 and 2023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94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2024 and December 31, 2023</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2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nine months ended September 30, 2024 and 2023</w:t>
            </w:r>
          </w:p>
        </w:tc>
        <w:tc>
          <w:tcPr>
            <w:tcW w:w="320" w:type="dxa"/>
            <w:vAlign w:val="bottom"/>
            <w:gridSpan w:val="2"/>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47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3040" w:type="dxa"/>
            <w:vAlign w:val="bottom"/>
            <w:tcBorders>
              <w:top w:val="single" w:sz="8" w:color="0000FF"/>
            </w:tcBorders>
            <w:gridSpan w:val="3"/>
          </w:tcPr>
          <w:p>
            <w:pPr>
              <w:spacing w:after="0"/>
              <w:rPr>
                <w:sz w:val="21"/>
                <w:szCs w:val="21"/>
                <w:color w:val="auto"/>
              </w:rPr>
            </w:pPr>
          </w:p>
        </w:tc>
        <w:tc>
          <w:tcPr>
            <w:tcW w:w="1720" w:type="dxa"/>
            <w:vAlign w:val="bottom"/>
            <w:gridSpan w:val="4"/>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1"/>
                <w:szCs w:val="21"/>
                <w:color w:val="auto"/>
              </w:rPr>
            </w:pPr>
          </w:p>
        </w:tc>
        <w:tc>
          <w:tcPr>
            <w:tcW w:w="3100" w:type="dxa"/>
            <w:vAlign w:val="bottom"/>
            <w:gridSpan w:val="6"/>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continue"/>
          </w:tcPr>
          <w:p>
            <w:pPr>
              <w:spacing w:after="0"/>
              <w:rPr>
                <w:sz w:val="21"/>
                <w:szCs w:val="21"/>
                <w:color w:val="auto"/>
              </w:rPr>
            </w:pPr>
          </w:p>
        </w:tc>
        <w:tc>
          <w:tcPr>
            <w:tcW w:w="1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660" w:type="dxa"/>
            <w:vAlign w:val="bottom"/>
            <w:gridSpan w:val="13"/>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1"/>
                <w:szCs w:val="21"/>
                <w:color w:val="auto"/>
              </w:rPr>
            </w:pPr>
          </w:p>
        </w:tc>
        <w:tc>
          <w:tcPr>
            <w:tcW w:w="8220" w:type="dxa"/>
            <w:vAlign w:val="bottom"/>
            <w:gridSpan w:val="15"/>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200" w:type="dxa"/>
            <w:vAlign w:val="bottom"/>
            <w:gridSpan w:val="9"/>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220" w:type="dxa"/>
            <w:vAlign w:val="bottom"/>
            <w:gridSpan w:val="11"/>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780" w:type="dxa"/>
            <w:vAlign w:val="bottom"/>
            <w:gridSpan w:val="14"/>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3"/>
          </w:tcPr>
          <w:p>
            <w:pPr>
              <w:spacing w:after="0"/>
              <w:rPr>
                <w:sz w:val="21"/>
                <w:szCs w:val="21"/>
                <w:color w:val="auto"/>
              </w:rPr>
            </w:pPr>
          </w:p>
        </w:tc>
        <w:tc>
          <w:tcPr>
            <w:tcW w:w="8240" w:type="dxa"/>
            <w:vAlign w:val="bottom"/>
            <w:gridSpan w:val="16"/>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780" w:type="dxa"/>
            <w:vAlign w:val="bottom"/>
            <w:gridSpan w:val="18"/>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This Quarterly Report on Form 10-Q contains certain statements that constitute “forward-looking statements” within the meaning of the Private Securities Litigation Reform Act of 1995. In some cases, you can identify these statements by forward-looking words such as “may,” “might,” “will,” “should,” “expects,” “intends,” “outlook,” “forecast,” “position,” “committed,” “plans,” “anticipates,” “believes,” “estimates,” “predicts,” “model,” “assumes,”</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“confident,” “look forward,” “potential,” “on track,” or “continue,” or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risks and uncertainties discussed in Item 1A. “Risk Factors” in our Annual Report on Form 10-K for the fiscal year ended December 31, 2023 and as updated in our Quarterly Reports on Form 10-Q. You should specifically consider the numerous risks outlined in the “Risk Factors” sections. These risks and uncertainties include factors related to:</w:t>
      </w:r>
    </w:p>
    <w:p>
      <w:pPr>
        <w:spacing w:after="0" w:line="219" w:lineRule="exact"/>
        <w:rPr>
          <w:sz w:val="20"/>
          <w:szCs w:val="20"/>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lifestyle, economic circumstances and environmental concerns;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our major customers, consolidation of our customer bases and loss of a significant customer;</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pricing pressures;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disruption at, any of our key manufacturing facilities;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of raw materials and any interruption in our supply of raw materials;</w:t>
      </w:r>
    </w:p>
    <w:p>
      <w:pPr>
        <w:spacing w:after="0" w:line="117" w:lineRule="exact"/>
        <w:rPr>
          <w:rFonts w:ascii="Times New Roman" w:cs="Times New Roman" w:eastAsia="Times New Roman" w:hAnsi="Times New Roman"/>
          <w:sz w:val="18"/>
          <w:szCs w:val="18"/>
          <w:color w:val="auto"/>
        </w:rPr>
      </w:pPr>
    </w:p>
    <w:p>
      <w:pPr>
        <w:ind w:left="880" w:right="540" w:hanging="431"/>
        <w:spacing w:after="0" w:line="282" w:lineRule="auto"/>
        <w:tabs>
          <w:tab w:leader="none" w:pos="8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due to an accident, labor issues, weather conditions, natural disaster, or disease outbreak, including epidemics, pandemics or similar widespread public health concerns;</w:t>
      </w:r>
    </w:p>
    <w:p>
      <w:pPr>
        <w:spacing w:after="0" w:line="53" w:lineRule="exact"/>
        <w:rPr>
          <w:rFonts w:ascii="Times New Roman" w:cs="Times New Roman" w:eastAsia="Times New Roman" w:hAnsi="Times New Roman"/>
          <w:sz w:val="18"/>
          <w:szCs w:val="18"/>
          <w:color w:val="auto"/>
        </w:rPr>
      </w:pPr>
    </w:p>
    <w:p>
      <w:pPr>
        <w:ind w:left="880" w:right="60" w:hanging="431"/>
        <w:spacing w:after="0" w:line="282" w:lineRule="auto"/>
        <w:tabs>
          <w:tab w:leader="none" w:pos="8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raw materials, energy, labor and freight, including the impact of tariffs, trade sanctions and similar matters affecting our importation of certain raw materials;</w:t>
      </w:r>
    </w:p>
    <w:p>
      <w:pPr>
        <w:spacing w:after="0" w:line="53"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increased labor costs;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brands that are critical to our success;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in our target markets;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businesses;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inflationary trends;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meeting our sales growth objectives and innovation goals; 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 and the availability of capital.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Investors are cautioned not to place undue reliance on any such forward-looking statements, which speak only as of the date they are made. We are under no duty to update any of these forward-looking statements after the date of this Quarterly Report on Form 10-Q to conform our prior statements to actual results or revised expectations.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information about these factors and about the material factors or assumptions underlying such forward-looking statements is included in our Annual Report on Form 10-K for the fiscal year ended December 31, 2023, which was filed on February 7, 2024, under Part I, Item 1A. “Risk Factors” and as updated in our Quarterly Reports on Form 10-Q.</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258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6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0"/>
        </w:trPr>
        <w:tc>
          <w:tcPr>
            <w:tcW w:w="4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0" w:type="dxa"/>
            <w:vAlign w:val="bottom"/>
            <w:gridSpan w:val="3"/>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6"/>
                <w:szCs w:val="16"/>
                <w:color w:val="auto"/>
              </w:rPr>
            </w:pPr>
          </w:p>
        </w:tc>
      </w:tr>
      <w:tr>
        <w:trPr>
          <w:trHeight w:val="37"/>
        </w:trPr>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49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49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4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2,750</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r>
      <w:tr>
        <w:trPr>
          <w:trHeight w:val="27"/>
        </w:trPr>
        <w:tc>
          <w:tcPr>
            <w:tcW w:w="4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7"/>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0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8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r>
      <w:tr>
        <w:trPr>
          <w:trHeight w:val="250"/>
        </w:trPr>
        <w:tc>
          <w:tcPr>
            <w:tcW w:w="49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21"/>
                <w:szCs w:val="21"/>
                <w:color w:val="auto"/>
              </w:rPr>
            </w:pP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9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266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6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0"/>
        </w:trPr>
        <w:tc>
          <w:tcPr>
            <w:tcW w:w="4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6"/>
                <w:szCs w:val="16"/>
                <w:color w:val="auto"/>
              </w:rPr>
            </w:pPr>
          </w:p>
        </w:tc>
      </w:tr>
      <w:tr>
        <w:trPr>
          <w:trHeight w:val="37"/>
        </w:trPr>
        <w:tc>
          <w:tcPr>
            <w:tcW w:w="49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490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49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income taxes:</w:t>
            </w: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 plans</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income taxes</w:t>
            </w:r>
          </w:p>
        </w:tc>
        <w:tc>
          <w:tcPr>
            <w:tcW w:w="10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5"/>
                <w:szCs w:val="15"/>
                <w:color w:val="auto"/>
              </w:rPr>
            </w:pPr>
          </w:p>
        </w:tc>
        <w:tc>
          <w:tcPr>
            <w:tcW w:w="15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62"/>
        </w:trPr>
        <w:tc>
          <w:tcPr>
            <w:tcW w:w="7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7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 and $1)</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1,105</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1,041</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$946 and $897)</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4,843</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4,780</w:t>
            </w:r>
          </w:p>
        </w:tc>
        <w:tc>
          <w:tcPr>
            <w:tcW w:w="0" w:type="dxa"/>
            <w:vAlign w:val="bottom"/>
          </w:tcPr>
          <w:p>
            <w:pPr>
              <w:spacing w:after="0"/>
              <w:rPr>
                <w:sz w:val="1"/>
                <w:szCs w:val="1"/>
                <w:color w:val="auto"/>
              </w:rPr>
            </w:pPr>
          </w:p>
        </w:tc>
      </w:tr>
      <w:tr>
        <w:trPr>
          <w:trHeight w:val="34"/>
        </w:trPr>
        <w:tc>
          <w:tcPr>
            <w:tcW w:w="7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postretirement benefit obligation</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2,797</w:t>
            </w: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$0.001 par value; 2,000 shares authorized; 210.1 shares issued and outstanding</w:t>
            </w:r>
          </w:p>
        </w:tc>
        <w:tc>
          <w:tcPr>
            <w:tcW w:w="14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2,065</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1,983</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4,780</w:t>
            </w:r>
          </w:p>
        </w:tc>
        <w:tc>
          <w:tcPr>
            <w:tcW w:w="0" w:type="dxa"/>
            <w:vAlign w:val="bottom"/>
          </w:tcPr>
          <w:p>
            <w:pPr>
              <w:spacing w:after="0"/>
              <w:rPr>
                <w:sz w:val="1"/>
                <w:szCs w:val="1"/>
                <w:color w:val="auto"/>
              </w:rPr>
            </w:pPr>
          </w:p>
        </w:tc>
      </w:tr>
      <w:tr>
        <w:trPr>
          <w:trHeight w:val="27"/>
        </w:trPr>
        <w:tc>
          <w:tcPr>
            <w:tcW w:w="7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112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tcPr>
          <w:p>
            <w:pPr>
              <w:spacing w:after="0"/>
              <w:rPr>
                <w:sz w:val="15"/>
                <w:szCs w:val="15"/>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5"/>
                <w:szCs w:val="15"/>
                <w:color w:val="auto"/>
              </w:rPr>
            </w:pPr>
          </w:p>
        </w:tc>
        <w:tc>
          <w:tcPr>
            <w:tcW w:w="116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500" w:type="dxa"/>
            <w:vAlign w:val="bottom"/>
          </w:tcPr>
          <w:p>
            <w:pPr>
              <w:spacing w:after="0"/>
              <w:rPr>
                <w:sz w:val="17"/>
                <w:szCs w:val="17"/>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320" w:type="dxa"/>
            <w:vAlign w:val="bottom"/>
          </w:tcPr>
          <w:p>
            <w:pPr>
              <w:spacing w:after="0"/>
              <w:rPr>
                <w:sz w:val="17"/>
                <w:szCs w:val="17"/>
                <w:color w:val="auto"/>
              </w:rPr>
            </w:pPr>
          </w:p>
        </w:tc>
        <w:tc>
          <w:tcPr>
            <w:tcW w:w="11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120" w:type="dxa"/>
            <w:vAlign w:val="bottom"/>
            <w:tcBorders>
              <w:bottom w:val="single" w:sz="8" w:color="CCEEFF"/>
            </w:tcBorders>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1,868</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5"/>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112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1120" w:type="dxa"/>
            <w:vAlign w:val="bottom"/>
            <w:tcBorders>
              <w:top w:val="single" w:sz="8" w:color="auto"/>
            </w:tcBorders>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5"/>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income</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12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1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1120" w:type="dxa"/>
            <w:vAlign w:val="bottom"/>
            <w:tcBorders>
              <w:bottom w:val="single" w:sz="8" w:color="CCEEFF"/>
            </w:tcBorders>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1,859</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1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1,892</w:t>
            </w:r>
          </w:p>
        </w:tc>
        <w:tc>
          <w:tcPr>
            <w:tcW w:w="0" w:type="dxa"/>
            <w:vAlign w:val="bottom"/>
          </w:tcPr>
          <w:p>
            <w:pPr>
              <w:spacing w:after="0"/>
              <w:rPr>
                <w:sz w:val="1"/>
                <w:szCs w:val="1"/>
                <w:color w:val="auto"/>
              </w:rPr>
            </w:pPr>
          </w:p>
        </w:tc>
      </w:tr>
      <w:tr>
        <w:trPr>
          <w:trHeight w:val="95"/>
        </w:trPr>
        <w:tc>
          <w:tcPr>
            <w:tcW w:w="3500" w:type="dxa"/>
            <w:vAlign w:val="bottom"/>
            <w:tcBorders>
              <w:top w:val="single" w:sz="8" w:color="CCEEFF"/>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20" w:type="dxa"/>
            <w:vAlign w:val="bottom"/>
            <w:tcBorders>
              <w:bottom w:val="single" w:sz="8" w:color="CCEEFF"/>
            </w:tcBorders>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1,983</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income</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112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120" w:type="dxa"/>
            <w:vAlign w:val="bottom"/>
            <w:tcBorders>
              <w:top w:val="single" w:sz="8" w:color="auto"/>
            </w:tcBorders>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5"/>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12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1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120" w:type="dxa"/>
            <w:vAlign w:val="bottom"/>
            <w:tcBorders>
              <w:bottom w:val="single" w:sz="8" w:color="CCEEFF"/>
            </w:tcBorders>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2,040</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5"/>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112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1120" w:type="dxa"/>
            <w:vAlign w:val="bottom"/>
            <w:tcBorders>
              <w:top w:val="single" w:sz="8" w:color="auto"/>
              <w:bottom w:val="single" w:sz="8" w:color="auto"/>
            </w:tcBorders>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1,409</w:t>
            </w:r>
          </w:p>
        </w:tc>
        <w:tc>
          <w:tcPr>
            <w:tcW w:w="10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622</w:t>
            </w:r>
          </w:p>
        </w:tc>
        <w:tc>
          <w:tcPr>
            <w:tcW w:w="80" w:type="dxa"/>
            <w:vAlign w:val="bottom"/>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8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2,065</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operating cash flows: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 / receivable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9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r>
      <w:tr>
        <w:trPr>
          <w:trHeight w:val="27"/>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financing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r>
      <w:tr>
        <w:trPr>
          <w:trHeight w:val="250"/>
        </w:trPr>
        <w:tc>
          <w:tcPr>
            <w:tcW w:w="8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 long-term debt, net of interest rate swaps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Reynolds Consumer Products Inc. and its subsidiaries (“we”, “us” or “our”) produce and sell products across three broad categories: cooking products, waste and storage products and tableware. We sell our products under brands such as Reynolds and Hefty, and also under store brands. Our product portfolio includes aluminum foil, wraps, disposable bakeware, trash bags, food storage bags and disposable tableware. We report four business segments: Reynolds Cooking &amp; Baking; Hefty Waste &amp; Storage; Hefty Tableware; and Presto Products.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United States generally accepted accounting principles (“GAAP”) for interim financial information and the instructions to the Quarterly Report on Form 10-Q and Article 10 of Regulation S-X issued by the U.S. Securities and Exchange Commission (“SEC”). Accordingly, they do not include all of the information and notes required by GAAP for comprehensive annual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policies described in our Annual Report on Form 10-K for the year ended December 31, 2023, and should be read in conjunction with the disclosures therein. In our opinion, these interim condensed consolidated financial statements reflect all adjustments, consisting of normal recurring adjustments, necessary to state fairly the financial condition, results of operations and cash flows for the periods presented. Operating results for interim periods are not necessarily indicative of annual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Lease Transactions: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$32 million in new operating lease right-of-use assets obtained in exchange for lease liabilities during the nine months ended September 30, 2024. New operating lease right-of-use assets obtained in exchange for lease liabilities during the nine months ended September 30, 2023, were not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finance lease right-of-use assets obtained in exchange for lease liabilities for the nine months ended September 30, 2024 and 2023, were not material.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Financing:</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2023, we initiated a voluntary Supply Chain Finance program (the “SCF”) with a global financial institution (the “SCF Bank”). Under the SCF, qualifying suppliers may elect to sell their receivables from us to the SCF Bank. These participating suppliers negotiate their receivables sales arrangements directly with the SCF Bank. We are not party to those agreements, nor do we provide any security or other forms of guarantees to the SCF Bank. The participation in the program is at the sole discretion of the supplier, we have no economic interest in a supplier’s decision to enter into the agreement and have no direct financial relationship with the SCF Bank, as it relates to the SCF. Once a qualifying supplier elects to participate in the SCF and reaches an agreement with the SCF Bank, they elect which individual invoices they sell to the SCF Bank.</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our payment obligations are not impacted by a supplier’s participation in the SCF and as such, the SCF has no impact on our balance sheets, cash flows, or liquidity. Our payment terms with our suppliers for similar services and materials within individual markets are consistent between suppliers that elect to participate in the SCF and those that do not participate.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All outstanding amounts related to suppliers participating in the SCF are recorded within accounts payable in our condensed consolidated balance sheet and associated payments are included as an operating cash flow in the condensed consolidated statement of cash flows. As of September 30, 2024, the amount of obligations outstanding that we have confirmed as valid under the SCF was $8 million. As of December 31, 2023, </w:t>
      </w:r>
      <w:r>
        <w:rPr>
          <w:rFonts w:ascii="Times New Roman" w:cs="Times New Roman" w:eastAsia="Times New Roman" w:hAnsi="Times New Roman"/>
          <w:sz w:val="18"/>
          <w:szCs w:val="18"/>
          <w:color w:val="212529"/>
        </w:rPr>
        <w:t>the amount of obligations outstanding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that we had confirmed as valid under the SCF was $19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2 – New Accounting Standards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Guidance: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2022, the Financial Accounting Standards Board (“FASB”) issued Accounting Standards Update (“ASU”) 2022-04, </w:t>
      </w:r>
      <w:r>
        <w:rPr>
          <w:rFonts w:ascii="Times New Roman" w:cs="Times New Roman" w:eastAsia="Times New Roman" w:hAnsi="Times New Roman"/>
          <w:sz w:val="18"/>
          <w:szCs w:val="18"/>
          <w:i w:val="1"/>
          <w:iCs w:val="1"/>
          <w:color w:val="auto"/>
        </w:rPr>
        <w:t>Liabilities - Supplier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Finance Programs (Subtopic 405-50): Disclosure of Supplier Finance Program Obligations</w:t>
      </w:r>
      <w:r>
        <w:rPr>
          <w:rFonts w:ascii="Times New Roman" w:cs="Times New Roman" w:eastAsia="Times New Roman" w:hAnsi="Times New Roman"/>
          <w:sz w:val="18"/>
          <w:szCs w:val="18"/>
          <w:color w:val="auto"/>
        </w:rPr>
        <w:t>. These amendments require disclosure of the key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supplier finance programs and a rollforward of the related obligations. These amendments were effective for fiscal years beginning after December 31, 2022, except for the amendment on rollforward information, which is effective for fiscal years beginning after December 31, 2023. We adopted the standard as of January 1, 2023, other than the amendment on rollforward information, which will be adopted prospectively in our Annual Report on Form 10-K for the year ending December 31, 2024 as required. The adoption relates to disclosure only, and does not have an impact on our condensed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Guidance Issued But Not Yet Adopted:</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FASB issued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which enhances disclosures about significant segment expenses by requiring disclosure of incremental segment information on an annual and interim basis. This ASU is effective for fiscal years beginning after December 15, 2023, and interim periods within fiscal years beginning after December 15, 2024, with early adoption permitted. We are currently assessing the impact of this standard on our consolidated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which enhances disclosures within the income tax rate reconciliation and information disclosed related to income taxes paid, and requires disaggregation of certain financial statement captions between domestic, foreign, federal and state. This ASU is effective for annual periods beginning after December 15, 2024, with early adoption permitted. We are currently assessing the impact of this standard on our consolidated financial statements.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March 2024, the SEC adopted final rules under SEC Release No. 33-11275, </w:t>
      </w:r>
      <w:r>
        <w:rPr>
          <w:rFonts w:ascii="Times New Roman" w:cs="Times New Roman" w:eastAsia="Times New Roman" w:hAnsi="Times New Roman"/>
          <w:sz w:val="18"/>
          <w:szCs w:val="18"/>
          <w:i w:val="1"/>
          <w:iCs w:val="1"/>
          <w:color w:val="auto"/>
        </w:rPr>
        <w:t>The Enhancement and Standardization of Climate-Related Disclosures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which will require public companies to include climate-related disclosures in their annual reports and registration statements. The final rules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among other matters, information about climate-related risks that have materially impacted, or are reasonably likely to have a material impact on, a registrant, including on its strategy, results of operations, or financial condition. In addition, under the final rules, certain disclosures related to severe weather events and other natural conditions will be required in the audited financial statements. The disclosure requirements related to financial statements are expected to be effective for our Annual Report on Form 10-K for the fiscal year ended December 31, 2025. We are currently assessing the impact of these rules on our consolidated financial statements and related disclosures.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4"/>
                <w:szCs w:val="14"/>
                <w:color w:val="auto"/>
              </w:rPr>
            </w:pPr>
          </w:p>
        </w:tc>
        <w:tc>
          <w:tcPr>
            <w:tcW w:w="11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81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gridSpan w:val="3"/>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4"/>
                <w:szCs w:val="14"/>
                <w:color w:val="auto"/>
              </w:rPr>
            </w:pPr>
          </w:p>
        </w:tc>
        <w:tc>
          <w:tcPr>
            <w:tcW w:w="11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81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gridSpan w:val="3"/>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transaction costs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Original issue discounts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8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1,735</w:t>
            </w:r>
          </w:p>
        </w:tc>
        <w:tc>
          <w:tcPr>
            <w:tcW w:w="10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1,832</w:t>
            </w: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2020, we entered into new external debt facilities (“External Debt Facilities”), which consisted of (i) a $2,475 million senior secured term loan facility (“Term Loan Facility”); and (ii) a $250 million senior secured revolving credit facility (“Revolving Facility”). In February 2023, we amended the External Debt Facilities (“Amendment No.1”) which replaced the interest rate benchmark from the London Interbank Offered Rate (“LIBOR”) to the Secured Overnight Financing Rate (“SOFR”). Additionally, in November 2023, we further amended the External Debt Facilities (“Amendment No. 2”) to extend the maturity of the Revolving Facility by one year. Other than the foregoing, the material terms of the External Debt Facilities, as amended by Amendment No. 1 and Amendment No. 2 (“Amended External Debt Facilities”) remain unchanged, and our election to use practical expedients under ASU 2020-04 and ASU 2021-01 resulted in no material impacts on our condensed consolidated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Amended External Debt Facilities bear interest at a rate per annum equal to, at our option, either a base rate plus an applicable margin of 0.75% or a SOFR plus an applicable margin of 1.75%. We have entered into a series of interest rate swaps to hedge a portion of the interest rate exposure resulting from these borrowings. Refer to Note 5 – Financial Instruments for further details.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 We are currently in compliance with the covenants contained in our Amended External Debt Facilities.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Amended External Debt Facilities are entitled to take various actions, including the acceleration of amounts due under the Amended External Debt Facilities and all actions permitted to be taken by secured creditors.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Loan Facility matures in February 2027. The Term Loan Facility amortizes in equal quarterly installments of $6 million, which commenced in June 2020, with the balance payable on maturity. During the year ended December 31, 2023, we made voluntary principal payments of $250 million related to our Term Loan Facility, which were first applied to pay the remaining quarterly amortization payments in full, with the residual balance applied to the outstanding principal balance due at maturity. During the three and nine months ended September 30, 2024, we made voluntary principal payments of $50 million and $100 million, respectively, related to our Term Loan Facility, which were applied to the outstanding principal balance due at maturity.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1" w:name="page12"/>
    <w:bookmarkEnd w:id="11"/>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Facility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we amended the External Debt Facilities to extend the maturity date of the Revolving Facility by one year. The Revolving Facility matures in February 2026 and includes a sub-facility for letters of credit. As of September 30, 2024, we had no outstanding borrowings under the Revolving Facility, and we had $6 million of letters of credit outstanding, which reduces the borrowing capacity under the Revolving Facility.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Our Long-Term Debt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long-term debt as of September 30, 2024, which is a Level 2 fair value measurement, approximates the carrying value due to the variable market interest rate and the stability of our credit profile.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2020 and 2022, we entered into a series of interest rate swaps to fix the LIBOR of our External Debt Facilities. In February 2023, we amended our interest rate swaps to replace the interest rate benchmark from the LIBOR to SOFR. Other than the foregoing, the material terms of the interest rate swap agreements remained unchanged, and our election to use practical expedients under ASUs 2020-04 and 2021-01, resulted in no material impacts on our condensed consolidated financial statements. The aggregate notional amount of the interest rate swaps still in effect as of September 30, 2024 was $1,150 million, and the SOFR is fixed at an annual rate of 0.40% to 3.40% (for an annual effective interest rate of 2.15% to 5.15%, including margin).</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interest rate swaps outstanding as of September 30, 2024 hedge a portion of the interest rate exposure resulting from our Term Loan Facility for a period of approximately one to two years. We classified these instruments as cash flow hedges. The effective portion of the gain or loss on the open hedging instrument is recorded in accumulated other comprehensive income and is reclassified into earnings as interest expense, net when settled. The associated asset or liability on the open hedges is recorded at its fair value in other assets or other liabilities, as applicable. The fair value of the interest rate swaps was determined using a discounted cash flow method based on market-based swap yield curves, taking into account current interest rates, and is classified as Level 2 within the fair value hierarchy.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notional amounts, the annual rates, the weighted average annual effective rates, and the fair value of our interest rate derivatives: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 Annual</w:t>
            </w:r>
          </w:p>
        </w:tc>
        <w:tc>
          <w:tcPr>
            <w:tcW w:w="160" w:type="dxa"/>
            <w:vAlign w:val="bottom"/>
          </w:tcPr>
          <w:p>
            <w:pPr>
              <w:spacing w:after="0"/>
              <w:rPr>
                <w:sz w:val="15"/>
                <w:szCs w:val="15"/>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 Other</w:t>
            </w:r>
          </w:p>
        </w:tc>
        <w:tc>
          <w:tcPr>
            <w:tcW w:w="160" w:type="dxa"/>
            <w:vAlign w:val="bottom"/>
          </w:tcPr>
          <w:p>
            <w:pPr>
              <w:spacing w:after="0"/>
              <w:rPr>
                <w:sz w:val="15"/>
                <w:szCs w:val="15"/>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Fair Value - Other</w:t>
            </w:r>
          </w:p>
        </w:tc>
      </w:tr>
      <w:tr>
        <w:trPr>
          <w:trHeight w:val="190"/>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Annual Rate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 Rate</w:t>
            </w: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60" w:type="dxa"/>
            <w:vAlign w:val="bottom"/>
          </w:tcPr>
          <w:p>
            <w:pPr>
              <w:spacing w:after="0"/>
              <w:rPr>
                <w:sz w:val="16"/>
                <w:szCs w:val="16"/>
                <w:color w:val="auto"/>
              </w:rPr>
            </w:pPr>
          </w:p>
        </w:tc>
        <w:tc>
          <w:tcPr>
            <w:tcW w:w="14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37"/>
        </w:trPr>
        <w:tc>
          <w:tcPr>
            <w:tcW w:w="29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43"/>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September 30, 2024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2.15% to 5.15%</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2.15% to 5.15%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Stock-based Compensation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equity incentive plan was established in 2020, for purposes of granting stock-based compensation awards to certain members of our senior management, our non-executive directors and to certain employees, to incentivize their performance and align their interests with ours. We have granted restricted stock units (“RSUs”) to certain employees and non-employee directors that have a service-based vesting condition. In addition, we have granted performance stock units (“PSUs”) to certain members of management that have a performance-based vesting condition. We account for forfeitures of outstanding but unvested grants in the period they occur. A maximum of 10.5 million shares of common stock were initially available for issuance under equity incentive awards granted pursuant to the plan. In the three and nine months ended September 30, 2024, zero and 0.3 million RSUs and zero and 0.3 million PSUs were granted, respectively.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there were stock-based compensation awards representing 1.4 million shares outstanding compared to 0.8 million shares outstanding as of December 31, 2023. Stock-based compensation expense was $5 million and $14 million for the three and nine months ended September 30, 2024, respectively, compared to $3 million and $10 million in the comparable prior year periods.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from time to time party to litigation, legal proceedings and tax examinations arising from our operations. Most of these matters involve allegations of damages against us relating to employment matters, consumer complaints, advertising/labelling claims, personal injury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as of September 30, 2024,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our balances of each component of accumulated other comprehensive income.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6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Employee Benefit</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9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6"/>
                <w:szCs w:val="16"/>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r>
      <w:tr>
        <w:trPr>
          <w:trHeight w:val="37"/>
        </w:trPr>
        <w:tc>
          <w:tcPr>
            <w:tcW w:w="50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arising during the period</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arising during the period</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arising during the period</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1"/>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148"/>
        </w:trPr>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arising during the period</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arising during the period</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arising during the period</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1"/>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we recorded income tax expense of $27 million on income before income taxes of $113 million, or an effective tax rate of 24.1%, compared to income tax expense of $25 million on income before income taxes of $103 million, or an effective tax rate of 24.5%, for the three months ended September 30, 2023.</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we recorded income tax expense of $62 million on income before income taxes of $293 million, or an effective tax rate of 21.1%, compared to income tax expense of $54 million on income before income taxes of $215 million, or an effective tax rate of 24.9% for the nine months ended September 30, 2023.</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our income tax expense included a discrete tax benefit for the remeasurement of deferred tax liabilities due to a change in our state tax rates after apportionment.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Segment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Executive Officer, who has been identified as our Chief Operating Decision Maker (“CODM”), has evaluated how he views and measures our performance. In applying the criteria set forth in the standards for reporting information about segments in financial statements, we have determined that we have four reportable segments - Reynolds Cooking &amp; Baking, Hefty Waste &amp; Storage, Hefty Tableware and Presto Products. The key factors used to identify these reportable segments are the organization and alignment of our internal operations and the nature of our products. This reflects how our CODM monitors performance, allocates capital and makes strategic and operational decisions. Our segments are described as follows: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Reynolds Cooking &amp; Baking segment produces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Hefty Waste &amp; Storage segment produces both branded and store brand trash and food storage bags. Our branded products are sold under the Hefty Ultra Strong and Hefty Strong brands for trash bags, and as the Hefty and Baggies brands for our food storage bags.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Hefty Tableware segment sells both branded and store brand disposable and compostable plates, bowls, platters, cups and cutlery. Our Hefty branded products include dishes and party cups.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Presto Products segment primarily sells store brand products in four main categories: food storage bags, trash bags, reusable storage containers and plastic wrap. Our Presto Products segment also includes our specialty business, which serves other consumer products companies by providing Fresh-Lock and Slide-Rite resealable closure systems.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by Segment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present segment adjusted EBITDA (“Adjusted EBITDA”) as this is the financial measure by which management and our CODM allocate resources and analyze the performance of our reportable segments.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represents each segment’s earnings before interest, tax, depreciation and amortization and may be further adjusted to exclude certain non-recurring costs, if applicable.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by segment are those assets directly associated with the respective operating activities, comprising inventory, property, plant and equipment and operating lease right-of-use assets. Other assets, such as cash, accounts receivable and intangible assets, are monitored on an entity-wide basis and not included in segment information that is regularly reviewed by our CODM.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between segments are at negotiated prices.</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75"/>
        </w:trPr>
        <w:tc>
          <w:tcPr>
            <w:tcW w:w="3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5"/>
                <w:szCs w:val="15"/>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60" w:type="dxa"/>
            <w:vAlign w:val="bottom"/>
          </w:tcPr>
          <w:p>
            <w:pPr>
              <w:spacing w:after="0"/>
              <w:rPr>
                <w:sz w:val="15"/>
                <w:szCs w:val="15"/>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5"/>
              </w:rPr>
              <w:t>(3)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5"/>
              </w:rPr>
              <w:t>(6)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5"/>
              </w:rPr>
              <w:t>(9)</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0" w:type="dxa"/>
            <w:vAlign w:val="bottom"/>
          </w:tcPr>
          <w:p>
            <w:pPr>
              <w:spacing w:after="0"/>
              <w:rPr>
                <w:sz w:val="1"/>
                <w:szCs w:val="1"/>
                <w:color w:val="auto"/>
              </w:rPr>
            </w:pPr>
          </w:p>
        </w:tc>
      </w:tr>
      <w:tr>
        <w:trPr>
          <w:trHeight w:val="448"/>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24"/>
                <w:szCs w:val="2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60" w:type="dxa"/>
            <w:vAlign w:val="bottom"/>
          </w:tcPr>
          <w:p>
            <w:pPr>
              <w:spacing w:after="0"/>
              <w:rPr>
                <w:sz w:val="24"/>
                <w:szCs w:val="24"/>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5"/>
              </w:rPr>
              <w:t>(8)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5"/>
              </w:rPr>
              <w:t>(6)</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529"/>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24"/>
                <w:szCs w:val="2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6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2,675</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2,675</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9"/>
              </w:rPr>
              <w:t>26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0" w:type="dxa"/>
            <w:vAlign w:val="bottom"/>
          </w:tcPr>
          <w:p>
            <w:pPr>
              <w:spacing w:after="0"/>
              <w:rPr>
                <w:sz w:val="1"/>
                <w:szCs w:val="1"/>
                <w:color w:val="auto"/>
              </w:rPr>
            </w:pPr>
          </w:p>
        </w:tc>
      </w:tr>
      <w:tr>
        <w:trPr>
          <w:trHeight w:val="434"/>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24"/>
                <w:szCs w:val="2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6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2,750</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9"/>
              </w:rPr>
              <w:t>27</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Segment assets consisted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280" w:type="dxa"/>
            <w:vAlign w:val="bottom"/>
          </w:tcPr>
          <w:p>
            <w:pPr>
              <w:spacing w:after="0"/>
              <w:rPr>
                <w:sz w:val="14"/>
                <w:szCs w:val="14"/>
                <w:color w:val="auto"/>
              </w:rPr>
            </w:pPr>
          </w:p>
        </w:tc>
        <w:tc>
          <w:tcPr>
            <w:tcW w:w="88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280" w:type="dxa"/>
            <w:vAlign w:val="bottom"/>
          </w:tcPr>
          <w:p>
            <w:pPr>
              <w:spacing w:after="0"/>
              <w:rPr>
                <w:sz w:val="14"/>
                <w:szCs w:val="14"/>
                <w:color w:val="auto"/>
              </w:rPr>
            </w:pPr>
          </w:p>
        </w:tc>
        <w:tc>
          <w:tcPr>
            <w:tcW w:w="88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240" w:type="dxa"/>
            <w:vAlign w:val="bottom"/>
          </w:tcPr>
          <w:p>
            <w:pPr>
              <w:spacing w:after="0"/>
              <w:rPr>
                <w:sz w:val="14"/>
                <w:szCs w:val="14"/>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60" w:type="dxa"/>
            <w:vAlign w:val="bottom"/>
          </w:tcPr>
          <w:p>
            <w:pPr>
              <w:spacing w:after="0"/>
              <w:rPr>
                <w:sz w:val="14"/>
                <w:szCs w:val="14"/>
                <w:color w:val="auto"/>
              </w:rPr>
            </w:pPr>
          </w:p>
        </w:tc>
        <w:tc>
          <w:tcPr>
            <w:tcW w:w="9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260" w:type="dxa"/>
            <w:vAlign w:val="bottom"/>
          </w:tcPr>
          <w:p>
            <w:pPr>
              <w:spacing w:after="0"/>
              <w:rPr>
                <w:sz w:val="14"/>
                <w:szCs w:val="14"/>
                <w:color w:val="auto"/>
              </w:rPr>
            </w:pPr>
          </w:p>
        </w:tc>
        <w:tc>
          <w:tcPr>
            <w:tcW w:w="8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41"/>
        </w:trPr>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6"/>
        </w:trPr>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7"/>
        </w:trPr>
        <w:tc>
          <w:tcPr>
            <w:tcW w:w="3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September 30, 2024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596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247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1,373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3,470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4,843</w:t>
            </w: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16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556</w:t>
            </w:r>
          </w:p>
        </w:tc>
        <w:tc>
          <w:tcPr>
            <w:tcW w:w="28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239</w:t>
            </w:r>
          </w:p>
        </w:tc>
        <w:tc>
          <w:tcPr>
            <w:tcW w:w="2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1,278</w:t>
            </w:r>
          </w:p>
        </w:tc>
        <w:tc>
          <w:tcPr>
            <w:tcW w:w="2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3,502</w:t>
            </w: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4,780</w:t>
            </w:r>
          </w:p>
        </w:tc>
      </w:tr>
    </w:tbl>
    <w:p>
      <w:pPr>
        <w:spacing w:after="0" w:line="333" w:lineRule="exact"/>
        <w:rPr>
          <w:sz w:val="20"/>
          <w:szCs w:val="20"/>
          <w:color w:val="auto"/>
        </w:rPr>
      </w:pPr>
    </w:p>
    <w:p>
      <w:pPr>
        <w:jc w:val="both"/>
        <w:ind w:left="340" w:hanging="332"/>
        <w:spacing w:after="0" w:line="266"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includes the elimination of intersegment revenues, other revenue adjustments and certain corporate costs, depreciation and amortization and assets not allocated to segments. Unallocated assets are comprised of cash, accounts receivable, other receivables, entity-wide property, plant and equipment, entity-wide operating lease right-of-use assets, goodwill, intangible assets, related party receivables and other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segment Adjusted EBITDA to GAAP income before income taxes:</w:t>
      </w:r>
    </w:p>
    <w:p>
      <w:pPr>
        <w:sectPr>
          <w:pgSz w:w="11900" w:h="16838" w:orient="portrait"/>
          <w:cols w:equalWidth="0" w:num="1">
            <w:col w:w="11240"/>
          </w:cols>
          <w:pgMar w:left="320" w:top="1296" w:right="339" w:bottom="1440" w:gutter="0" w:footer="0" w:header="0"/>
        </w:sectPr>
      </w:pPr>
    </w:p>
    <w:p>
      <w:pPr>
        <w:spacing w:after="0" w:line="300"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41910</wp:posOffset>
            </wp:positionV>
            <wp:extent cx="21342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62" w:lineRule="exact"/>
        <w:rPr>
          <w:sz w:val="20"/>
          <w:szCs w:val="20"/>
          <w:color w:val="auto"/>
        </w:rPr>
      </w:pPr>
    </w:p>
    <w:p>
      <w:pPr>
        <w:ind w:left="4900"/>
        <w:spacing w:after="0"/>
        <w:tabs>
          <w:tab w:leader="none" w:pos="66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41910</wp:posOffset>
            </wp:positionV>
            <wp:extent cx="21342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41910</wp:posOffset>
            </wp:positionV>
            <wp:extent cx="2143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62" w:lineRule="exact"/>
        <w:rPr>
          <w:sz w:val="20"/>
          <w:szCs w:val="20"/>
          <w:color w:val="auto"/>
        </w:rPr>
      </w:pPr>
    </w:p>
    <w:p>
      <w:pPr>
        <w:ind w:left="20"/>
        <w:spacing w:after="0"/>
        <w:tabs>
          <w:tab w:leader="none" w:pos="18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41910</wp:posOffset>
            </wp:positionV>
            <wp:extent cx="2143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66" w:lineRule="exact"/>
        <w:rPr>
          <w:sz w:val="20"/>
          <w:szCs w:val="20"/>
          <w:color w:val="auto"/>
        </w:rPr>
      </w:pPr>
    </w:p>
    <w:p>
      <w:pPr>
        <w:sectPr>
          <w:pgSz w:w="11900" w:h="16838" w:orient="portrait"/>
          <w:cols w:equalWidth="0" w:num="2">
            <w:col w:w="7760" w:space="720"/>
            <w:col w:w="2760"/>
          </w:cols>
          <w:pgMar w:left="320" w:top="1296"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540</w:t>
            </w: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477</w:t>
            </w: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 unallocated expenses</w:t>
            </w:r>
          </w:p>
        </w:tc>
        <w:tc>
          <w:tcPr>
            <w:tcW w:w="660" w:type="dxa"/>
            <w:vAlign w:val="bottom"/>
          </w:tcPr>
          <w:p>
            <w:pPr>
              <w:spacing w:after="0"/>
              <w:rPr>
                <w:sz w:val="21"/>
                <w:szCs w:val="21"/>
                <w:color w:val="auto"/>
              </w:rPr>
            </w:pPr>
          </w:p>
        </w:tc>
        <w:tc>
          <w:tcPr>
            <w:tcW w:w="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(29)</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(79)</w:t>
            </w:r>
          </w:p>
        </w:tc>
      </w:tr>
      <w:tr>
        <w:trPr>
          <w:trHeight w:val="27"/>
        </w:trPr>
        <w:tc>
          <w:tcPr>
            <w:tcW w:w="42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4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398</w:t>
            </w: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Adjustments to reconcile to GAAP income before income</w:t>
            </w: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taxes</w:t>
            </w: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9"/>
              </w:rPr>
              <w:t>(31)</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9"/>
              </w:rPr>
              <w:t>(92)</w:t>
            </w: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660" w:type="dxa"/>
            <w:vAlign w:val="bottom"/>
          </w:tcPr>
          <w:p>
            <w:pPr>
              <w:spacing w:after="0"/>
              <w:rPr>
                <w:sz w:val="21"/>
                <w:szCs w:val="21"/>
                <w:color w:val="auto"/>
              </w:rPr>
            </w:pPr>
          </w:p>
        </w:tc>
        <w:tc>
          <w:tcPr>
            <w:tcW w:w="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(31)</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(91)</w:t>
            </w:r>
          </w:p>
        </w:tc>
      </w:tr>
      <w:tr>
        <w:trPr>
          <w:trHeight w:val="27"/>
        </w:trPr>
        <w:tc>
          <w:tcPr>
            <w:tcW w:w="42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GAAP income before income taxes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113</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103</w:t>
            </w: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293</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215</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in Relation to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product line are as follows:</w:t>
      </w:r>
    </w:p>
    <w:p>
      <w:pPr>
        <w:sectPr>
          <w:pgSz w:w="11900" w:h="16838" w:orient="portrait"/>
          <w:cols w:equalWidth="0" w:num="1">
            <w:col w:w="11240"/>
          </w:cols>
          <w:pgMar w:left="320" w:top="1296" w:right="339" w:bottom="1440" w:gutter="0" w:footer="0" w:header="0"/>
          <w:type w:val="continuous"/>
        </w:sectPr>
      </w:pPr>
    </w:p>
    <w:p>
      <w:pPr>
        <w:spacing w:after="0" w:line="300"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41910</wp:posOffset>
            </wp:positionV>
            <wp:extent cx="2125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62" w:lineRule="exact"/>
        <w:rPr>
          <w:sz w:val="20"/>
          <w:szCs w:val="20"/>
          <w:color w:val="auto"/>
        </w:rPr>
      </w:pPr>
    </w:p>
    <w:p>
      <w:pPr>
        <w:ind w:left="4920"/>
        <w:spacing w:after="0"/>
        <w:tabs>
          <w:tab w:leader="none" w:pos="67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41910</wp:posOffset>
            </wp:positionV>
            <wp:extent cx="21259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6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41910</wp:posOffset>
            </wp:positionV>
            <wp:extent cx="21431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62" w:lineRule="exact"/>
        <w:rPr>
          <w:sz w:val="20"/>
          <w:szCs w:val="20"/>
          <w:color w:val="auto"/>
        </w:rPr>
      </w:pPr>
    </w:p>
    <w:p>
      <w:pPr>
        <w:ind w:left="20"/>
        <w:spacing w:after="0"/>
        <w:tabs>
          <w:tab w:leader="none" w:pos="18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41910</wp:posOffset>
            </wp:positionV>
            <wp:extent cx="21431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66" w:lineRule="exact"/>
        <w:rPr>
          <w:sz w:val="20"/>
          <w:szCs w:val="20"/>
          <w:color w:val="auto"/>
        </w:rPr>
      </w:pPr>
    </w:p>
    <w:p>
      <w:pPr>
        <w:sectPr>
          <w:pgSz w:w="11900" w:h="16838" w:orient="portrait"/>
          <w:cols w:equalWidth="0" w:num="2">
            <w:col w:w="7760" w:space="720"/>
            <w:col w:w="2760"/>
          </w:cols>
          <w:pgMar w:left="320" w:top="1296"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Waste and storage products </w:t>
            </w:r>
            <w:r>
              <w:rPr>
                <w:rFonts w:ascii="Times New Roman" w:cs="Times New Roman" w:eastAsia="Times New Roman" w:hAnsi="Times New Roman"/>
                <w:sz w:val="23"/>
                <w:szCs w:val="23"/>
                <w:color w:val="auto"/>
                <w:vertAlign w:val="superscript"/>
              </w:rPr>
              <w:t>(1)</w:t>
            </w: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Cooking products</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7"/>
        </w:trPr>
        <w:tc>
          <w:tcPr>
            <w:tcW w:w="4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Tableware</w:t>
            </w: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42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2,675</w:t>
            </w: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2,750</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Waste and storage products are comprised of our Hefty Waste &amp; Storage and Presto Products segments.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Packaging Finance Limited (“PFL”) owns the majority of our outstanding common stock and owns the majority of the outstanding common stock of Pactiv Evergreen Inc. and its subsidiaries (“PEI Group”). We sell and purchase various goods and services with PEI Group under contractual arrangements that expire over a variety of periods through December 31, 2027. During the year ended December 31, 2023 and the nine months ended September 30, 2024, we amended these contractual arrangements with PEI Group, which, among other things, extended the expiration date for certain arrangements. Transactions between us and PEI Group are described below.</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each of the three and nine months ended September 30, 2024, revenues from products sold to PEI Group were $18 million and $57 million, respectively, compared to $21 million and $61 million in the comparable prior year periods. For the three and nine months ended September 30, 2024, products purchased from PEI Group were $83 million and $246 million, respectively, compared to $92 million and $291 million in the comparable prior year periods. For the three and nine months ended September 30, 2024, PEI Group charged us freight and warehousing costs of $6 million and $22 million, respectively, compared to $9 million and $28 million in the comparable prior year periods, which were included in cost of sales. The resulting related party receivables and payables are settled regularly in the normal course of business.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$36 million of the dividends paid during each of the three months ended September 30, 2024 and September 30, 2023, and $107 million of the dividends paid during each of the nine months ended September 30, 2024 and September 30, 2023, were paid to PFL.</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Cash Dividend</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24, 2024, our Board of Directors approved a cash dividend of $0.23 per common share to be paid on November 29, 2024 to shareholders of record on November 15,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September 30, 2024, we made a voluntary principal payment of $50 million related to our Term Loan Facility.</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amended our Amended External Debt Facilities to replace the undrawn $250 million revolving facility maturing in February 2026 with an undrawn $700 million revolving facility maturing in October 2029. Our Term Loan Facility under the Credit Agreement continues to mature in February 2027.</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described above, there have been no events subsequent to September 30, 2024 which would require accrual or disclosure in these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management’s discussion and analysis is intended to help the reader understand our results of operations and financial condition and is provided as an addition to, and should be read in connection with, our condensed consolidated financial statements and the accompanying notes included elsewhere in this Quarterly Report on Form 10-Q and our consolidated financial statements and the accompanying notes contained in our Annual Report on Form 10-K for the year ended December 31,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Company and its Business Segments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market-leading consumer products company with a presence in 95% of households across the United States. We produce and sell products across three broad categories: cooking products, waste and storage products and tableware. We sell our products under iconic brands such as Reynolds and Hefty and also under store brands that are strategically important to our retail partners. Overall, across both our branded and store brand offerings, we hold the #1 or #2 U.S. market share position in the majority of product categories in which we participate. Over 65% of our revenue comes from products that are #1 in their respective categories. We have developed our market-leading position by investing in our product categories and consistently developing innovative products that meet the evolving needs and preferences of the modern consumer.</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mix of branded and store brand products is a key competitive advantage that aligns our goal of growing the overall product categories where we have offerings. Our retail partners also measure their success in category growth, which positions us as a trusted strategic partner.</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operations in four operating and reportable segments: Reynolds Cooking &amp; Baking, Hefty Waste &amp; Storage, Hefty Tableware and Presto Products:</w:t>
      </w:r>
    </w:p>
    <w:p>
      <w:pPr>
        <w:spacing w:after="0" w:line="54" w:lineRule="exact"/>
        <w:rPr>
          <w:sz w:val="20"/>
          <w:szCs w:val="20"/>
          <w:color w:val="auto"/>
        </w:rPr>
      </w:pPr>
    </w:p>
    <w:p>
      <w:pPr>
        <w:jc w:val="both"/>
        <w:ind w:left="660" w:hanging="328"/>
        <w:spacing w:after="0" w:line="25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Reynolds Cooking &amp; Baking: Through our Reynolds Cooking &amp; Baking segment, we sell both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 With our flagship Reynolds Wrap products, we hold the #1 market position in the U.S. consumer foil market measured by retail sales and volume. We also hold the #1 market position in the Canadian branded foil market under the ALCAN brand. We have no significant branded competitor in this market. Reynolds is one of the most recognized household brands in the United States and has been the top trusted brand in the consumer foil market for over 75 years, with greater than 50% market share in most of its categories.</w:t>
      </w:r>
    </w:p>
    <w:p>
      <w:pPr>
        <w:spacing w:after="0" w:line="8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Waste &amp; Storage: Through our Hefty Waste &amp; Storage segment, we produce both branded and store brand trash and food storage bags. Hefty is a well-recognized leader in the trash bag and food storage bag categories and our private label products offer value to our retail partners. Our branded products are sold under the Hefty Ultra Strong and Hefty Strong brands for trash bags, and as the Hefty and Baggies brands for our food storage bags. We have the #1 branded market share in the U.S. large black trash bag and slider bag segments, and the #2 branded market share in the tall kitchen trash bag segment. Our robust product portfolio in this segment includes a full suite of products, including sustainable solutions such as blue and clear recycling bags, compostable bags, bags made from recycled materials and orange bags through the Hefty ReNew</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Program.</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Tableware: Through our Hefty Tableware segment, we sell both branded and store brand disposable and compostable plates, bowls, platters, cups and cutlery. Our Hefty branded products include dishes and party cups. Hefty branded party cups are the #1 party cup in America measured by market share. Our branded products use our Hefty brand to represent both quality and great value, and we bring this same quality and value promise to all of our store brands as well. We sell across a broad range of materials and price points in all retail channels, allowing our consumers to select the product that best suits their price, function and aesthetic needs. These materials include sustainable solutions, such as Hefty ECOSAVE™ and Hefty Compostable Printed Paper Plates.</w:t>
      </w:r>
    </w:p>
    <w:p>
      <w:pPr>
        <w:spacing w:after="0" w:line="7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Products: Through our Presto Products segment, we primarily sell store brand products in four main categories: food storage bags, trash bags, reusable storage containers and plastic wrap. Presto Products is a market leader in food storage bags and differentiates itself by providing access to category management, consumer insights, marketing, merchandising and research and development (“R&amp;D”) resources. Presto Products was the first in the U.S. market to offer a store branded sandwich bag made with an approximately 20% proprietary blend of plant and ocean, renewable materials. Our Presto Products segment also includes our specialty business, which serves other consumer products companies by providing Fresh-Lock and Slide-Rite resealable closure systems.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8" w:name="page19"/>
    <w:bookmarkEnd w:id="18"/>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net revenues decreased 3% in the three months ended September 30, 2024 compared to the same period in 2023. The revenue decrease was primarily due to lower volume.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net revenues decreased 3% in the nine months ended September 30, 2024 compared to the same period in 2023. The revenue decrease was primarily due to lower volume.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our net income increased by 10%, primarily driven by lower selling, general and administrative expenses, lower material and manufacturing costs and lower interest expense. These were partially offset by higher income tax expense as a result of higher pre-tax income.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our net income increased by 43%, primarily driven by lower material and manufacturing costs and lower interest expense. These were partially offset by higher income tax expense as a result of higher pre-tax income.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we use the non-GAAP financial measure “Adjusted EBITDA”, which is a non- GAAP measure.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Adjusted EBITDA as net income calculated in accordance with GAAP, plus the sum of income tax expense, net interest expense, depreciation and amortization and as may be further adjusted to exclude certain non-recurring items, if applicable.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Accordingly, we believe presenting this measure provides useful information to investors and others in understanding and evaluating our operating results in the same manner as our management team and board of directors.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our net income, the most directly comparable GAAP financial measure, to Adjusted EBITDA: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0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50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5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6"/>
                <w:szCs w:val="16"/>
                <w:color w:val="auto"/>
              </w:rPr>
            </w:pPr>
          </w:p>
        </w:tc>
      </w:tr>
      <w:tr>
        <w:trPr>
          <w:trHeight w:val="37"/>
        </w:trPr>
        <w:tc>
          <w:tcPr>
            <w:tcW w:w="50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50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w:t>
            </w:r>
          </w:p>
        </w:tc>
      </w:tr>
      <w:tr>
        <w:trPr>
          <w:trHeight w:val="27"/>
        </w:trPr>
        <w:tc>
          <w:tcPr>
            <w:tcW w:w="506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September 30, 2024</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Certain discussions in this section provide a breakdown of net revenues between our retail and non-retail businesses. Our retail business net revenues consist of sales to grocery stores, mass merchants, warehouse clubs, discount chains, dollar stores, drug stores, home improvement stores, military outlets and eCommerce retailers. Our non-retail business net revenues consist of aluminum sales to food service customers, which are classified as related party revenues, and industrial customers.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Aggregation of Segment Revenue and Adjusted EBITDA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revenues for the three months ended</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September 30:</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0" w:type="dxa"/>
            <w:vAlign w:val="bottom"/>
          </w:tcPr>
          <w:p>
            <w:pPr>
              <w:spacing w:after="0"/>
              <w:rPr>
                <w:sz w:val="1"/>
                <w:szCs w:val="1"/>
                <w:color w:val="auto"/>
              </w:rPr>
            </w:pPr>
          </w:p>
        </w:tc>
      </w:tr>
      <w:tr>
        <w:trPr>
          <w:trHeight w:val="162"/>
        </w:trPr>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Cooking &amp;</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32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40" w:type="dxa"/>
            <w:vAlign w:val="bottom"/>
            <w:vMerge w:val="restart"/>
          </w:tcPr>
          <w:p>
            <w:pPr>
              <w:ind w:left="200"/>
              <w:spacing w:after="0" w:line="207" w:lineRule="exact"/>
              <w:rPr>
                <w:sz w:val="20"/>
                <w:szCs w:val="20"/>
                <w:color w:val="auto"/>
              </w:rPr>
            </w:pPr>
            <w:r>
              <w:rPr>
                <w:rFonts w:ascii="Times New Roman" w:cs="Times New Roman" w:eastAsia="Times New Roman" w:hAnsi="Times New Roman"/>
                <w:sz w:val="14"/>
                <w:szCs w:val="14"/>
                <w:b w:val="1"/>
                <w:bCs w:val="1"/>
                <w:color w:val="auto"/>
              </w:rPr>
              <w:t>Unallocated</w:t>
            </w:r>
            <w:r>
              <w:rPr>
                <w:rFonts w:ascii="MS PGothic" w:cs="MS PGothic" w:eastAsia="MS PGothic" w:hAnsi="MS PGothic"/>
                <w:sz w:val="14"/>
                <w:szCs w:val="14"/>
                <w:color w:val="auto"/>
              </w:rPr>
              <w:t>⁽</w:t>
            </w:r>
            <w:r>
              <w:rPr>
                <w:rFonts w:ascii="Times New Roman" w:cs="Times New Roman" w:eastAsia="Times New Roman" w:hAnsi="Times New Roman"/>
                <w:sz w:val="18"/>
                <w:szCs w:val="18"/>
                <w:b w:val="1"/>
                <w:bCs w:val="1"/>
                <w:color w:val="auto"/>
                <w:vertAlign w:val="superscript"/>
              </w:rPr>
              <w:t>1</w:t>
            </w:r>
            <w:r>
              <w:rPr>
                <w:rFonts w:ascii="MS PGothic" w:cs="MS PGothic" w:eastAsia="MS PGothic" w:hAnsi="MS PGothic"/>
                <w:sz w:val="14"/>
                <w:szCs w:val="14"/>
                <w:color w:val="auto"/>
              </w:rPr>
              <w:t>⁾</w:t>
            </w:r>
          </w:p>
        </w:tc>
        <w:tc>
          <w:tcPr>
            <w:tcW w:w="100" w:type="dxa"/>
            <w:vAlign w:val="bottom"/>
            <w:vMerge w:val="restart"/>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0" w:type="dxa"/>
            <w:vAlign w:val="bottom"/>
          </w:tcPr>
          <w:p>
            <w:pPr>
              <w:spacing w:after="0"/>
              <w:rPr>
                <w:sz w:val="1"/>
                <w:szCs w:val="1"/>
                <w:color w:val="auto"/>
              </w:rPr>
            </w:pPr>
          </w:p>
        </w:tc>
      </w:tr>
      <w:tr>
        <w:trPr>
          <w:trHeight w:val="227"/>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Baking</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8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80" w:type="dxa"/>
            <w:vAlign w:val="bottom"/>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-2119630</wp:posOffset>
            </wp:positionH>
            <wp:positionV relativeFrom="paragraph">
              <wp:posOffset>-7620</wp:posOffset>
            </wp:positionV>
            <wp:extent cx="7115175"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30861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-144780</wp:posOffset>
            </wp:positionV>
            <wp:extent cx="97155" cy="749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7155" cy="74930"/>
                    </a:xfrm>
                    <a:prstGeom prst="rect">
                      <a:avLst/>
                    </a:prstGeom>
                    <a:noFill/>
                  </pic:spPr>
                </pic:pic>
              </a:graphicData>
            </a:graphic>
          </wp:anchor>
        </w:drawing>
      </w:r>
    </w:p>
    <w:p>
      <w:pPr>
        <w:spacing w:after="0" w:line="481" w:lineRule="exact"/>
        <w:rPr>
          <w:sz w:val="20"/>
          <w:szCs w:val="20"/>
          <w:color w:val="auto"/>
        </w:rPr>
      </w:pPr>
    </w:p>
    <w:p>
      <w:pPr>
        <w:sectPr>
          <w:pgSz w:w="11900" w:h="16838" w:orient="portrait"/>
          <w:cols w:equalWidth="0" w:num="2">
            <w:col w:w="2960" w:space="400"/>
            <w:col w:w="7880"/>
          </w:cols>
          <w:pgMar w:left="320" w:top="1440" w:right="33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318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7"/>
        </w:trPr>
        <w:tc>
          <w:tcPr>
            <w:tcW w:w="3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jc w:val="right"/>
              <w:ind w:right="249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w:t>
            </w:r>
          </w:p>
        </w:tc>
        <w:tc>
          <w:tcPr>
            <w:tcW w:w="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25"/>
        </w:trPr>
        <w:tc>
          <w:tcPr>
            <w:tcW w:w="31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Adjusted EBITDA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 the three months</w:t>
            </w: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September 30:</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jc w:val="right"/>
              <w:ind w:right="249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43"/>
        </w:trPr>
        <w:tc>
          <w:tcPr>
            <w:tcW w:w="318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5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bl>
    <w:p>
      <w:pPr>
        <w:spacing w:after="0" w:line="346" w:lineRule="exact"/>
        <w:rPr>
          <w:sz w:val="20"/>
          <w:szCs w:val="20"/>
          <w:color w:val="auto"/>
        </w:rPr>
      </w:pPr>
    </w:p>
    <w:p>
      <w:pPr>
        <w:ind w:left="340" w:hanging="332"/>
        <w:spacing w:after="0" w:line="261"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2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 Compared with the Three Months Ended September 30,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Reynolds Consumer Products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0" w:type="dxa"/>
            <w:vAlign w:val="bottom"/>
            <w:gridSpan w:val="8"/>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20" w:type="dxa"/>
            <w:vAlign w:val="bottom"/>
          </w:tcPr>
          <w:p>
            <w:pPr>
              <w:spacing w:after="0"/>
              <w:rPr>
                <w:sz w:val="16"/>
                <w:szCs w:val="16"/>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6"/>
                <w:szCs w:val="16"/>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892</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98 %</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914</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98 %</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910</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935</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(671)</w:t>
            </w:r>
          </w:p>
        </w:tc>
        <w:tc>
          <w:tcPr>
            <w:tcW w:w="14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 %</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(686)</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239</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249</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line="20" w:lineRule="exact"/>
              <w:rPr>
                <w:sz w:val="1"/>
                <w:szCs w:val="1"/>
                <w:color w:val="auto"/>
              </w:rPr>
            </w:pPr>
          </w:p>
        </w:tc>
      </w:tr>
      <w:tr>
        <w:trPr>
          <w:trHeight w:val="237"/>
        </w:trPr>
        <w:tc>
          <w:tcPr>
            <w:tcW w:w="4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138</w:t>
            </w:r>
          </w:p>
        </w:tc>
        <w:tc>
          <w:tcPr>
            <w:tcW w:w="1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15 %</w:t>
            </w: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134</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10 %</w:t>
            </w:r>
          </w:p>
        </w:tc>
        <w:tc>
          <w:tcPr>
            <w:tcW w:w="0" w:type="dxa"/>
            <w:vAlign w:val="bottom"/>
          </w:tcPr>
          <w:p>
            <w:pPr>
              <w:spacing w:after="0" w:line="20" w:lineRule="exact"/>
              <w:rPr>
                <w:sz w:val="1"/>
                <w:szCs w:val="1"/>
                <w:color w:val="auto"/>
              </w:rPr>
            </w:pPr>
          </w:p>
        </w:tc>
      </w:tr>
      <w:tr>
        <w:trPr>
          <w:trHeight w:val="237"/>
        </w:trPr>
        <w:tc>
          <w:tcPr>
            <w:tcW w:w="4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113</w:t>
            </w:r>
          </w:p>
        </w:tc>
        <w:tc>
          <w:tcPr>
            <w:tcW w:w="1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12 %</w:t>
            </w: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103</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160" w:type="dxa"/>
            <w:vAlign w:val="bottom"/>
            <w:vMerge w:val="continue"/>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86</w:t>
            </w:r>
          </w:p>
        </w:tc>
        <w:tc>
          <w:tcPr>
            <w:tcW w:w="14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78</w:t>
            </w:r>
          </w:p>
        </w:tc>
        <w:tc>
          <w:tcPr>
            <w:tcW w:w="16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10 %</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16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171</w:t>
            </w: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165</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4 %</w:t>
            </w:r>
          </w:p>
        </w:tc>
        <w:tc>
          <w:tcPr>
            <w:tcW w:w="0" w:type="dxa"/>
            <w:vAlign w:val="bottom"/>
          </w:tcPr>
          <w:p>
            <w:pPr>
              <w:spacing w:after="0"/>
              <w:rPr>
                <w:sz w:val="1"/>
                <w:szCs w:val="1"/>
                <w:color w:val="auto"/>
              </w:rPr>
            </w:pPr>
          </w:p>
        </w:tc>
      </w:tr>
      <w:tr>
        <w:trPr>
          <w:trHeight w:val="27"/>
        </w:trPr>
        <w:tc>
          <w:tcPr>
            <w:tcW w:w="4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-179705</wp:posOffset>
            </wp:positionV>
            <wp:extent cx="106045" cy="86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Percentage change is not meaningful.</w:t>
      </w:r>
    </w:p>
    <w:p>
      <w:pPr>
        <w:spacing w:after="0" w:line="50"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Change in Net Revenues for the Three Months Ended September 30, 2024 vs. the Three Months Ended September 30, 2023</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86"/>
        </w:trPr>
        <w:tc>
          <w:tcPr>
            <w:tcW w:w="4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560" w:type="dxa"/>
            <w:vAlign w:val="bottom"/>
          </w:tcPr>
          <w:p>
            <w:pPr>
              <w:spacing w:after="0"/>
              <w:rPr>
                <w:sz w:val="16"/>
                <w:szCs w:val="16"/>
                <w:color w:val="auto"/>
              </w:rPr>
            </w:pPr>
          </w:p>
        </w:tc>
        <w:tc>
          <w:tcPr>
            <w:tcW w:w="11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Non-Retail</w:t>
            </w: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37"/>
        </w:trPr>
        <w:tc>
          <w:tcPr>
            <w:tcW w:w="4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00" w:type="dxa"/>
            <w:vAlign w:val="bottom"/>
          </w:tcPr>
          <w:p>
            <w:pPr>
              <w:spacing w:after="0"/>
              <w:rPr>
                <w:sz w:val="3"/>
                <w:szCs w:val="3"/>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Reynolds Cooking &amp; Baking</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Hefty Waste &amp; Storage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r>
      <w:tr>
        <w:trPr>
          <w:trHeight w:val="27"/>
        </w:trPr>
        <w:tc>
          <w:tcPr>
            <w:tcW w:w="4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Hefty Tableware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Presto Products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r>
      <w:tr>
        <w:trPr>
          <w:trHeight w:val="27"/>
        </w:trPr>
        <w:tc>
          <w:tcPr>
            <w:tcW w:w="4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43"/>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 %</w:t>
            </w:r>
          </w:p>
        </w:tc>
      </w:tr>
      <w:tr>
        <w:trPr>
          <w:trHeight w:val="27"/>
        </w:trPr>
        <w:tc>
          <w:tcPr>
            <w:tcW w:w="4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Net Revenues</w:t>
      </w:r>
      <w:r>
        <w:rPr>
          <w:rFonts w:ascii="Times New Roman" w:cs="Times New Roman" w:eastAsia="Times New Roman" w:hAnsi="Times New Roman"/>
          <w:sz w:val="18"/>
          <w:szCs w:val="18"/>
          <w:color w:val="auto"/>
        </w:rPr>
        <w:t>. Total net revenues decreased by $25 million, or 3%, to $910 million. The decrease was primarily driven by lower volume.</w:t>
      </w:r>
    </w:p>
    <w:p>
      <w:pPr>
        <w:spacing w:after="0" w:line="29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decreased by $15 million, or 2%, to $671 million. The decrease was primarily driven by lower material and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as well as lower volume.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$14 million, or 12%, to $101 million,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lower personnel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was zero in each of the three months ended September 30, 2024 and 2023.</w:t>
      </w:r>
    </w:p>
    <w:p>
      <w:pPr>
        <w:spacing w:after="0" w:line="2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w:t>
      </w:r>
      <w:r>
        <w:rPr>
          <w:rFonts w:ascii="Times New Roman" w:cs="Times New Roman" w:eastAsia="Times New Roman" w:hAnsi="Times New Roman"/>
          <w:sz w:val="18"/>
          <w:szCs w:val="18"/>
          <w:color w:val="auto"/>
        </w:rPr>
        <w:t>. Interest expense, net decreased by $6 million, or 19%, to $25 million. The decrease was primarily due to a lower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as a result of voluntary principal payments made on our term loan facility.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recognized income tax expense of $27 million on income before income taxes of $113 million (an effective tax rate of 24.1%)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2024 compared to income tax expense of $25 million on income before income taxes of $103 million (an effective tax rate of 24.5%) for the three months ended September 30, 2023.</w:t>
      </w:r>
    </w:p>
    <w:p>
      <w:pPr>
        <w:spacing w:after="0" w:line="20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increased by $6 million, or 4%, to $171 million. The increase in Adjusted EBITDA was primarily due to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general and administrative expenses as well as lower material and manufacturing costs, partially offset by lower volume.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17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Non-retail net revenues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2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17 %</w:t>
            </w:r>
          </w:p>
        </w:tc>
        <w:tc>
          <w:tcPr>
            <w:tcW w:w="18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Reynolds Cooking &amp; Baking total segment net revenues decreased by $7 million, or 2%, to $305 million. The decrease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primarily due to lower retail volume.</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Reynolds Cooking &amp; Baking Adjusted EBITDA was $51 million in each period. This was driven by lower material and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offset by the impact of lower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11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480" w:type="dxa"/>
            <w:vAlign w:val="bottom"/>
            <w:tcBorders>
              <w:bottom w:val="single" w:sz="8" w:color="CCEEFF"/>
            </w:tcBorders>
            <w:gridSpan w:val="2"/>
            <w:shd w:val="clear" w:color="auto" w:fill="CCEEFF"/>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Hefty Waste &amp; Storage total segment net revenues increased $4 million, or 2%, to $248 million. The increase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higher volume.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Waste &amp; Storage Adjusted EBITDA was $71 million in each period. This was driven by the benefit of increased revenue, offset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increased advertising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Hefty Tableware total segment net revenues decreased by $16 million, or 7%, to $217 million. The decrease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lower foam volume and lower pricing, which was primarily related to the timing of promotional activities.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Tableware Adjusted EBITDA decreased by $15 million, or 37%, to $26 million. The decrease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the impact of lower revenue and higher material and manufacturing costs.</w:t>
      </w:r>
    </w:p>
    <w:p>
      <w:pPr>
        <w:sectPr>
          <w:pgSz w:w="11900" w:h="16838" w:orient="portrait"/>
          <w:cols w:equalWidth="0" w:num="1">
            <w:col w:w="11240"/>
          </w:cols>
          <w:pgMar w:left="320" w:top="1253"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22" w:name="page23"/>
    <w:bookmarkEnd w:id="22"/>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520" w:type="dxa"/>
            <w:vAlign w:val="bottom"/>
            <w:tcBorders>
              <w:bottom w:val="single" w:sz="8" w:color="CCEEFF"/>
            </w:tcBorders>
            <w:gridSpan w:val="2"/>
            <w:shd w:val="clear" w:color="auto" w:fill="CCEEFF"/>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w:t>
            </w: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Presto Products total segment net revenues decreased by $3 million, or 2%, to $149 million. The decrease in net revenues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lower volume.</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Presto Products Adjusted EBITDA increased by $2 million, or 6%, to $33 million. The increase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product portfolio optimization.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Nine Months Ended September 30, 2024</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Aggregation of Segment Revenue and Adjusted EBITDA</w:t>
      </w: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4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Cooking &amp;</w:t>
            </w: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160" w:type="dxa"/>
            <w:vAlign w:val="bottom"/>
          </w:tcPr>
          <w:p>
            <w:pPr>
              <w:spacing w:after="0"/>
              <w:rPr>
                <w:sz w:val="14"/>
                <w:szCs w:val="14"/>
                <w:color w:val="auto"/>
              </w:rPr>
            </w:pPr>
          </w:p>
        </w:tc>
        <w:tc>
          <w:tcPr>
            <w:tcW w:w="1160" w:type="dxa"/>
            <w:vAlign w:val="bottom"/>
            <w:gridSpan w:val="2"/>
            <w:vMerge w:val="restart"/>
          </w:tcPr>
          <w:p>
            <w:pPr>
              <w:ind w:left="20"/>
              <w:spacing w:after="0" w:line="207" w:lineRule="exact"/>
              <w:rPr>
                <w:sz w:val="20"/>
                <w:szCs w:val="20"/>
                <w:color w:val="auto"/>
              </w:rPr>
            </w:pPr>
            <w:r>
              <w:rPr>
                <w:rFonts w:ascii="Times New Roman" w:cs="Times New Roman" w:eastAsia="Times New Roman" w:hAnsi="Times New Roman"/>
                <w:sz w:val="14"/>
                <w:szCs w:val="14"/>
                <w:b w:val="1"/>
                <w:bCs w:val="1"/>
                <w:color w:val="auto"/>
              </w:rPr>
              <w:t>Unallocated</w:t>
            </w:r>
            <w:r>
              <w:rPr>
                <w:rFonts w:ascii="MS PGothic" w:cs="MS PGothic" w:eastAsia="MS PGothic" w:hAnsi="MS PGothic"/>
                <w:sz w:val="14"/>
                <w:szCs w:val="14"/>
                <w:color w:val="auto"/>
              </w:rPr>
              <w:t>⁽</w:t>
            </w:r>
            <w:r>
              <w:rPr>
                <w:rFonts w:ascii="Times New Roman" w:cs="Times New Roman" w:eastAsia="Times New Roman" w:hAnsi="Times New Roman"/>
                <w:sz w:val="18"/>
                <w:szCs w:val="18"/>
                <w:b w:val="1"/>
                <w:bCs w:val="1"/>
                <w:color w:val="auto"/>
                <w:vertAlign w:val="superscript"/>
              </w:rPr>
              <w:t>1</w:t>
            </w:r>
            <w:r>
              <w:rPr>
                <w:rFonts w:ascii="MS PGothic" w:cs="MS PGothic" w:eastAsia="MS PGothic" w:hAnsi="MS PGothic"/>
                <w:sz w:val="14"/>
                <w:szCs w:val="14"/>
                <w:color w:val="auto"/>
              </w:rPr>
              <w:t>⁾</w:t>
            </w:r>
          </w:p>
        </w:tc>
        <w:tc>
          <w:tcPr>
            <w:tcW w:w="140" w:type="dxa"/>
            <w:vAlign w:val="bottom"/>
          </w:tcPr>
          <w:p>
            <w:pPr>
              <w:spacing w:after="0"/>
              <w:rPr>
                <w:sz w:val="14"/>
                <w:szCs w:val="14"/>
                <w:color w:val="auto"/>
              </w:rPr>
            </w:pPr>
          </w:p>
        </w:tc>
        <w:tc>
          <w:tcPr>
            <w:tcW w:w="8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0" w:type="dxa"/>
            <w:vAlign w:val="bottom"/>
          </w:tcPr>
          <w:p>
            <w:pPr>
              <w:spacing w:after="0"/>
              <w:rPr>
                <w:sz w:val="1"/>
                <w:szCs w:val="1"/>
                <w:color w:val="auto"/>
              </w:rPr>
            </w:pPr>
          </w:p>
        </w:tc>
      </w:tr>
      <w:tr>
        <w:trPr>
          <w:trHeight w:val="24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Baking</w:t>
            </w:r>
          </w:p>
        </w:tc>
        <w:tc>
          <w:tcPr>
            <w:tcW w:w="14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r>
        <w:trPr>
          <w:trHeight w:val="230"/>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 for the nine months ended September 30: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jc w:val="right"/>
              <w:ind w:right="4033"/>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jc w:val="right"/>
              <w:ind w:right="4033"/>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70"/>
        </w:trPr>
        <w:tc>
          <w:tcPr>
            <w:tcW w:w="472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Adjusted EBITDA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 the nine months ended September 30:</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jc w:val="right"/>
              <w:ind w:right="4033"/>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43"/>
        </w:trPr>
        <w:tc>
          <w:tcPr>
            <w:tcW w:w="4720" w:type="dxa"/>
            <w:vAlign w:val="bottom"/>
          </w:tcPr>
          <w:p>
            <w:pPr>
              <w:jc w:val="right"/>
              <w:ind w:right="4033"/>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6255385</wp:posOffset>
            </wp:positionH>
            <wp:positionV relativeFrom="paragraph">
              <wp:posOffset>-1147445</wp:posOffset>
            </wp:positionV>
            <wp:extent cx="97155" cy="749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7155" cy="7493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340" w:hanging="332"/>
        <w:spacing w:after="0" w:line="261"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Compared with the Nine Months Ended September 30,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Reynolds Consumer Products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20" w:type="dxa"/>
            <w:vAlign w:val="bottom"/>
          </w:tcPr>
          <w:p>
            <w:pPr>
              <w:spacing w:after="0"/>
              <w:rPr>
                <w:sz w:val="16"/>
                <w:szCs w:val="16"/>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26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6"/>
                <w:szCs w:val="16"/>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98 %</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98 %</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2,675</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100 %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2,750</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(74) %</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26 %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(12) %</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NM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21 %</w:t>
            </w:r>
          </w:p>
        </w:tc>
        <w:tc>
          <w:tcPr>
            <w:tcW w:w="0" w:type="dxa"/>
            <w:vAlign w:val="bottom"/>
          </w:tcPr>
          <w:p>
            <w:pPr>
              <w:spacing w:after="0" w:line="20" w:lineRule="exact"/>
              <w:rPr>
                <w:sz w:val="1"/>
                <w:szCs w:val="1"/>
                <w:color w:val="auto"/>
              </w:rPr>
            </w:pPr>
          </w:p>
        </w:tc>
      </w:tr>
      <w:tr>
        <w:trPr>
          <w:trHeight w:val="237"/>
        </w:trPr>
        <w:tc>
          <w:tcPr>
            <w:tcW w:w="4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c>
          <w:tcPr>
            <w:tcW w:w="140" w:type="dxa"/>
            <w:vAlign w:val="bottom"/>
          </w:tcPr>
          <w:p>
            <w:pPr>
              <w:spacing w:after="0"/>
              <w:rPr>
                <w:sz w:val="20"/>
                <w:szCs w:val="20"/>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14 %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36 %</w:t>
            </w:r>
          </w:p>
        </w:tc>
        <w:tc>
          <w:tcPr>
            <w:tcW w:w="0" w:type="dxa"/>
            <w:vAlign w:val="bottom"/>
          </w:tcPr>
          <w:p>
            <w:pPr>
              <w:spacing w:after="0" w:line="20" w:lineRule="exact"/>
              <w:rPr>
                <w:sz w:val="1"/>
                <w:szCs w:val="1"/>
                <w:color w:val="auto"/>
              </w:rPr>
            </w:pPr>
          </w:p>
        </w:tc>
      </w:tr>
      <w:tr>
        <w:trPr>
          <w:trHeight w:val="237"/>
        </w:trPr>
        <w:tc>
          <w:tcPr>
            <w:tcW w:w="4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140" w:type="dxa"/>
            <w:vAlign w:val="bottom"/>
          </w:tcPr>
          <w:p>
            <w:pPr>
              <w:spacing w:after="0"/>
              <w:rPr>
                <w:sz w:val="20"/>
                <w:szCs w:val="20"/>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11 %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160" w:type="dxa"/>
            <w:vAlign w:val="bottom"/>
            <w:vMerge w:val="continue"/>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40" w:type="dxa"/>
            <w:vAlign w:val="bottom"/>
          </w:tcPr>
          <w:p>
            <w:pPr>
              <w:spacing w:after="0"/>
              <w:rPr>
                <w:sz w:val="22"/>
                <w:szCs w:val="22"/>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9 %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6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43 %</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16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17 %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17 %</w:t>
            </w:r>
          </w:p>
        </w:tc>
        <w:tc>
          <w:tcPr>
            <w:tcW w:w="0" w:type="dxa"/>
            <w:vAlign w:val="bottom"/>
          </w:tcPr>
          <w:p>
            <w:pPr>
              <w:spacing w:after="0"/>
              <w:rPr>
                <w:sz w:val="1"/>
                <w:szCs w:val="1"/>
                <w:color w:val="auto"/>
              </w:rPr>
            </w:pPr>
          </w:p>
        </w:tc>
      </w:tr>
      <w:tr>
        <w:trPr>
          <w:trHeight w:val="27"/>
        </w:trPr>
        <w:tc>
          <w:tcPr>
            <w:tcW w:w="4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-179705</wp:posOffset>
            </wp:positionV>
            <wp:extent cx="106045" cy="86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Percentage change is not meaningful.</w:t>
      </w:r>
    </w:p>
    <w:p>
      <w:pPr>
        <w:spacing w:after="0" w:line="50"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Change in Net Revenues for the Nine Months Ended September 30, 2024 vs. the Nine Months Ended September 30, 2023</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1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r>
      <w:tr>
        <w:trPr>
          <w:trHeight w:val="186"/>
        </w:trPr>
        <w:tc>
          <w:tcPr>
            <w:tcW w:w="4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Non-Retail</w:t>
            </w: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7"/>
        </w:trPr>
        <w:tc>
          <w:tcPr>
            <w:tcW w:w="412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r>
      <w:tr>
        <w:trPr>
          <w:trHeight w:val="243"/>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Reynolds Cooking &amp; Baking</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Hefty Waste &amp; Storage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r>
      <w:tr>
        <w:trPr>
          <w:trHeight w:val="27"/>
        </w:trPr>
        <w:tc>
          <w:tcPr>
            <w:tcW w:w="4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Hefty Tableware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Presto Products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3"/>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 %</w:t>
            </w:r>
          </w:p>
        </w:tc>
      </w:tr>
      <w:tr>
        <w:trPr>
          <w:trHeight w:val="27"/>
        </w:trPr>
        <w:tc>
          <w:tcPr>
            <w:tcW w:w="4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3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Net Revenues</w:t>
      </w:r>
      <w:r>
        <w:rPr>
          <w:rFonts w:ascii="Times New Roman" w:cs="Times New Roman" w:eastAsia="Times New Roman" w:hAnsi="Times New Roman"/>
          <w:sz w:val="18"/>
          <w:szCs w:val="18"/>
          <w:color w:val="auto"/>
        </w:rPr>
        <w:t>. Total net revenues decreased by $75 million, or 3%, to $2,675 million. The decrease was driven by lower volume in our retail and non-retail businesses.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decreased by $140 million, or 7%, to $1,977 million. The decrease was driven by the impact of lower revenue as well as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and manufacturing costs.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$2 million, or 1%, to $329 million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higher advertising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was zero in each of the nine months ended September 30, 2024 and 2023.</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w:t>
      </w:r>
      <w:r>
        <w:rPr>
          <w:rFonts w:ascii="Times New Roman" w:cs="Times New Roman" w:eastAsia="Times New Roman" w:hAnsi="Times New Roman"/>
          <w:sz w:val="18"/>
          <w:szCs w:val="18"/>
          <w:color w:val="auto"/>
        </w:rPr>
        <w:t>. Interest expense, net decreased by $15 million, or 16%, to $76 million. The decrease was primarily due to a lower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on our external debt facilities as a result of principal payments made on our term loan facility throughout 2023 and in the first nine months of 2024.</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4" w:name="page25"/>
    <w:bookmarkEnd w:id="24"/>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Our effective tax rate declined by 3.8%, from 24.9% for the nine months ended September 30, 2023 to 21.1%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2024. The decrease was primarily due to the recognition of a discrete tax benefit for the remeasurement of deferred tax liabilities in the second quarter of 2024.</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increased by $67 million, or 17%, to $465 million. The increase in Adjusted EBITDA was primarily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material and manufacturing costs, partially offset by the impact of lower revenue and higher advertising costs.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center"/>
              <w:ind w:left="734"/>
              <w:spacing w:after="0"/>
              <w:rPr>
                <w:sz w:val="20"/>
                <w:szCs w:val="20"/>
                <w:color w:val="auto"/>
              </w:rPr>
            </w:pPr>
            <w:r>
              <w:rPr>
                <w:rFonts w:ascii="Times New Roman" w:cs="Times New Roman" w:eastAsia="Times New Roman" w:hAnsi="Times New Roman"/>
                <w:sz w:val="18"/>
                <w:szCs w:val="18"/>
                <w:color w:val="auto"/>
                <w:w w:val="99"/>
              </w:rPr>
              <w:t>(11)</w:t>
            </w:r>
          </w:p>
        </w:tc>
        <w:tc>
          <w:tcPr>
            <w:tcW w:w="2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Non-retail net revenues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center"/>
              <w:ind w:left="734"/>
              <w:spacing w:after="0"/>
              <w:rPr>
                <w:sz w:val="20"/>
                <w:szCs w:val="20"/>
                <w:color w:val="auto"/>
              </w:rPr>
            </w:pPr>
            <w:r>
              <w:rPr>
                <w:rFonts w:ascii="Times New Roman" w:cs="Times New Roman" w:eastAsia="Times New Roman" w:hAnsi="Times New Roman"/>
                <w:sz w:val="18"/>
                <w:szCs w:val="18"/>
                <w:color w:val="auto"/>
                <w:w w:val="99"/>
              </w:rPr>
              <w:t>(32)</w:t>
            </w:r>
          </w:p>
        </w:tc>
        <w:tc>
          <w:tcPr>
            <w:tcW w:w="2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w:t>
            </w:r>
          </w:p>
        </w:tc>
        <w:tc>
          <w:tcPr>
            <w:tcW w:w="2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916</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center"/>
              <w:ind w:left="734"/>
              <w:spacing w:after="0"/>
              <w:rPr>
                <w:sz w:val="20"/>
                <w:szCs w:val="20"/>
                <w:color w:val="auto"/>
              </w:rPr>
            </w:pPr>
            <w:r>
              <w:rPr>
                <w:rFonts w:ascii="Times New Roman" w:cs="Times New Roman" w:eastAsia="Times New Roman" w:hAnsi="Times New Roman"/>
                <w:sz w:val="18"/>
                <w:szCs w:val="18"/>
                <w:b w:val="1"/>
                <w:bCs w:val="1"/>
                <w:color w:val="auto"/>
                <w:w w:val="99"/>
              </w:rPr>
              <w:t>(43)</w:t>
            </w:r>
          </w:p>
        </w:tc>
        <w:tc>
          <w:tcPr>
            <w:tcW w:w="2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46</w:t>
            </w:r>
          </w:p>
        </w:tc>
        <w:tc>
          <w:tcPr>
            <w:tcW w:w="2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16 %</w:t>
            </w:r>
          </w:p>
        </w:tc>
        <w:tc>
          <w:tcPr>
            <w:tcW w:w="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10 %</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Reynolds Cooking &amp; Baking total segment net revenues decreased by $43 million, or 5%, to $873 million. The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revenues was primarily due to lower volume in the segment's non-retail and retail businesses.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Reynolds Cooking &amp; Baking Adjusted EBITDA increased by $46 million, or 49%, to $140 million. The increase in 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lower material and manufacturing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11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480" w:type="dxa"/>
            <w:vAlign w:val="bottom"/>
            <w:tcBorders>
              <w:bottom w:val="single" w:sz="8" w:color="CCEEFF"/>
            </w:tcBorders>
            <w:gridSpan w:val="2"/>
            <w:shd w:val="clear" w:color="auto" w:fill="CCEEFF"/>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Hefty Waste &amp; Storage total segment net revenues increased by $10 million, or 1%, to $715 million. The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primarily driven by higher pricing due to the timing of trade promotional activities.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Waste &amp; Storage Adjusted EBITDA increased by $17 million, or 9%, to $205 million. The increase in Adjusted EBITDA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lower material and manufacturing costs and the benefit of increased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44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(41)</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(22)</w:t>
            </w:r>
          </w:p>
        </w:tc>
        <w:tc>
          <w:tcPr>
            <w:tcW w:w="26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Hefty Tableware total segment net revenues decreased by $41 million, or 6%, to $667 million. The decrease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lower volume as well as lower pricing, primarily driven by the timing of trade promotional activities.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Tableware Adjusted EBITDA decreased by $22 million, or 19%, to $95 million. The decrease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the impact of lower revenue.</w:t>
      </w:r>
    </w:p>
    <w:p>
      <w:pPr>
        <w:sectPr>
          <w:pgSz w:w="11900" w:h="16838" w:orient="portrait"/>
          <w:cols w:equalWidth="0" w:num="1">
            <w:col w:w="11240"/>
          </w:cols>
          <w:pgMar w:left="320" w:top="1253"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25" w:name="page26"/>
    <w:bookmarkEnd w:id="25"/>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11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80" w:type="dxa"/>
            <w:vAlign w:val="bottom"/>
            <w:tcBorders>
              <w:bottom w:val="single" w:sz="8" w:color="CCEEFF"/>
            </w:tcBorders>
            <w:gridSpan w:val="2"/>
            <w:shd w:val="clear" w:color="auto" w:fill="CCEEFF"/>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1"/>
                <w:szCs w:val="21"/>
                <w:color w:val="auto"/>
              </w:rPr>
            </w:pPr>
          </w:p>
        </w:tc>
        <w:tc>
          <w:tcPr>
            <w:tcW w:w="1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Presto Products total segment net revenues increased by $2 million, to $443 million. The increase in net revenues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higher pricing associated with the contractual pass through of commodity costs, partially offset by lower volume.</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Presto Products Adjusted EBITDA increased by $22 million, or 28%, to $100 million. The increase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lower material and manufacturing costs and the benefit of product portfolio optimization.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existing cash and cash equivalents, cash generated from operating activities and available borrowings under the Revolving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our cash flows for the periods presented: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37"/>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0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37"/>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increase in cash and cash equivalents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Net cash from operating activities decreased by $116 million to $307 million in the nine months ended September 30, 2024. </w:t>
      </w:r>
      <w:r>
        <w:rPr>
          <w:rFonts w:ascii="Times New Roman" w:cs="Times New Roman" w:eastAsia="Times New Roman" w:hAnsi="Times New Roman"/>
          <w:sz w:val="18"/>
          <w:szCs w:val="18"/>
          <w:color w:val="212529"/>
        </w:rPr>
        <w:t>The decrease was primarily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driven by higher net investment in inventory during the current period and higher income tax payments due to higher taxable income, partially offset by higher net income, higher accounts payable due to working capital initiatives and lower interest payments.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increased by $2 million to $79 million. The increase was driven by an increase in cash outlays for capital expenditures.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decreased by $13 million to $247 million. The decrease was primarily attributable to $13 million of scheduled amortization payments made on our Term Loan Facility during the nine months ended September 30, 2023, which did not repeat in the current year period as a result of our voluntary prepayments.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2020, we entered into the External Debt Facilities which consist of a $2,475 million Term Loan Facility and a Revolving Facility that provided for additional borrowing capacity of up to $250 million, reduced by amounts used for letters of credit. In February 2023, we amended the External Debt Facilities (“Amendment No.1”) which replaced the interest rate benchmark from LIBOR to the SOFR. Additionally, in November 2023, we further amended the External Debt Facilities (“Amendment No. 2”) to extend the maturity of the Revolving Facility by one year. Other than the foregoing, the material terms of the agreement remained unchanged.</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outstanding balance under the Term Loan Facility was $1,745 million. As of September 30, 2024, we had no outstanding borrowings under the Revolving Facility, and we had $6 million of letters of credit outstanding, which reduces the borrowing capacity under the Revolving Facility.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borrower under the Amended External Debt Facilities is Reynolds Consumer Products LLC (the “Borrower”). The Revolving Facility includes a sub-facility for letters of credit. In addition, the Amended External Debt Facilities provide that the Borrower has the right at any time, subject to customary conditions, to request incremental term loans or incremental revolving credit commitments in amounts and on terms set forth therein. The lenders under the Amended External Debt Facilities are not under any obligation to provide any such incremental loans or commitments, and any such addition of or increase in loans is subject to certain customary conditions precedent and other provisions.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September 30, 2024, we amended our Amended External Debt Facilities to replace the undrawn $250 million revolving facility maturing in February 2026 with an undrawn $700 million revolving facility maturing in October 2029. Our Term Loan Facility under the Credit Agreement continues to mature in February 2027.</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under the Amended External Debt Facilities bear interest at a rate per annum equal to, at our option, either a base rate plus an applicable margin of 0.75% or SOFR plus an applicable margin of 1.75%.</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2020 and 2022, we entered into a series of interest rate swaps to fix the LIBOR of our External Debt Facilities. In February 2023, we amended our interest rate swaps to replace the interest rate benchmark from LIBOR to SOFR. Other than the foregoing, the material terms of the interest rate swap agreements remained unchanged, and our election to use practical expedients under ASUs 2020-04 and 2021-01 resulted in no material impacts on the condensed consolidated financial statements. The aggregate notional amount of the interest rate swaps still in effect as of September 30, 2024 was $1,150 million, and the SOFR is fixed at an annual rate of 0.40% to 3.40% (for an annual effective interest rate of 2.15% to 5.15%, including margin). These interest rate swaps hedge a portion of the interest rate exposure resulting from our Term Loan Facility for periods ranging from one to two years.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contains customary mandatory prepayments, including with respect to excess cash flow, asset sale proceeds and proceeds from certain incurrences of indebtedness.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Borrower may voluntarily repay outstanding loans under the Term Loan Facility at any time without premium or penalty, other than customary breakage costs with respect to SOFR based loans.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we made voluntary principal payments of $50 million and $100 million related to our Term Loan Facility, which was applied to the outstanding principal balance due at maturity. Subsequent to September 30, 2024, we made an additional voluntary principal payment of $50 million related to the Term Loan Facility.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and maturity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Facility matures in February 2027. The Term Loan Facility amortizes in equal quarterly installments of $6 million, which commenced in June 2020, with the balance payable on maturity. During the year ended December 31, 2023, we made voluntary principal payments of $250 million related to our Term Loan Facility, which were first applied to pay the remaining quarterly amortization payments in full, with the residual balance applied to the outstanding principal balance due at maturity.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amended effective October 17, 2024, the Revolving Facility matures in October 2029.</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 and security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obligations under the Amended External Debt Facilities and certain hedge agreements and cash management arrangements provided by any lender party to the Amended External Debt Facilities or any of its affiliates and certain other persons are unconditionally guaranteed by Reynolds Consumer Products Inc. (“RCPI”), the Borrower (with respect to hedge agreements and cash management arrangements not entered into by the Borrower) and certain of RCPI’s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obligations under the Amended External Debt Facilities and certain hedge agreements and cash management arrangements provided by any lender party to the Amended External Debt Facilities or any of its affiliates and certain other persons, and the guarantees of such obligations, are secured, subject to permitted liens and other exceptions, by: (i) a perfected first-priority pledge of all the equity interests of each wholly-owned material restricted subsidiary of RCPI, the Borrower or a subsidiary guarantor, including the equity interests of the Borrower (limited to 65% of voting stock in the case of first-tier non-U.S. subsidiaries of RCPI, the Borrower or any subsidiary guarantor) and (ii) perfected first-priority security interests in substantially all tangible and intangible personal property of RCPI, the Borrower and the subsidiary guarantors (subject to certain other exclusions).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covenants and events of default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Amended External Debt Facilities contain a number of covenants that, among other things, restrict, subject to certain exceptions, our ability and the ability of the restricted subsidiaries of RCPI to:</w:t>
      </w:r>
    </w:p>
    <w:p>
      <w:pPr>
        <w:spacing w:after="0" w:line="54" w:lineRule="exact"/>
        <w:rPr>
          <w:sz w:val="20"/>
          <w:szCs w:val="20"/>
          <w:color w:val="auto"/>
        </w:rPr>
      </w:pPr>
    </w:p>
    <w:p>
      <w:pPr>
        <w:ind w:left="880" w:hanging="431"/>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indebtedness;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which limit the ability of our restricted subsidiaries to incur restrictions on their ability to make distributions; 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amendments to certain indebtedness in a manner materially adverse to the lenders.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Amended External Debt Facilities are entitled to take various actions, including the acceleration of amounts due under the Amended External Debt Facilities and all actions permitted to be taken by secured creditors.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in compliance with the covenants contained in our Amended External Debt Facilities.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Factoring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We are party to a factoring agreement with JP Morgan Chase Bank, N.A. to sell certain accounts receivable up to $95 million. We had no outstanding balance owed under the factoring arrangement as of </w:t>
      </w:r>
      <w:r>
        <w:rPr>
          <w:rFonts w:ascii="Times New Roman" w:cs="Times New Roman" w:eastAsia="Times New Roman" w:hAnsi="Times New Roman"/>
          <w:sz w:val="18"/>
          <w:szCs w:val="18"/>
          <w:color w:val="000000"/>
        </w:rPr>
        <w:t>September 30, 2024</w:t>
      </w:r>
      <w:r>
        <w:rPr>
          <w:rFonts w:ascii="Times New Roman" w:cs="Times New Roman" w:eastAsia="Times New Roman" w:hAnsi="Times New Roman"/>
          <w:sz w:val="18"/>
          <w:szCs w:val="18"/>
          <w:color w:val="212529"/>
        </w:rPr>
        <w:t>. Transactions under this agreement are accounted for as sales of accounts receivable, and the receivables sold are removed from the condensed consolidated balance sheet at the time of the sales transaction. We classify the proceeds received from the sales of accounts receivable as an operating cash flow in the condensed consolidated statement of cash flows. We record the discount as other expense, net in the condensed consolidated statement of income.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Supply Chain Financing</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 xml:space="preserve">In March 2023, we initiated a voluntary Supply Chain Finance program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SCF</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with a global financial institution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SCF Bank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Under the SCF, qualifying suppliers may elect to sell their receivables from us to the SCF Bank. These participating suppliers negotiate their receivables sales arrangements directly with the SCF Bank. We are not party to those agreements, nor do we provide any security or other forms of guarantees to the SCF Bank. The participation in the program is at the sole discretion of the supplier, we have no economic interest in a supplier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s decision to enter into the agreement and have no direct financial relationship with the SCF Bank, as it relates to the SCF. Once a qualifying supplier elects to participate in the SCF and reaches an agreement with the SCF Bank, they elect which individual invoices they sell to the SCF Bank.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The terms of our payment obligations are not impacted by a supplier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s participation in the SCF and as such, the SCF has no direct impact on our balance sheets, cash flows, or liquidity. Our payment terms with our suppliers for similar services and materials within individual markets are consistent between suppliers that elect to participate in the SCF and those that do not participate.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All outstanding amounts related to suppliers participating in the SCF are recorded within accounts payable in our condensed consolidated balance sheet and associated payments are included as an operating cash flow in the condensed consolidated statement of cash flows. As of </w:t>
      </w:r>
      <w:r>
        <w:rPr>
          <w:rFonts w:ascii="Times New Roman" w:cs="Times New Roman" w:eastAsia="Times New Roman" w:hAnsi="Times New Roman"/>
          <w:sz w:val="18"/>
          <w:szCs w:val="18"/>
          <w:color w:val="000000"/>
        </w:rPr>
        <w:t>September 30, 2024</w:t>
      </w:r>
      <w:r>
        <w:rPr>
          <w:rFonts w:ascii="Times New Roman" w:cs="Times New Roman" w:eastAsia="Times New Roman" w:hAnsi="Times New Roman"/>
          <w:sz w:val="18"/>
          <w:szCs w:val="18"/>
          <w:color w:val="212529"/>
        </w:rPr>
        <w:t>, the amount of obligations outstanding that we have confirmed as valid under the SCF was $8 million. As of December 31</w:t>
      </w:r>
      <w:r>
        <w:rPr>
          <w:rFonts w:ascii="Times New Roman" w:cs="Times New Roman" w:eastAsia="Times New Roman" w:hAnsi="Times New Roman"/>
          <w:sz w:val="18"/>
          <w:szCs w:val="18"/>
          <w:color w:val="000000"/>
        </w:rPr>
        <w:t>, 2023</w:t>
      </w:r>
      <w:r>
        <w:rPr>
          <w:rFonts w:ascii="Times New Roman" w:cs="Times New Roman" w:eastAsia="Times New Roman" w:hAnsi="Times New Roman"/>
          <w:sz w:val="18"/>
          <w:szCs w:val="18"/>
          <w:color w:val="212529"/>
        </w:rPr>
        <w:t>, the amount of obligations outstanding that we had confirmed as valid under the SCF was $19 million.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Dividends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cash dividends of $0.23 and $0.69 per share, respectively, were declared and paid. On October 24, 2024, a quarterly cash dividend of $0.23 per share was declared and is to be paid on November 29, 2024. We expect to continue paying cash dividends on a quarterly basis; however, future dividends are at the discretion of our Board of Directors and will depend upon our earnings, capital requirements, financial condition, contractual limitations (including under the Amended External Debt Facilities) and other factors.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including proceeds from factored receivables, and available borrowings under the Revolving Facility are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 in our Annual Report on Form 10-K for the fiscal year ended December 31, 2023.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our Annual Report on Form 10-K for the fiscal year ended December 31,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“Item 7A: Quantitative and Qualitative Disclosures About Market Risk” of our Annual Report on Form 10-K for the fiscal year ended December 31, 2023. During the nine months ended September 30, 2024, there have been no material changes in our exposure to market risk.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as amended (the “Exchange Act”)) are designed to ensure that information required to be disclosed in reports filed or submitted under the Exchange Act is recorded, processed, summarized, and reported within the time periods specified in the SEC rules and forms, and that such information is accumulated and communicated to management, including our Chief Executive Officer and Chief Financial Officer, to allow timely decisions regarding required disclosures.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report, management, under the supervision and with the participation of the Chief Executive Officer and Chief Financial Officer, conducted an evaluation of the effectiveness of the design and operation of our disclosure controls and procedures as of September 30, 2024. Based on that evaluation, our Chief Executive Officer and Chief Financial Officer have concluded that, as of September 30, 2024, our disclosure controls and procedures were effective.</w:t>
      </w:r>
    </w:p>
    <w:p>
      <w:pPr>
        <w:spacing w:after="0" w:line="180" w:lineRule="exact"/>
        <w:rPr>
          <w:sz w:val="20"/>
          <w:szCs w:val="20"/>
          <w:color w:val="auto"/>
        </w:rPr>
      </w:pPr>
    </w:p>
    <w:p>
      <w:pPr>
        <w:ind w:left="880" w:hanging="431"/>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to be set forth under this heading is incorporated by reference from Note 7 - Commitments and Contingencies, to the condensed consolidated financial statements included in Part I, Item 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disclosed in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1" w:name="page32"/>
    <w:bookmarkEnd w:id="31"/>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none of our directors or officers (as defined in Rule 16a-1(f) of the Exchange Act) adopted or terminated any contract, instruction or written plan for the purchase or sale of our securities that was intended to satisfy the affirmative defense conditions of Rule 10b5-1(c) of the Exchange Act or any non-Rule 10b5-1 trading arrangement (as identified in Item 408(c) of Regulation S-K).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40" w:type="dxa"/>
            <w:vAlign w:val="bottom"/>
            <w:gridSpan w:val="11"/>
          </w:tcPr>
          <w:p>
            <w:pPr>
              <w:ind w:left="980"/>
              <w:spacing w:after="0"/>
              <w:rPr>
                <w:sz w:val="20"/>
                <w:szCs w:val="20"/>
                <w:color w:val="auto"/>
              </w:rPr>
            </w:pPr>
            <w:r>
              <w:rPr>
                <w:rFonts w:ascii="Times New Roman" w:cs="Times New Roman" w:eastAsia="Times New Roman" w:hAnsi="Times New Roman"/>
                <w:sz w:val="18"/>
                <w:szCs w:val="18"/>
                <w:b w:val="1"/>
                <w:bCs w:val="1"/>
                <w:color w:val="auto"/>
              </w:rPr>
              <w:t>Item 6. Exhibits.</w:t>
            </w:r>
          </w:p>
        </w:tc>
      </w:tr>
      <w:tr>
        <w:trPr>
          <w:trHeight w:val="448"/>
        </w:trPr>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0"/>
        </w:trPr>
        <w:tc>
          <w:tcPr>
            <w:tcW w:w="14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40" w:type="dxa"/>
            <w:vAlign w:val="bottom"/>
            <w:gridSpan w:val="11"/>
          </w:tcPr>
          <w:p>
            <w:pPr>
              <w:ind w:left="20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452"/>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4"/>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Amended and Restated Certificate of Incorporation, conformed version that includes all amendments through April 25, 2024</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4"/>
          </w:tcPr>
          <w:p>
            <w:pPr>
              <w:spacing w:after="0" w:line="19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(incorporated herein by reference to Exhibit 3.1 to the Company’s Quarterly Report on Form 10-Q filed with the SEC on August 7,</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ind w:left="20"/>
              <w:spacing w:after="0" w:line="196" w:lineRule="exact"/>
              <w:rPr>
                <w:rFonts w:ascii="Times New Roman" w:cs="Times New Roman" w:eastAsia="Times New Roman" w:hAnsi="Times New Roman"/>
                <w:sz w:val="18"/>
                <w:szCs w:val="18"/>
                <w:color w:val="0000FF"/>
                <w:w w:val="95"/>
              </w:rPr>
            </w:pPr>
            <w:hyperlink r:id="rId58">
              <w:r>
                <w:rPr>
                  <w:rFonts w:ascii="Times New Roman" w:cs="Times New Roman" w:eastAsia="Times New Roman" w:hAnsi="Times New Roman"/>
                  <w:sz w:val="18"/>
                  <w:szCs w:val="18"/>
                  <w:color w:val="0000FF"/>
                  <w:w w:val="95"/>
                </w:rPr>
                <w:t>2024)</w:t>
              </w:r>
            </w:hyperlink>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4"/>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Amended and Restated By-Laws (incorporated herein by reference to Exhibit 3.2 to the Company’s Current Report on Form 8-K filed</w:t>
              </w:r>
            </w:hyperlink>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59">
              <w:r>
                <w:rPr>
                  <w:rFonts w:ascii="Times New Roman" w:cs="Times New Roman" w:eastAsia="Times New Roman" w:hAnsi="Times New Roman"/>
                  <w:sz w:val="18"/>
                  <w:szCs w:val="18"/>
                  <w:color w:val="0000FF"/>
                  <w:w w:val="98"/>
                </w:rPr>
                <w:t>with the SEC on February 4, 2020)</w:t>
              </w:r>
            </w:hyperlink>
          </w:p>
        </w:tc>
        <w:tc>
          <w:tcPr>
            <w:tcW w:w="7120" w:type="dxa"/>
            <w:vAlign w:val="bottom"/>
            <w:tcBorders>
              <w:top w:val="single" w:sz="8" w:color="0000FF"/>
            </w:tcBorders>
            <w:gridSpan w:val="9"/>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Amendment No. 3, dated as of October 17, 2024, to the Credit Agreement, dated as of February 4, 2020, between Reynolds Consumer</w:t>
              </w:r>
            </w:hyperlink>
          </w:p>
        </w:tc>
        <w:tc>
          <w:tcPr>
            <w:tcW w:w="80" w:type="dxa"/>
            <w:vAlign w:val="bottom"/>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4"/>
          </w:tcPr>
          <w:p>
            <w:pPr>
              <w:spacing w:after="0" w:line="19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Products LLC, as borrower, Reynolds Consumer Products Inc., as parent, and certain lenders party thereto (incorporated herein by</w:t>
              </w:r>
            </w:hyperlink>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reference to Exhibit 10.1 to the Company's Form 8-K filed with the SEC on October 17, 2024)</w:t>
              </w:r>
            </w:hyperlink>
          </w:p>
        </w:tc>
        <w:tc>
          <w:tcPr>
            <w:tcW w:w="2620" w:type="dxa"/>
            <w:vAlign w:val="bottom"/>
            <w:tcBorders>
              <w:top w:val="single" w:sz="8" w:color="0000FF"/>
            </w:tcBorders>
            <w:gridSpan w:val="2"/>
          </w:tcPr>
          <w:p>
            <w:pPr>
              <w:spacing w:after="0"/>
              <w:rPr>
                <w:sz w:val="17"/>
                <w:szCs w:val="17"/>
                <w:color w:val="auto"/>
              </w:rPr>
            </w:pPr>
          </w:p>
        </w:tc>
        <w:tc>
          <w:tcPr>
            <w:tcW w:w="340" w:type="dxa"/>
            <w:vAlign w:val="bottom"/>
            <w:gridSpan w:val="7"/>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140" w:type="dxa"/>
            <w:vAlign w:val="bottom"/>
            <w:gridSpan w:val="3"/>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780" w:type="dxa"/>
            <w:vAlign w:val="bottom"/>
            <w:gridSpan w:val="10"/>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w:t>
            </w:r>
          </w:p>
        </w:tc>
        <w:tc>
          <w:tcPr>
            <w:tcW w:w="200" w:type="dxa"/>
            <w:vAlign w:val="bottom"/>
            <w:gridSpan w:val="5"/>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780" w:type="dxa"/>
            <w:vAlign w:val="bottom"/>
            <w:gridSpan w:val="10"/>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160" w:type="dxa"/>
            <w:vAlign w:val="bottom"/>
            <w:gridSpan w:val="4"/>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380" w:type="dxa"/>
            <w:vAlign w:val="bottom"/>
            <w:gridSpan w:val="12"/>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160" w:type="dxa"/>
            <w:vAlign w:val="bottom"/>
            <w:tcBorders>
              <w:top w:val="single" w:sz="8" w:color="0000FF"/>
            </w:tcBorders>
            <w:gridSpan w:val="6"/>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27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31"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REYNOLDS CONSUMER PRODUCTS INC.</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320"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Chris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26035</wp:posOffset>
            </wp:positionV>
            <wp:extent cx="34118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Chris Mayrhofer</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October 30, 2024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25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Lance Mitchell, certify that:</w:t>
      </w:r>
    </w:p>
    <w:p>
      <w:pPr>
        <w:spacing w:after="0" w:line="22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Reynolds Consumer Products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40" w:val="left"/>
          <w:tab w:leader="none" w:pos="796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Lance Mitchell</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92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Huckins,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Reynolds Consumer Products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40" w:val="left"/>
          <w:tab w:leader="none" w:pos="800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Scott Huckins</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92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Reynolds Consumer Products Inc. (the “Company”) on Form 10-Q for the period ended September 30, 2024 as filed with the Securities and Exchange Commission on the date hereof (the “Report”), I, Lance Mitchell, President and Chief Executive Officer,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640" w:val="left"/>
          <w:tab w:leader="none" w:pos="796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Lance Mitchell</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92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Reynolds Consumer Products Inc. (the “Company”) on Form 10-Q for the period ended September 30, 2024 as filed with the Securities and Exchange Commission on the date hereof (the “Report”), I, Scott Huckins, Chief Financial Officer,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640" w:val="left"/>
          <w:tab w:leader="none" w:pos="800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Scott Huckins</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2"/>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58" Type="http://schemas.openxmlformats.org/officeDocument/2006/relationships/hyperlink" Target="https://www.sec.gov/Archives/edgar/data/1786431/000162828024035405/reyn-2024630x10qxexx33.htm" TargetMode="External"/><Relationship Id="rId59" Type="http://schemas.openxmlformats.org/officeDocument/2006/relationships/hyperlink" Target="https://www.sec.gov/Archives/edgar/data/0001786431/000119312520024304/d874780dex32.htm" TargetMode="External"/><Relationship Id="rId60" Type="http://schemas.openxmlformats.org/officeDocument/2006/relationships/hyperlink" Target="https://www.sec.gov/Archives/edgar/data/1786431/000162828024043021/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2024-10-30T08:27:52Z</dcterms:created>
  <dcterms:modified xsi:type="dcterms:W3CDTF">2024-10-30T08:27:52Z</dcterms:modified>
</cp:coreProperties>
</file>