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620" w:hanging="3872"/>
        <w:spacing w:after="0" w:line="391"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3420" w:right="1620" w:hanging="3412"/>
        <w:spacing w:after="0" w:line="375" w:lineRule="auto"/>
        <w:tabs>
          <w:tab w:leader="none" w:pos="46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-515620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REYNOLDS CONSUMER PRODUCTS INC.</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273"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45-3464426</w:t>
      </w:r>
    </w:p>
    <w:p>
      <w:pPr>
        <w:spacing w:after="0" w:line="43" w:lineRule="exact"/>
        <w:rPr>
          <w:sz w:val="24"/>
          <w:szCs w:val="24"/>
          <w:color w:val="auto"/>
        </w:rPr>
      </w:pPr>
    </w:p>
    <w:p>
      <w:pPr>
        <w:sectPr>
          <w:pgSz w:w="11900" w:h="16838" w:orient="portrait"/>
          <w:cols w:equalWidth="0" w:num="2">
            <w:col w:w="7280" w:space="720"/>
            <w:col w:w="3240"/>
          </w:cols>
          <w:pgMar w:left="320" w:top="476" w:right="339" w:bottom="1440" w:gutter="0" w:footer="0" w:header="0"/>
          <w:type w:val="continuous"/>
        </w:sectPr>
      </w:pPr>
    </w:p>
    <w:p>
      <w:pPr>
        <w:spacing w:after="0" w:line="7"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16"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27" w:lineRule="exact"/>
        <w:rPr>
          <w:sz w:val="24"/>
          <w:szCs w:val="24"/>
          <w:color w:val="auto"/>
        </w:rPr>
      </w:pPr>
    </w:p>
    <w:p>
      <w:pPr>
        <w:sectPr>
          <w:pgSz w:w="11900" w:h="16838" w:orient="portrait"/>
          <w:cols w:equalWidth="0" w:num="2">
            <w:col w:w="7220" w:space="720"/>
            <w:col w:w="3300"/>
          </w:cols>
          <w:pgMar w:left="320" w:top="476"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1900 W. Field Court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(Zip Code)</w:t>
      </w:r>
    </w:p>
    <w:p>
      <w:pPr>
        <w:sectPr>
          <w:pgSz w:w="11900" w:h="16838" w:orient="portrait"/>
          <w:cols w:equalWidth="0" w:num="1">
            <w:col w:w="11240"/>
          </w:cols>
          <w:pgMar w:left="320" w:top="476"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879-5067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120" w:type="dxa"/>
            <w:vAlign w:val="bottom"/>
          </w:tcPr>
          <w:p>
            <w:pPr>
              <w:spacing w:after="0"/>
              <w:rPr>
                <w:sz w:val="17"/>
                <w:szCs w:val="17"/>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REYN</w:t>
            </w:r>
          </w:p>
        </w:tc>
        <w:tc>
          <w:tcPr>
            <w:tcW w:w="10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2020, the registrant had 209,700,500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vMerge w:val="restart"/>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00" w:type="dxa"/>
            <w:vAlign w:val="bottom"/>
            <w:vMerge w:val="continue"/>
          </w:tcPr>
          <w:p>
            <w:pPr>
              <w:spacing w:after="0"/>
              <w:rPr>
                <w:sz w:val="19"/>
                <w:szCs w:val="19"/>
                <w:color w:val="auto"/>
              </w:rPr>
            </w:pPr>
          </w:p>
        </w:tc>
        <w:tc>
          <w:tcPr>
            <w:tcW w:w="98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8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for the three and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820" w:type="dxa"/>
            <w:vAlign w:val="bottom"/>
          </w:tcPr>
          <w:p>
            <w:pPr>
              <w:ind w:left="80"/>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Condensed Consolidated Statements of Comprehensive Income for the three and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982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 as of June 30, 2020 and December 31,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82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 for the three and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982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82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tcPr>
          <w:p>
            <w:pPr>
              <w:ind w:left="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2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82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982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82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9820" w:type="dxa"/>
            <w:vAlign w:val="bottom"/>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2019 and as updated in our Quarterly Reports on Form 10-Q. You should specifically consider the numerous risks outlined in Item 1A. “Risk Factors.” These risks and uncertainties include factors related to:</w:t>
      </w:r>
    </w:p>
    <w:p>
      <w:pPr>
        <w:spacing w:after="0" w:line="7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disruption at, any of our key manufacturing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due to an accident, labor issues, weather conditions, natural disaster, the emergence of a pandemic or disease outbreak, such as coronavirus or otherwise;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unknown duration and economic, operational and financial impacts of the global outbreak of the COVID-19 pandemic;</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about these factors and about the material factors or assumptions underlying such forward-looking statements is included within our Annual Report on Form 10-K for the fiscal year ended December 31, 2019 which was filed on March 10, 2020, under Part I, Item 1A. “Risk Factors” and as updated in our Quarterly Reports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7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8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Related party net revenues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net revenues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1,456</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Cost of sales</w:t>
            </w: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(1,111)</w:t>
            </w: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(1,056)</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w:t>
            </w: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Earnings per share:</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9"/>
                <w:szCs w:val="19"/>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0.69</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209.8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22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1080" w:type="dxa"/>
            <w:vAlign w:val="bottom"/>
            <w:gridSpan w:val="2"/>
          </w:tcPr>
          <w:p>
            <w:pPr>
              <w:jc w:val="right"/>
              <w:ind w:right="6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 net of income taxes</w:t>
            </w: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As of June 30,</w:t>
            </w: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 $1 and $0)</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 (net of accumulated depreciation of $672 and $642)</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4,716</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payables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Related party accrued interest payable</w:t>
            </w:r>
          </w:p>
        </w:tc>
        <w:tc>
          <w:tcPr>
            <w:tcW w:w="1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Long-term related party borrowings</w:t>
            </w:r>
          </w:p>
        </w:tc>
        <w:tc>
          <w:tcPr>
            <w:tcW w:w="1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postretirement benefit obligation</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60"/>
              <w:spacing w:after="0"/>
              <w:rPr>
                <w:sz w:val="20"/>
                <w:szCs w:val="20"/>
                <w:color w:val="auto"/>
              </w:rPr>
            </w:pPr>
            <w:r>
              <w:rPr>
                <w:rFonts w:ascii="Arial" w:cs="Arial" w:eastAsia="Arial" w:hAnsi="Arial"/>
                <w:sz w:val="18"/>
                <w:szCs w:val="18"/>
                <w:color w:val="auto"/>
              </w:rPr>
              <w:t>Common stock, $0.001 par value; 2,000 shares authorized; 209.7 shares issued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Net parent deficit</w:t>
            </w:r>
          </w:p>
        </w:tc>
        <w:tc>
          <w:tcPr>
            <w:tcW w:w="1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1,484</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8"/>
        </w:trPr>
        <w:tc>
          <w:tcPr>
            <w:tcW w:w="4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Net Parent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Adoption of new accounting principle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Other comprehensive loss, net of income taxes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transfers (to) from Parent</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new accounting principle</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 of income taxes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Net transfers (to) from Parent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2019</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(823)</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(818)</w:t>
            </w: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 of income taxes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Net transfers (to) from Parent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net parent (deficit) in RCP</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Issuance of common stock, net of costs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($0.15 per share declared)</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Other comprehensive income, net of income taxes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 operating activities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operating cash flows: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6100" w:type="dxa"/>
            <w:vAlign w:val="bottom"/>
          </w:tcPr>
          <w:p>
            <w:pPr>
              <w:ind w:left="260"/>
              <w:spacing w:after="0"/>
              <w:rPr>
                <w:sz w:val="20"/>
                <w:szCs w:val="20"/>
                <w:color w:val="auto"/>
              </w:rPr>
            </w:pPr>
            <w:r>
              <w:rPr>
                <w:rFonts w:ascii="Arial" w:cs="Arial" w:eastAsia="Arial" w:hAnsi="Arial"/>
                <w:sz w:val="18"/>
                <w:szCs w:val="18"/>
                <w:color w:val="auto"/>
              </w:rPr>
              <w:t>Unrealized losses (gains) on derivatives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compensation expense</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29"/>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Arial" w:cs="Arial" w:eastAsia="Arial" w:hAnsi="Arial"/>
                <w:sz w:val="18"/>
                <w:szCs w:val="18"/>
                <w:color w:val="auto"/>
              </w:rPr>
              <w:t>Related party payables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accrued interest payable</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Other assets and liabilities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plant and equipment</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Advances to related parties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Repayments from related parties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Proceeds from long-term debt, net of discounts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Repayment of long-term debt</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Repayments of RGHL Group Credit Agreement</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Advances from related parties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Repayments to related parties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(3,627)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Deferred debt transaction costs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Proceeds from IPO settlement facility</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Repayment of IPO settlement facility</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(1,168)</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Equity issuance costs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Dividends paid</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transfers (to) from Parent</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6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80" w:type="dxa"/>
            <w:vAlign w:val="bottom"/>
          </w:tcPr>
          <w:p>
            <w:pPr>
              <w:spacing w:after="0"/>
              <w:rPr>
                <w:sz w:val="19"/>
                <w:szCs w:val="19"/>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non-cash investing and 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leases resulted in the recognition of right-of-use assets and corresponding lease liabilities of $24 million and $4 million for the six months ended June 30, 2020 and 2019, respectively. Refer to Note 1 – Summary of Significant Accounting Policies and Note 11 – Related Party Transactions for details of significant non-cash investing and financing activities.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Reynolds Consumer Products Inc. and its subsidiaries (“we”, “us” or “our”) produce and sell products across three broad categories: cooking products, waste &amp;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completion of our Corporate Reorganization, as defined in our registration statement on Form S-1 (File No. 333-234731), and initial public offering (“IPO”) on February 4, 2020, we operated as part of Reynolds Group Holdings Limited (“RGHL”) and not as a stand-alone entity. We represented the business that was reported as the Reynolds Consumer Products segment in the consolidated financial statements of RGHL and its subsidiaries (collectively, “RGHL Group” or the “Parent”). As part of our Corporate Reorganization, we reorganized the legal structure of our entities so they are all under a single parent entity, Reynolds Consumer Products Inc. In conjunction with our Corporate Reorganization and IPO, we separated from RGHL Group on February 4, 2020. 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policies described in our Annual Report on Form 10-K for the year ended December 31, 2019,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condensed consolidated statements of income include allocations of certain expenses for services provided by RGHL Group prior to our separation, including, but not limited to, general corporate expenses related to group wide functions including executive management, finance, legal, tax, information technology and a portion of a related party management fee incurred by RGHL Group. For the three and six months ended June 30, 2020, total costs allocated to us for these functions were zero and $2 million, respectively, compared to $11 million and $20 million in the comparable prior year periods. These costs were primarily included in selling, general and administrative expenses in our condensed consolidated statements of income. For the three and six months ended June 30, 2020, these amounts included costs of zero and $1 million, respectively, compared to $6 million and $10 million in the comparable prior year periods, that were not historically allocated to us as part of RGHL Group's normal monthly reporting process. Additionally, for the three and six months ended June 30, 2020 costs of zero and $2 million, respectively, compared to $1 million in both of the comparable prior year periods, were allocated to us related to the IPO process that cannot be deferred and offset against the IPO proceeds, which are included in other expense, net in our condensed consolidated statements of income.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February 4, 2020, we completed our separation from RGHL Group and the IPO of our common stock pursuant to a Registration Statement on Form S-</w:t>
      </w:r>
    </w:p>
    <w:p>
      <w:pPr>
        <w:spacing w:after="0" w:line="46" w:lineRule="exact"/>
        <w:rPr>
          <w:sz w:val="20"/>
          <w:szCs w:val="20"/>
          <w:color w:val="auto"/>
        </w:rPr>
      </w:pPr>
    </w:p>
    <w:p>
      <w:pPr>
        <w:ind w:right="20" w:firstLine="8"/>
        <w:spacing w:after="0" w:line="323" w:lineRule="auto"/>
        <w:tabs>
          <w:tab w:leader="none" w:pos="18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IPO, we sold an aggregate of 54,245,500 shares of common stock, including 7,075,500 shares of common stock purchased by the underwriters on February 7, 2020 pursuant to their option to purchase additional shares, under the Registration Statement at a public offering price of $26.00 per share.</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conjunction with our separation from RGHL Group and IPO, we reclassified RGHL Group’s historical net investment in us to additional paid-in capital. Each share of our outstanding common stock, immediately prior to our IPO, was exchanged into 155,455 shares of common stock. In addition, certain related party borrowings owed to RGHL Group were contributed as additional paid-in capital without the issuance of any additional shares.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11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Measurement of Credit Losses on Financial Instruments. </w:t>
      </w:r>
      <w:r>
        <w:rPr>
          <w:rFonts w:ascii="Arial" w:cs="Arial" w:eastAsia="Arial" w:hAnsi="Arial"/>
          <w:sz w:val="17"/>
          <w:szCs w:val="17"/>
          <w:color w:val="auto"/>
        </w:rPr>
        <w:t>This ASU and subsequent amendments to the initial guidance modify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model to use an expected loss methodology in place of the previously used incurred loss methodology, which may result in earlier recognition of losses related to financial instruments. This change is effective for fiscal years beginning after December 15, 2019, with early adoption permitted, and requires a cumulative effect adjustment to the balance sheet upon adoption. We adopted these requirements as of January 1, 2020 with no material impact on our condensed consolidated financial statements.</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for internal-use software. This ASU is effective for fiscal years beginning after December 15, 2019, with early adoption permitted. We adopted the standard as of January 1, 2020 with no material impact on our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Guidance Issued But Not Yet Adopted: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 - Retirement Benefits - Defined Benefit Plans - General (Subtopic 715-20) Disclosure</w:t>
      </w:r>
    </w:p>
    <w:p>
      <w:pPr>
        <w:spacing w:after="0" w:line="35" w:lineRule="exact"/>
        <w:rPr>
          <w:sz w:val="20"/>
          <w:szCs w:val="20"/>
          <w:color w:val="auto"/>
        </w:rPr>
      </w:pPr>
    </w:p>
    <w:p>
      <w:pPr>
        <w:jc w:val="both"/>
        <w:ind w:right="20" w:firstLine="8"/>
        <w:spacing w:after="0" w:line="253" w:lineRule="auto"/>
        <w:tabs>
          <w:tab w:leader="none" w:pos="126"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Framework - Changes to the Disclosure Requirements for Defined Benefit Plans</w:t>
      </w:r>
      <w:r>
        <w:rPr>
          <w:rFonts w:ascii="Arial" w:cs="Arial" w:eastAsia="Arial" w:hAnsi="Arial"/>
          <w:sz w:val="18"/>
          <w:szCs w:val="18"/>
          <w:color w:val="auto"/>
        </w:rPr>
        <w:t>. The ASU modifies the disclosure requirements for employers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defined benefit pension or other postretirement plans. The ASU is effective for fiscal years beginning after December 15, 2020, with early adoption permitted. We are currently evaluating the requirements of this guidance, which is expected to impact our disclosures but is not expected to impact the measurement and recognition of amounts in our consolidated financial statements.</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various aspects related to accounting for income taxes. This ASU removes certain exceptions to the general principles in Topic 740 and also clarifies and amends existing guidance to improve consistent application. This ASU is effective for fiscal years beginning after December 15, 2020, with early adoption permitted. We are currently assessing the impact of this standard on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7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Work in progress</w:t>
            </w: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Spare parts</w:t>
            </w:r>
          </w:p>
        </w:tc>
        <w:tc>
          <w:tcPr>
            <w:tcW w:w="3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Inventories</w:t>
            </w:r>
          </w:p>
        </w:tc>
        <w:tc>
          <w:tcPr>
            <w:tcW w:w="3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Note 4 – Debt</w:t>
            </w:r>
          </w:p>
        </w:tc>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34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37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RGHL Group U.S. Term Loan</w:t>
            </w: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transaction costs</w:t>
            </w:r>
          </w:p>
        </w:tc>
        <w:tc>
          <w:tcPr>
            <w:tcW w:w="3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Original issue discounts</w:t>
            </w: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Less: current portion</w:t>
            </w: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Long-term debt</w:t>
            </w:r>
          </w:p>
        </w:tc>
        <w:tc>
          <w:tcPr>
            <w:tcW w:w="34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40" w:type="dxa"/>
            <w:vAlign w:val="bottom"/>
            <w:vMerge w:val="restart"/>
          </w:tcPr>
          <w:p>
            <w:pPr>
              <w:jc w:val="right"/>
              <w:ind w:right="203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 In addition, on February 4, 2020 we entered into, and extinguished, a $1,168 million facility (“IPO Settlement Facility”). The proceeds from the Term Loan Facility and IPO Settlement Facility, net of transaction costs and original issue discounts, together with available cash, were used to repay accrued related party interest and a portion of the related party loans payable.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External Debt Facilities bear interest at a rate per annum equal to, at our option, either a base rate or a LIBO rate plus an applicable margin of 1.75%.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in February 2027. The Term Loan Facility amortizes in equal quarterly installments of $6 million, which commenced in June 2020, with the balance being payable on maturity.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Revolving Facility matures in February 2025 and includes a sub-facility for letters of credit. As of June 30, 2020, we had no outstanding borrowings under the Revolving Facility, and we had $7 million of letters of credit outstanding, which reduces the borrowing capacity under the Revolving Facility.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Reallocation of Borrowings Under the RGHL Group Credit Agreement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outstanding under the RGHL Group Credit Agreement were reallocated to an entity within RGHL Group and on February 4, 2020, we were fully and unconditionally released from the security and guarantee arrangements relating to RGHL Group’s borrowings.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Long-Term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as of June 30, 2020, which is a Level 2 fair value measurement, approximates the carrying value due to the variable market interest rate and the stability of our credit profile.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our separation from RGHL Group and IPO, our U.S. operations were included in the U.S. federal consolidated and certain state and local tax returns filed by RGHL Group. We also file certain separate U.S. state and local and foreign income tax returns. For the periods prior to separation, income tax (expense) benefit and deferred tax balances are presented in these condensed consolidated statements of income as if we filed tax returns on a stand-alone basis. Income tax payable balances as of December 31, 2019, were classified within “net parent deficit” on the condensed consolidated balance sheet since RGHL Group is legally liable for the tax. Upon separation from RGHL Group, becoming a separate taxable entity and the change from carve-out financial statements to consolidated financial statements, we have remeasured certain deferred taxes. These adjustments have been recognized directly in equity.</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income tax expense for the three and six months ended June 30, 2020 incorporates an expected annualized effective tax rate of approximately 24% excluding the impact of discrete items, compared to 26% and 25% in the comparable prior year periods. Our income tax expense for the six months ended June 30, 2020 includes an incremental discrete expense of $23 million due to the remeasurement of our deferred tax asset associated with the deductibility of interest expense as a result of the enactment, subsequent to our separation from RGHL Group, of the Coronavirus Aid, Relief and Economic Security (“CARES”) Act on March 27, 2020. The retroactive components of the CARES Act are expected to change RGHL Group’s U.S. federal consolidated tax return for the year ended December 31, 2019, which will reduce the benefits of future tax deductions that we received at the time of separation from RGHL Group.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 Financial Instruments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Derivative instruments, consisting of commodity contracts, were recorded at fair value in our condensed consolidated balance sheets and consisted of a liability of $1 million, recorded in accrued and other current liabilities, and an asset of $1 million, recorded in other current assets, as of June 30, 2020 and December 31, 2019, respectively.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these financial instruments takes into consideration the risk of non-performance, including counterparty credit risk. The majority of our derivative contracts do not have a legal right of set-off. We manage the credit risk in connection with our derivatives by limiting the amount of exposure with each counterparty and monitoring the financial condition of our counterparties.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2020, we recognized an unrealized gain of $3 million and an unrealized loss of $1 million, respectively, compared to unrealized gains of $1 million and $8 million in the comparable prior year periods, in cost of sales in the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 of outstanding commodity derivative contracts as of June 30,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Unit of measure</w:t>
            </w: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Contracted</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Contracted</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volume</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price range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Benzene swaps</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U.S. liquid gallon</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319"/>
              <w:spacing w:after="0"/>
              <w:rPr>
                <w:sz w:val="20"/>
                <w:szCs w:val="20"/>
                <w:color w:val="auto"/>
              </w:rPr>
            </w:pPr>
            <w:r>
              <w:rPr>
                <w:rFonts w:ascii="Arial" w:cs="Arial" w:eastAsia="Arial" w:hAnsi="Arial"/>
                <w:sz w:val="18"/>
                <w:szCs w:val="18"/>
                <w:color w:val="auto"/>
              </w:rPr>
              <w:t>924,809</w:t>
            </w:r>
          </w:p>
        </w:tc>
        <w:tc>
          <w:tcPr>
            <w:tcW w:w="24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$1.09-$2.50</w:t>
            </w:r>
          </w:p>
        </w:tc>
        <w:tc>
          <w:tcPr>
            <w:tcW w:w="14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Aug 2020 - Nov 2020</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 liquid gallon</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3,035,859</w:t>
            </w:r>
          </w:p>
        </w:tc>
        <w:tc>
          <w:tcPr>
            <w:tcW w:w="2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$2.30-$3.16</w:t>
            </w:r>
          </w:p>
        </w:tc>
        <w:tc>
          <w:tcPr>
            <w:tcW w:w="14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Jul 2020 - Jun 2021</w:t>
            </w: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granted restricted stock units (“RSUs”) in July 2019 to certain members of management, pursuant to retention agreements entered into with these employees (the “IPO Grants”). These RSUs vest upon satisfaction of both a performance-based vesting condition (the “IPO Condition”) and a service-based vesting condition (the “Service Condition”). The IPO Condition was satisfied when we completed our IPO on February 4, 2020. The Service Condition will be satisfied with respect to one-third of an employee’s RSUs on each anniversary from the date of our IPO for three consecutive years, subject to the employee’s continued employment through the applicable vesting date.</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in conjunction with our Corporate Reorganization and IPO, we have established a 2020 incentive award plan for purposes of granting stock-based compensation awards to certain of our senior management, our non-executive directors and to certain employees, to incentivize their performance and align their interests with ours. A maximum of 10.5 million shares of common stock are initially available for issuance under equity incentive awards granted pursuant to the plan. In the three and six months ended June 30, 2020, 0.1 million and 0.3 million shares were granted, respectively.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there were approximately 0.5 million shares outstanding. For the three and six months ended June 30, 2020, stock-based compensation expense was $2 million and $3 million, respectively, and zero in the comparable prior year periods.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from time to time party to litigation, legal proceedings and tax examinations arising from our operations. Most of these matters involve allegations of damages against us relating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there were no legal proceedings pending other than those for which we have determined that the possibility of a material outflow is remote.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9 – Segment Reporting</w:t>
      </w:r>
    </w:p>
    <w:p>
      <w:pPr>
        <w:spacing w:after="0" w:line="1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Chief Operating Decision Maker (“CODM”) monitors performance, allocates capital and makes strategic and operational decisions. We present segment adjusted EBITDA ("Adjusted EBITDA") as this is the financial measure by which management and our CODM allocate resources and analyze the performance of our reportable segments. Adjusted EBITDA represents each segment's earnings before interest, tax, depreciation and amortization and is further adjusted to exclude unrealized gains and losses on derivatives, costs associated with rationalizing operations and administrative functions, factoring discounts (pre-IPO), amortization of actuarial gains, the allocated related party management fee (pre-IPO) and IPO and separation-related costs.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Reynolds</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Hefty</w:t>
            </w:r>
          </w:p>
        </w:tc>
        <w:tc>
          <w:tcPr>
            <w:tcW w:w="160" w:type="dxa"/>
            <w:vAlign w:val="bottom"/>
          </w:tcPr>
          <w:p>
            <w:pPr>
              <w:spacing w:after="0"/>
              <w:rPr>
                <w:sz w:val="14"/>
                <w:szCs w:val="14"/>
                <w:color w:val="auto"/>
              </w:rPr>
            </w:pP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Hefty</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Presto</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Cooking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Waste &amp;</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Unallocated</w:t>
            </w:r>
            <w:r>
              <w:rPr>
                <w:rFonts w:ascii="Arial" w:cs="Arial" w:eastAsia="Arial" w:hAnsi="Arial"/>
                <w:sz w:val="12"/>
                <w:szCs w:val="12"/>
                <w:b w:val="1"/>
                <w:bCs w:val="1"/>
                <w:color w:val="auto"/>
                <w:w w:val="97"/>
              </w:rPr>
              <w:t>(1)</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&amp; Baking</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Tableware</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5"/>
          </w:tcPr>
          <w:p>
            <w:pPr>
              <w:ind w:left="500"/>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6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822</w:t>
            </w:r>
          </w:p>
        </w:tc>
        <w:tc>
          <w:tcPr>
            <w:tcW w:w="2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Reynolds</w:t>
            </w:r>
          </w:p>
        </w:tc>
        <w:tc>
          <w:tcPr>
            <w:tcW w:w="100" w:type="dxa"/>
            <w:vAlign w:val="bottom"/>
          </w:tcPr>
          <w:p>
            <w:pPr>
              <w:spacing w:after="0"/>
              <w:rPr>
                <w:sz w:val="24"/>
                <w:szCs w:val="2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Hefty</w:t>
            </w:r>
          </w:p>
        </w:tc>
        <w:tc>
          <w:tcPr>
            <w:tcW w:w="160" w:type="dxa"/>
            <w:vAlign w:val="bottom"/>
          </w:tcPr>
          <w:p>
            <w:pPr>
              <w:spacing w:after="0"/>
              <w:rPr>
                <w:sz w:val="24"/>
                <w:szCs w:val="24"/>
                <w:color w:val="auto"/>
              </w:rPr>
            </w:pP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Hefty</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Presto</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Cooking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Waste &amp;</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Unallocated</w:t>
            </w:r>
            <w:r>
              <w:rPr>
                <w:rFonts w:ascii="Arial" w:cs="Arial" w:eastAsia="Arial" w:hAnsi="Arial"/>
                <w:sz w:val="12"/>
                <w:szCs w:val="12"/>
                <w:b w:val="1"/>
                <w:bCs w:val="1"/>
                <w:color w:val="auto"/>
                <w:w w:val="97"/>
              </w:rPr>
              <w:t>(1)</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2019</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&amp; Baking</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Tableware</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5"/>
          </w:tcPr>
          <w:p>
            <w:pPr>
              <w:ind w:left="500"/>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796</w:t>
            </w:r>
          </w:p>
        </w:tc>
        <w:tc>
          <w:tcPr>
            <w:tcW w:w="22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Reynolds</w:t>
            </w:r>
          </w:p>
        </w:tc>
        <w:tc>
          <w:tcPr>
            <w:tcW w:w="100" w:type="dxa"/>
            <w:vAlign w:val="bottom"/>
          </w:tcPr>
          <w:p>
            <w:pPr>
              <w:spacing w:after="0"/>
              <w:rPr>
                <w:sz w:val="24"/>
                <w:szCs w:val="2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Hefty</w:t>
            </w:r>
          </w:p>
        </w:tc>
        <w:tc>
          <w:tcPr>
            <w:tcW w:w="160" w:type="dxa"/>
            <w:vAlign w:val="bottom"/>
          </w:tcPr>
          <w:p>
            <w:pPr>
              <w:spacing w:after="0"/>
              <w:rPr>
                <w:sz w:val="24"/>
                <w:szCs w:val="24"/>
                <w:color w:val="auto"/>
              </w:rPr>
            </w:pP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Hefty</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Presto</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Cooking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Waste &amp;</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Unallocated</w:t>
            </w:r>
            <w:r>
              <w:rPr>
                <w:rFonts w:ascii="Arial" w:cs="Arial" w:eastAsia="Arial" w:hAnsi="Arial"/>
                <w:sz w:val="12"/>
                <w:szCs w:val="12"/>
                <w:b w:val="1"/>
                <w:bCs w:val="1"/>
                <w:color w:val="auto"/>
                <w:w w:val="97"/>
              </w:rPr>
              <w:t>(1)</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&amp; Baking</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Tableware</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5"/>
          </w:tcPr>
          <w:p>
            <w:pPr>
              <w:ind w:left="500"/>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1,562</w:t>
            </w:r>
          </w:p>
        </w:tc>
        <w:tc>
          <w:tcPr>
            <w:tcW w:w="2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Reynolds</w:t>
            </w:r>
          </w:p>
        </w:tc>
        <w:tc>
          <w:tcPr>
            <w:tcW w:w="100" w:type="dxa"/>
            <w:vAlign w:val="bottom"/>
          </w:tcPr>
          <w:p>
            <w:pPr>
              <w:spacing w:after="0"/>
              <w:rPr>
                <w:sz w:val="24"/>
                <w:szCs w:val="2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Hefty</w:t>
            </w:r>
          </w:p>
        </w:tc>
        <w:tc>
          <w:tcPr>
            <w:tcW w:w="160" w:type="dxa"/>
            <w:vAlign w:val="bottom"/>
          </w:tcPr>
          <w:p>
            <w:pPr>
              <w:spacing w:after="0"/>
              <w:rPr>
                <w:sz w:val="24"/>
                <w:szCs w:val="24"/>
                <w:color w:val="auto"/>
              </w:rPr>
            </w:pP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Hefty</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Presto</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Cooking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Waste &amp;</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Unallocated</w:t>
            </w:r>
            <w:r>
              <w:rPr>
                <w:rFonts w:ascii="Arial" w:cs="Arial" w:eastAsia="Arial" w:hAnsi="Arial"/>
                <w:sz w:val="12"/>
                <w:szCs w:val="12"/>
                <w:b w:val="1"/>
                <w:bCs w:val="1"/>
                <w:color w:val="auto"/>
                <w:w w:val="97"/>
              </w:rPr>
              <w:t>(1)</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&amp; Baking</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Tableware</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5"/>
          </w:tcPr>
          <w:p>
            <w:pPr>
              <w:ind w:left="500"/>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1,465</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Segment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Reynolds</w:t>
            </w:r>
          </w:p>
        </w:tc>
        <w:tc>
          <w:tcPr>
            <w:tcW w:w="240" w:type="dxa"/>
            <w:vAlign w:val="bottom"/>
          </w:tcPr>
          <w:p>
            <w:pPr>
              <w:spacing w:after="0"/>
              <w:rPr>
                <w:sz w:val="14"/>
                <w:szCs w:val="14"/>
                <w:color w:val="auto"/>
              </w:rPr>
            </w:pPr>
          </w:p>
        </w:tc>
        <w:tc>
          <w:tcPr>
            <w:tcW w:w="840" w:type="dxa"/>
            <w:vAlign w:val="bottom"/>
          </w:tcPr>
          <w:p>
            <w:pPr>
              <w:jc w:val="center"/>
              <w:ind w:right="161"/>
              <w:spacing w:after="0"/>
              <w:rPr>
                <w:sz w:val="20"/>
                <w:szCs w:val="20"/>
                <w:color w:val="auto"/>
              </w:rPr>
            </w:pPr>
            <w:r>
              <w:rPr>
                <w:rFonts w:ascii="Arial" w:cs="Arial" w:eastAsia="Arial" w:hAnsi="Arial"/>
                <w:sz w:val="14"/>
                <w:szCs w:val="14"/>
                <w:b w:val="1"/>
                <w:bCs w:val="1"/>
                <w:color w:val="auto"/>
              </w:rPr>
              <w:t>Hefty</w:t>
            </w:r>
          </w:p>
        </w:tc>
        <w:tc>
          <w:tcPr>
            <w:tcW w:w="280" w:type="dxa"/>
            <w:vAlign w:val="bottom"/>
          </w:tcPr>
          <w:p>
            <w:pPr>
              <w:spacing w:after="0"/>
              <w:rPr>
                <w:sz w:val="14"/>
                <w:szCs w:val="14"/>
                <w:color w:val="auto"/>
              </w:rPr>
            </w:pPr>
          </w:p>
        </w:tc>
        <w:tc>
          <w:tcPr>
            <w:tcW w:w="7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Hefty</w:t>
            </w:r>
          </w:p>
        </w:tc>
        <w:tc>
          <w:tcPr>
            <w:tcW w:w="240" w:type="dxa"/>
            <w:vAlign w:val="bottom"/>
          </w:tcPr>
          <w:p>
            <w:pPr>
              <w:spacing w:after="0"/>
              <w:rPr>
                <w:sz w:val="14"/>
                <w:szCs w:val="14"/>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Presto</w:t>
            </w:r>
          </w:p>
        </w:tc>
        <w:tc>
          <w:tcPr>
            <w:tcW w:w="260" w:type="dxa"/>
            <w:vAlign w:val="bottom"/>
          </w:tcPr>
          <w:p>
            <w:pPr>
              <w:spacing w:after="0"/>
              <w:rPr>
                <w:sz w:val="14"/>
                <w:szCs w:val="14"/>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Cooking</w:t>
            </w:r>
          </w:p>
        </w:tc>
        <w:tc>
          <w:tcPr>
            <w:tcW w:w="240" w:type="dxa"/>
            <w:vAlign w:val="bottom"/>
          </w:tcPr>
          <w:p>
            <w:pPr>
              <w:spacing w:after="0"/>
              <w:rPr>
                <w:sz w:val="12"/>
                <w:szCs w:val="12"/>
                <w:color w:val="auto"/>
              </w:rPr>
            </w:pPr>
          </w:p>
        </w:tc>
        <w:tc>
          <w:tcPr>
            <w:tcW w:w="8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Waste &amp;</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2"/>
                <w:szCs w:val="12"/>
                <w:b w:val="1"/>
                <w:bCs w:val="1"/>
                <w:color w:val="auto"/>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21"/>
              <w:spacing w:after="0"/>
              <w:rPr>
                <w:sz w:val="20"/>
                <w:szCs w:val="20"/>
                <w:color w:val="auto"/>
              </w:rPr>
            </w:pPr>
            <w:r>
              <w:rPr>
                <w:rFonts w:ascii="Arial" w:cs="Arial" w:eastAsia="Arial" w:hAnsi="Arial"/>
                <w:sz w:val="14"/>
                <w:szCs w:val="14"/>
                <w:b w:val="1"/>
                <w:bCs w:val="1"/>
                <w:color w:val="auto"/>
                <w:w w:val="98"/>
              </w:rPr>
              <w:t>&amp; Baking</w:t>
            </w:r>
          </w:p>
        </w:tc>
        <w:tc>
          <w:tcPr>
            <w:tcW w:w="240" w:type="dxa"/>
            <w:vAlign w:val="bottom"/>
          </w:tcPr>
          <w:p>
            <w:pPr>
              <w:spacing w:after="0"/>
              <w:rPr>
                <w:sz w:val="14"/>
                <w:szCs w:val="14"/>
                <w:color w:val="auto"/>
              </w:rPr>
            </w:pPr>
          </w:p>
        </w:tc>
        <w:tc>
          <w:tcPr>
            <w:tcW w:w="84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Storage</w:t>
            </w:r>
          </w:p>
        </w:tc>
        <w:tc>
          <w:tcPr>
            <w:tcW w:w="10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Tableware</w:t>
            </w:r>
          </w:p>
        </w:tc>
        <w:tc>
          <w:tcPr>
            <w:tcW w:w="240" w:type="dxa"/>
            <w:vAlign w:val="bottom"/>
          </w:tcPr>
          <w:p>
            <w:pPr>
              <w:spacing w:after="0"/>
              <w:rPr>
                <w:sz w:val="14"/>
                <w:szCs w:val="14"/>
                <w:color w:val="auto"/>
              </w:rPr>
            </w:pPr>
          </w:p>
        </w:tc>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w w:val="88"/>
              </w:rPr>
              <w:t>Products</w:t>
            </w:r>
          </w:p>
        </w:tc>
        <w:tc>
          <w:tcPr>
            <w:tcW w:w="260" w:type="dxa"/>
            <w:vAlign w:val="bottom"/>
          </w:tcPr>
          <w:p>
            <w:pPr>
              <w:spacing w:after="0"/>
              <w:rPr>
                <w:sz w:val="14"/>
                <w:szCs w:val="14"/>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559"/>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As of June 30, 2020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957</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color w:val="auto"/>
              </w:rPr>
              <w:t>As of December 31, 2019</w:t>
            </w:r>
          </w:p>
        </w:tc>
        <w:tc>
          <w:tcPr>
            <w:tcW w:w="10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b w:val="1"/>
                <w:bCs w:val="1"/>
                <w:color w:val="auto"/>
              </w:rPr>
              <w:t>965</w:t>
            </w:r>
          </w:p>
        </w:tc>
        <w:tc>
          <w:tcPr>
            <w:tcW w:w="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492"/>
        <w:spacing w:after="0" w:line="31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segment Adjusted EBITDA to GAAP income before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Pr>
          <w:p>
            <w:pPr>
              <w:spacing w:after="0"/>
              <w:rPr>
                <w:sz w:val="14"/>
                <w:szCs w:val="14"/>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tcPr>
          <w:p>
            <w:pPr>
              <w:jc w:val="center"/>
              <w:ind w:left="51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tcPr>
          <w:p>
            <w:pPr>
              <w:ind w:left="640"/>
              <w:spacing w:after="0" w:line="155"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i w:val="1"/>
                <w:iCs w:val="1"/>
                <w:color w:val="auto"/>
              </w:rPr>
              <w:t>Adjustments to reconcile to GAAP income before income taxes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Factoring discount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Allocated related party management fee</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IPO and separation-related costs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Unrealized gains (losses) on derivatives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Consolidated GAAP income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i w:val="1"/>
                <w:iCs w:val="1"/>
                <w:color w:val="auto"/>
              </w:rPr>
              <w:t>Information in Relation to Products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60" w:type="dxa"/>
            <w:vAlign w:val="bottom"/>
          </w:tcPr>
          <w:p>
            <w:pPr>
              <w:spacing w:after="0"/>
              <w:rPr>
                <w:sz w:val="20"/>
                <w:szCs w:val="20"/>
                <w:color w:val="auto"/>
              </w:rPr>
            </w:pPr>
            <w:r>
              <w:rPr>
                <w:rFonts w:ascii="Arial" w:cs="Arial" w:eastAsia="Arial" w:hAnsi="Arial"/>
                <w:sz w:val="18"/>
                <w:szCs w:val="18"/>
                <w:color w:val="auto"/>
              </w:rPr>
              <w:t>Net revenues by product line are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Pr>
          <w:p>
            <w:pPr>
              <w:spacing w:after="0"/>
              <w:rPr>
                <w:sz w:val="24"/>
                <w:szCs w:val="24"/>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tcPr>
          <w:p>
            <w:pPr>
              <w:jc w:val="center"/>
              <w:ind w:left="51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tcPr>
          <w:p>
            <w:pPr>
              <w:ind w:left="640"/>
              <w:spacing w:after="0" w:line="155"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Waste and storage products </w:t>
            </w:r>
            <w:r>
              <w:rPr>
                <w:rFonts w:ascii="Arial" w:cs="Arial" w:eastAsia="Arial" w:hAnsi="Arial"/>
                <w:sz w:val="15"/>
                <w:szCs w:val="15"/>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Cooking products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Tableware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Unallocated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822</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1,552</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10 –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our balances of each component of accumulated other comprehensive income.</w:t>
      </w:r>
    </w:p>
    <w:p>
      <w:pPr>
        <w:sectPr>
          <w:pgSz w:w="11900" w:h="16838" w:orient="portrait"/>
          <w:cols w:equalWidth="0" w:num="1">
            <w:col w:w="11240"/>
          </w:cols>
          <w:pgMar w:left="320" w:top="486" w:right="339" w:bottom="1440" w:gutter="0" w:footer="0" w:header="0"/>
        </w:sectPr>
      </w:pPr>
    </w:p>
    <w:p>
      <w:pPr>
        <w:spacing w:after="0" w:line="294"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5500" w:type="dxa"/>
        <w:tblCellMar>
          <w:top w:w="0" w:type="dxa"/>
          <w:left w:w="0" w:type="dxa"/>
          <w:bottom w:w="0" w:type="dxa"/>
          <w:right w:w="0" w:type="dxa"/>
        </w:tblCellMar>
      </w:tblPr>
      <w:tr>
        <w:trPr>
          <w:trHeight w:val="156"/>
        </w:trPr>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18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880" w:type="dxa"/>
            <w:vAlign w:val="bottom"/>
          </w:tcPr>
          <w:p>
            <w:pPr>
              <w:spacing w:after="0"/>
              <w:rPr>
                <w:sz w:val="13"/>
                <w:szCs w:val="13"/>
                <w:color w:val="auto"/>
              </w:rPr>
            </w:pPr>
          </w:p>
        </w:tc>
        <w:tc>
          <w:tcPr>
            <w:tcW w:w="180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20955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14605</wp:posOffset>
            </wp:positionV>
            <wp:extent cx="1714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p>
    <w:p>
      <w:pPr>
        <w:sectPr>
          <w:pgSz w:w="11900" w:h="16838" w:orient="portrait"/>
          <w:cols w:equalWidth="0" w:num="2">
            <w:col w:w="8200" w:space="720"/>
            <w:col w:w="2320"/>
          </w:cols>
          <w:pgMar w:left="320" w:top="48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Balance as of beginning of period</w:t>
            </w:r>
          </w:p>
        </w:tc>
        <w:tc>
          <w:tcPr>
            <w:tcW w:w="1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8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6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as of end of period</w:t>
            </w:r>
          </w:p>
        </w:tc>
        <w:tc>
          <w:tcPr>
            <w:tcW w:w="1120" w:type="dxa"/>
            <w:vAlign w:val="bottom"/>
            <w:vMerge w:val="restart"/>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w:t>
            </w: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w:t>
            </w:r>
          </w:p>
        </w:tc>
        <w:tc>
          <w:tcPr>
            <w:tcW w:w="8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w:t>
            </w: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Employee benefit plans:</w:t>
            </w:r>
          </w:p>
        </w:tc>
        <w:tc>
          <w:tcPr>
            <w:tcW w:w="1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Balance as of beginning of period</w:t>
            </w:r>
          </w:p>
        </w:tc>
        <w:tc>
          <w:tcPr>
            <w:tcW w:w="172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Adoption of new accounting principle</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actuarial gain</w:t>
            </w: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6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end of period</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Balance as of beginning of period</w:t>
            </w:r>
          </w:p>
        </w:tc>
        <w:tc>
          <w:tcPr>
            <w:tcW w:w="172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Adoption of new accounting principle</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Balance as of end of period</w:t>
            </w:r>
          </w:p>
        </w:tc>
        <w:tc>
          <w:tcPr>
            <w:tcW w:w="1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historically operated as part of RGHL Group. In preparation for our IPO, RGHL Group transferred its interest in us to Packaging Finance Limited (“PFL”). PFL owns the majority of our outstanding common stock and is the sole shareholder of RGHL Group. In addition to the allocation of expenses for certain services related to group wide functions provided by RGHL Group discussed in Note 1 – Summary of Significant Accounting Policies, other transactions between us and RGHL Group are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Related to our Separation from RGHL Group</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30, 2020, we repurchased all of the U.S. accounts receivable that we previously sold through RGHL Group’s securitization facility for $264 million, $240 million of which was settled in cash and the remaining amount used to settle certain current related party receivables. The cash to purchase these receivables was provided by an increase in related party borrowings, which was subsequently settled as discussed below.</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30, 2020, our outstanding borrowings, net of deferred financing transaction costs and original issue discounts plus accrued interest incurred under the RGHL Group Credit Agreement were reallocated to an entity within RGHL Group and on February 4, 2020, we were fully and unconditionally released from the security and guarantee arrangements relating to RGHL Group’s borrowings. This reallocation resulted in a payment to RGHL Group of $8 million for accrued interest and an increase of $2,001 million in related party borrowings, which was subsequently settled as discussed below.</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4, 2020, we repaid $3,627 million of related party borrowings and $22 million of related party accrued interest owed to RGHL Group and capitalized, as additional paid-in capital without the issuance of any additional shares, the remaining $831 million balance of the related party borrowings owed to RGHL Group.</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4, 2020, we entered into a transition services agreement with Reynolds Group Holdings Inc. whereby RGHL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entered into a transition services agreement with Rank Group Limited whereby, upon our request, Rank Group Limited will provide certain administrative services to us, including financial reporting, consulting and compliance services, insurance procurement and human resources support, legal and corporate secretarial support, and related services for up to 24 months. For the three and six months ended June 30, 2020, we incurred $2 million and $5 million, respectively, related to transition services which were included in selling, general and administrative expenses in our condensed consolidated statements of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On-going Related Party Transactions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and six months ended June 30, 2020, revenues from product sold to RGHL Group were $24 million and $63 million, respectively, compared to $38 million and $78 million in the comparable prior year periods. For the three and six months ended June 30, 2020, products purchased from RGHL Group were $78 million and $161 million, respectively, compared to $110 million and $234 million in the comparable prior year periods. For the three and six months ended June 30, 2020, RGHL Group charged us $20 million and $46 million, respectively, compared to $37 million and $71 million in the comparable prior year periods, of their freight and warehousing costs, which were included in cost of sales. The resulting related party receivables and payables are settled regularly with RGHL Group in the normal course of business. Furthermore, $23 million of the dividends paid during the three months ended June 30, 2020 was paid to PFL.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cash dividend</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30, 2020, our Board of Directors approved a cash dividend of $0.22 per common share to be paid on August 31, 2020 to shareholders of record on August 16,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2020, we made a voluntary principal payment of $100 million related to our Term Loan Facility.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above, there have been no events subsequent to June 30, 2020 which would require accrual or disclosure in these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discussion and analysis is intended to help the reader understand our results of operations and financial condition and is provided as an addition to, and should be read in connection with, our combined financial statements and the accompanying notes contained in our Annual Report on Form 10-K for the year ended December 31,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operations in four operating and reportable segments: Reynolds Cooking &amp; Baking, Hefty Waste &amp; Storage, Hefty Tableware and Presto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Separation from RGHL Group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 to our Corporate Reorganization and IPO completed on February 4, 2020, we operated as part of RGHL Group’s broader corporate organization rather than as a stand-alone public company. RGHL Group performed or supported various corporate services for us, including executive management, supply chain, information technology, legal, finance and accounting, human resources, risk management, tax, treasury and other services. In addition, we have sold products to, and purchased products from, RGHL Group. Historically, these transactions involving RGHL Group may not have always been consummated on terms equivalent to those in an arm’s-length transaction. Sales to RGHL Group of products that we manufacture have been reflected as related party net revenues in our condensed consolidated financial statements. Certain related party transactions are reflected as related party receivables and payables in our condensed consolidated balance sheets and are settled in cash. Prior to our Corporate Reorganization and IPO, certain related party transactions with RGHL Group were settled by either non-cash capital contributions from RGHL Group to us or non-cash capital distributions from us and were included as part of RGHL Group’s net investment in our condensed consolidated balance sheets. We also utilize manufacturing and warehousing facilities and resources managed by RGHL Group to conduct our business. The expenses associated with these transactions are included in cost of sales in our condensed consolidated statements of income. We believe that the assumptions and methodologies underlying the allocation of these expenses from RGHL Group are reasonable. However, such allocations do not necessarily reflect what the results of operations and financial position would have been had we operated as a stand-alone public company during the periods presented.</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conjunction with our separation from RGHL Group, we entered into a transition services agreement with Reynolds Group Holdings Inc. whereby RGHL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entered into a transition services agreement with Rank Group Limited whereby, upon our request, Rank Group Limited will provide certain administrative services to us, including financial reporting, consulting and compliance services, insurance procurement and human resources support, legal and corporate secretarial support, and related services for up to 24 months. At the conclusion of these transitional arrangements, we will have to perform these services with internal resources or contract with third party providers. The previous arrangements we had with RGHL Group may be materially different from the arrangements that we have entered into as part of our separation from RGHL Group.</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4, 2020, in conjunction with our Corporate Reorganization and IPO, we entered into the External Debt Facilities, consisting of the Term Loan Facility and the Revolving Facility, and repaid portions of the related party borrowings owed to RGHL Group that were reflected on our condensed consolidated balance sheet. RGHL Group contributed the remaining balance of related party borrowings owed by us to RGHL Group as additional paid-in capital without the issuance of any additional shares prior to the closing of our IPO. In addition, all indebtedness that we had borrowed under RGHL Group’s Credit Agreement was reallocated and we were released as a borrower and guarantor from such facilities and released as a guarantor of RGHL Group’s outstanding senior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manufacture and sell products that are essential to the daily lives of consumers, we have been classified as an “essential business” and our operations have remained open throughout the COVID-19 pandemic. We have implemented policies and procedures designed to protect our employees and our customers including implementing recommendations from the Centers for Disease Control and Prevention for social distancing in our plants, screening employees for increased temperature at certain locations, providing masks and/or face coverings, engagement of third-party vendors to clean and sanitize facilities, implementing a work from home policy for all employees who can do so, and enhanced leave policies to ensure employees experiencing symptoms of COVID-19 stay at home. As the pandemic progresses, we remain committed to adapting our policies and procedures to ensure the safety of our employees and compliance with federal, state and local regulations. While not significant to our overall results of operations, we experienced increased costs in the second quarter of 2020 as a result of COVID-19. However, these costs may not be representative of what we expect to incur moving forward.</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experience an increase in demand due to the consumer response to the COVID-19 pandemic. We have experienced increased demand across three of our segments: Reynolds Cooking &amp; Baking, Hefty Waste &amp; Storage and Presto Products; while our Hefty Tableware segment has been negatively impacted by the pandemic due to fewer large gatherings, particularly around summer holidays and end of school events, as well as lower demand from the foodservice businesses, which are serviced by certain of our retail partners. The duration of the COVID-19 pandemic remains unknown, and its ongoing impact on our operations may not be consistent with our experiences to date. At this time, we are unable to predict with any certainty the nature, timing or magnitude of any changes in future sales and/or earnings attributable to the spread of COVID-19 in North America. We do not currently anticipate that the COVID-19 pandemic will materially impact our liquidity over the next 12 months.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as net income calculated in accordance with GAAP, plus the sum of income tax expense, net interest expense, depreciation and amortization and further adjusted to exclude unrealized gains and losses on derivatives, factoring discounts (pre-IPO), the allocated related party management fee (pre-IPO) and IPO and separation-related costs. We define Adjusted Net Income and Adjusted EPS as Net Income and Earnings Per Share calculated in accordance with GAAP, plus the sum of IPO and separation-related costs, the impact of tax legislation changes under the CARES Act enacted March 27, 2020 and any unrealized gains or losses on derivatives.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metrics to evaluate our business’ performance in a way that also considers our ability to generate profit without the impact of certain items. Accordingly, we believe presenting these metrics provides useful information to investors and others in understanding and evaluating our operating results in the same manner as our management team and board of directors.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following is a reconciliation of our net income, the most directly comparable GAAP financial measure, to Adjusted EBITDA for each of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8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5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4"/>
          </w:tcPr>
          <w:p>
            <w:pPr>
              <w:jc w:val="right"/>
              <w:ind w:right="507"/>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ind w:right="7"/>
              <w:spacing w:after="0" w:line="155"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Net income – GAAP</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Factoring discount </w:t>
            </w:r>
            <w:r>
              <w:rPr>
                <w:rFonts w:ascii="Arial" w:cs="Arial" w:eastAsia="Arial" w:hAnsi="Arial"/>
                <w:sz w:val="15"/>
                <w:szCs w:val="15"/>
                <w:color w:val="auto"/>
              </w:rPr>
              <w:t>(1)</w:t>
            </w:r>
          </w:p>
        </w:tc>
        <w:tc>
          <w:tcPr>
            <w:tcW w:w="7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 xml:space="preserve">Allocated related party management fee </w:t>
            </w:r>
            <w:r>
              <w:rPr>
                <w:rFonts w:ascii="Arial" w:cs="Arial" w:eastAsia="Arial" w:hAnsi="Arial"/>
                <w:sz w:val="15"/>
                <w:szCs w:val="15"/>
                <w:color w:val="auto"/>
              </w:rPr>
              <w:t>(2)</w:t>
            </w:r>
          </w:p>
        </w:tc>
        <w:tc>
          <w:tcPr>
            <w:tcW w:w="7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IPO and separation-related costs </w:t>
            </w:r>
            <w:r>
              <w:rPr>
                <w:rFonts w:ascii="Arial" w:cs="Arial" w:eastAsia="Arial" w:hAnsi="Arial"/>
                <w:sz w:val="15"/>
                <w:szCs w:val="15"/>
                <w:color w:val="auto"/>
              </w:rPr>
              <w:t>(3)</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 xml:space="preserve">Unrealized (gains) losses on derivatives </w:t>
            </w:r>
            <w:r>
              <w:rPr>
                <w:rFonts w:ascii="Arial" w:cs="Arial" w:eastAsia="Arial" w:hAnsi="Arial"/>
                <w:sz w:val="15"/>
                <w:szCs w:val="15"/>
                <w:color w:val="auto"/>
              </w:rPr>
              <w:t>(4)</w:t>
            </w:r>
          </w:p>
        </w:tc>
        <w:tc>
          <w:tcPr>
            <w:tcW w:w="7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b w:val="1"/>
                <w:bCs w:val="1"/>
                <w:color w:val="auto"/>
              </w:rPr>
              <w:t>Adjusted EBITDA (Non-GAAP)</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loss on sale that we incurred when we sold our U.S. trade receivables through RGHL Group’s securitization facility. Our participation in this facility ceased upon the completion of our Corporate Reorganization and IPO.</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Group Limited to RGHL Group, which ceased upon the completion of our Corporate Reorganization and IPO.</w:t>
      </w:r>
    </w:p>
    <w:p>
      <w:pPr>
        <w:ind w:left="5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costs related to the IPO process, as well as costs related to our separation to operate as a stand-alone public company. These costs are included in Other expense, net in our condensed consolidated statements of income.</w:t>
      </w:r>
    </w:p>
    <w:p>
      <w:pPr>
        <w:ind w:left="500" w:right="20" w:hanging="492"/>
        <w:spacing w:after="0" w:line="26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6 - Financial Instruments in our condensed consolidated financial statements included elsewhere in this Quarterly Report on Form 10-Q.</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our net income and diluted EPS, the most directly comparable GAAP financial measure, to Adjusted Net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EPS for each of the periods indicated: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6"/>
          </w:tcPr>
          <w:p>
            <w:pPr>
              <w:jc w:val="center"/>
              <w:ind w:right="73"/>
              <w:spacing w:after="0"/>
              <w:rPr>
                <w:sz w:val="20"/>
                <w:szCs w:val="20"/>
                <w:color w:val="auto"/>
              </w:rPr>
            </w:pPr>
            <w:r>
              <w:rPr>
                <w:rFonts w:ascii="Arial" w:cs="Arial" w:eastAsia="Arial" w:hAnsi="Arial"/>
                <w:sz w:val="14"/>
                <w:szCs w:val="14"/>
                <w:b w:val="1"/>
                <w:bCs w:val="1"/>
                <w:color w:val="auto"/>
                <w:w w:val="93"/>
              </w:rPr>
              <w:t>Three Months Ended June 30, 2020</w:t>
            </w:r>
          </w:p>
        </w:tc>
        <w:tc>
          <w:tcPr>
            <w:tcW w:w="100" w:type="dxa"/>
            <w:vAlign w:val="bottom"/>
          </w:tcPr>
          <w:p>
            <w:pPr>
              <w:spacing w:after="0"/>
              <w:rPr>
                <w:sz w:val="14"/>
                <w:szCs w:val="14"/>
                <w:color w:val="auto"/>
              </w:rPr>
            </w:pPr>
          </w:p>
        </w:tc>
      </w:tr>
      <w:tr>
        <w:trPr>
          <w:trHeight w:val="236"/>
        </w:trPr>
        <w:tc>
          <w:tcPr>
            <w:tcW w:w="5680" w:type="dxa"/>
            <w:vAlign w:val="bottom"/>
          </w:tcPr>
          <w:p>
            <w:pPr>
              <w:spacing w:after="0"/>
              <w:rPr>
                <w:sz w:val="20"/>
                <w:szCs w:val="20"/>
                <w:color w:val="auto"/>
              </w:rPr>
            </w:pPr>
            <w:r>
              <w:rPr>
                <w:rFonts w:ascii="Arial" w:cs="Arial" w:eastAsia="Arial" w:hAnsi="Arial"/>
                <w:sz w:val="14"/>
                <w:szCs w:val="14"/>
                <w:b w:val="1"/>
                <w:bCs w:val="1"/>
                <w:color w:val="auto"/>
              </w:rPr>
              <w:t>(In millions, except for per share data)</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Net Income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Diluted Shares</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Diluted EPS</w:t>
            </w:r>
          </w:p>
        </w:tc>
      </w:tr>
      <w:tr>
        <w:trPr>
          <w:trHeight w:val="223"/>
        </w:trPr>
        <w:tc>
          <w:tcPr>
            <w:tcW w:w="5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As Reported - GAAP</w:t>
            </w:r>
          </w:p>
        </w:tc>
        <w:tc>
          <w:tcPr>
            <w:tcW w:w="1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IPO and separation-related costs </w:t>
            </w:r>
            <w:r>
              <w:rPr>
                <w:rFonts w:ascii="Arial" w:cs="Arial" w:eastAsia="Arial" w:hAnsi="Arial"/>
                <w:sz w:val="15"/>
                <w:szCs w:val="15"/>
                <w:color w:val="auto"/>
              </w:rPr>
              <w:t>(1)</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 xml:space="preserve">Unrealized gains on derivatives </w:t>
            </w:r>
            <w:r>
              <w:rPr>
                <w:rFonts w:ascii="Arial" w:cs="Arial" w:eastAsia="Arial" w:hAnsi="Arial"/>
                <w:sz w:val="15"/>
                <w:szCs w:val="15"/>
                <w:color w:val="auto"/>
              </w:rPr>
              <w:t>(1)</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r>
        <w:trPr>
          <w:trHeight w:val="223"/>
        </w:trPr>
        <w:tc>
          <w:tcPr>
            <w:tcW w:w="56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Adjusted (Non-GAAP)</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5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center"/>
              <w:ind w:right="73"/>
              <w:spacing w:after="0"/>
              <w:rPr>
                <w:sz w:val="20"/>
                <w:szCs w:val="20"/>
                <w:color w:val="auto"/>
              </w:rPr>
            </w:pPr>
            <w:r>
              <w:rPr>
                <w:rFonts w:ascii="Arial" w:cs="Arial" w:eastAsia="Arial" w:hAnsi="Arial"/>
                <w:sz w:val="14"/>
                <w:szCs w:val="14"/>
                <w:b w:val="1"/>
                <w:bCs w:val="1"/>
                <w:color w:val="auto"/>
                <w:w w:val="93"/>
              </w:rPr>
              <w:t>Six Months Ended June 30, 2020</w:t>
            </w:r>
          </w:p>
        </w:tc>
        <w:tc>
          <w:tcPr>
            <w:tcW w:w="100" w:type="dxa"/>
            <w:vAlign w:val="bottom"/>
          </w:tcPr>
          <w:p>
            <w:pPr>
              <w:spacing w:after="0"/>
              <w:rPr>
                <w:sz w:val="24"/>
                <w:szCs w:val="24"/>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4"/>
                <w:szCs w:val="14"/>
                <w:b w:val="1"/>
                <w:bCs w:val="1"/>
                <w:color w:val="auto"/>
              </w:rPr>
              <w:t>(In millions, except for per share data)</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Net Income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Diluted Shares</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Diluted EPS</w:t>
            </w:r>
          </w:p>
        </w:tc>
      </w:tr>
      <w:tr>
        <w:trPr>
          <w:trHeight w:val="223"/>
        </w:trPr>
        <w:tc>
          <w:tcPr>
            <w:tcW w:w="5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As Reported - GAAP</w:t>
            </w:r>
          </w:p>
        </w:tc>
        <w:tc>
          <w:tcPr>
            <w:tcW w:w="1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 xml:space="preserve">Assume full period impact of IPO shares </w:t>
            </w:r>
            <w:r>
              <w:rPr>
                <w:rFonts w:ascii="Arial" w:cs="Arial" w:eastAsia="Arial" w:hAnsi="Arial"/>
                <w:sz w:val="15"/>
                <w:szCs w:val="15"/>
                <w:color w:val="auto"/>
              </w:rPr>
              <w:t>(2)</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Impact of tax legislation change from the CARES Act</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 xml:space="preserve">IPO and separation-related costs </w:t>
            </w:r>
            <w:r>
              <w:rPr>
                <w:rFonts w:ascii="Arial" w:cs="Arial" w:eastAsia="Arial" w:hAnsi="Arial"/>
                <w:sz w:val="15"/>
                <w:szCs w:val="15"/>
                <w:color w:val="auto"/>
              </w:rPr>
              <w:t>(1)</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Unrealized losses on derivatives </w:t>
            </w:r>
            <w:r>
              <w:rPr>
                <w:rFonts w:ascii="Arial" w:cs="Arial" w:eastAsia="Arial" w:hAnsi="Arial"/>
                <w:sz w:val="15"/>
                <w:szCs w:val="15"/>
                <w:color w:val="auto"/>
              </w:rPr>
              <w:t>(1)</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Adjusted (Non-GAAP)</w:t>
            </w:r>
          </w:p>
        </w:tc>
        <w:tc>
          <w:tcPr>
            <w:tcW w:w="1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0.85</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0" w:hanging="492"/>
        <w:spacing w:after="0" w:line="27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are after tax calculated using a tax rate of 24% for the three and six months ended June 30, 2020, which is our effective tax rate excluding the one-time discrete expense associated with the legislation change from the CARES Act.</w:t>
      </w:r>
    </w:p>
    <w:p>
      <w:pPr>
        <w:spacing w:after="0" w:line="1"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incremental shares required to adjust the weighted average shares outstanding for the period to the actual shares outstanding as of June 30, 2020. We utilize the shares outstanding at period end as if they had been outstanding for the full period rather than weighted average shares outstanding over the course of the period as it is a more meaningful calculation that provides consistency in comparability due to the additional shares issued as a result of the IPO in the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Results of Operations – Three Months Ended June 30, 2020</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7"/>
              </w:rPr>
              <w:t>Hefty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Hefty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Presto</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Cooking &amp;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Waste &amp;</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3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Unallocated(2)</w:t>
            </w: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Baking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Storage</w:t>
            </w:r>
          </w:p>
        </w:tc>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Tableware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Products</w:t>
            </w: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 for the three months ended June 30:</w:t>
            </w: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jc w:val="right"/>
              <w:ind w:right="3772"/>
              <w:spacing w:after="0"/>
              <w:rPr>
                <w:sz w:val="20"/>
                <w:szCs w:val="20"/>
                <w:color w:val="auto"/>
              </w:rPr>
            </w:pPr>
            <w:r>
              <w:rPr>
                <w:rFonts w:ascii="Arial" w:cs="Arial" w:eastAsia="Arial" w:hAnsi="Arial"/>
                <w:sz w:val="18"/>
                <w:szCs w:val="18"/>
                <w:color w:val="auto"/>
              </w:rPr>
              <w:t>2020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jc w:val="right"/>
              <w:ind w:right="3772"/>
              <w:spacing w:after="0"/>
              <w:rPr>
                <w:sz w:val="20"/>
                <w:szCs w:val="20"/>
                <w:color w:val="auto"/>
              </w:rPr>
            </w:pPr>
            <w:r>
              <w:rPr>
                <w:rFonts w:ascii="Arial" w:cs="Arial" w:eastAsia="Arial" w:hAnsi="Arial"/>
                <w:sz w:val="18"/>
                <w:szCs w:val="18"/>
                <w:color w:val="auto"/>
              </w:rPr>
              <w:t>2019</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Adjusted EBITDA 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jc w:val="right"/>
              <w:ind w:right="3412"/>
              <w:spacing w:after="0"/>
              <w:rPr>
                <w:sz w:val="20"/>
                <w:szCs w:val="20"/>
                <w:color w:val="auto"/>
              </w:rPr>
            </w:pPr>
            <w:r>
              <w:rPr>
                <w:rFonts w:ascii="Arial" w:cs="Arial" w:eastAsia="Arial" w:hAnsi="Arial"/>
                <w:sz w:val="18"/>
                <w:szCs w:val="18"/>
                <w:color w:val="auto"/>
              </w:rPr>
              <w:t xml:space="preserve">June 30: </w:t>
            </w:r>
            <w:r>
              <w:rPr>
                <w:rFonts w:ascii="Arial" w:cs="Arial" w:eastAsia="Arial" w:hAnsi="Arial"/>
                <w:sz w:val="15"/>
                <w:szCs w:val="15"/>
                <w:color w:val="auto"/>
              </w:rPr>
              <w:t>(1)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jc w:val="right"/>
              <w:ind w:right="3772"/>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jc w:val="right"/>
              <w:ind w:right="3772"/>
              <w:spacing w:after="0"/>
              <w:rPr>
                <w:sz w:val="20"/>
                <w:szCs w:val="20"/>
                <w:color w:val="auto"/>
              </w:rPr>
            </w:pPr>
            <w:r>
              <w:rPr>
                <w:rFonts w:ascii="Arial" w:cs="Arial" w:eastAsia="Arial" w:hAnsi="Arial"/>
                <w:sz w:val="18"/>
                <w:szCs w:val="18"/>
                <w:color w:val="auto"/>
              </w:rPr>
              <w:t>2019</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9" w:lineRule="exact"/>
        <w:rPr>
          <w:rFonts w:ascii="Arial" w:cs="Arial" w:eastAsia="Arial" w:hAnsi="Arial"/>
          <w:sz w:val="17"/>
          <w:szCs w:val="17"/>
          <w:color w:val="auto"/>
        </w:rPr>
      </w:pPr>
    </w:p>
    <w:p>
      <w:pPr>
        <w:jc w:val="both"/>
        <w:ind w:left="500" w:right="20" w:hanging="492"/>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unallocated net revenues include elimination of intersegment revenues and other revenue adjustments. These transactions arise primarily from sales by Hefty Waste &amp; Storage to Presto Products. The unallocated Adjusted EBITDA represents corporate expenses which are not allocated to our segments.</w:t>
      </w:r>
    </w:p>
    <w:p>
      <w:pPr>
        <w:spacing w:after="0" w:line="18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Three Months Ended June 30, 2020 Compared with the Three Months Ended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6"/>
              </w:rPr>
              <w:t>For the Three Months Ended June 30,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80" w:type="dxa"/>
            <w:vAlign w:val="bottom"/>
          </w:tcPr>
          <w:p>
            <w:pPr>
              <w:spacing w:after="0"/>
              <w:rPr>
                <w:sz w:val="11"/>
                <w:szCs w:val="11"/>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3"/>
              </w:rPr>
              <w:t>% of Revenue</w:t>
            </w:r>
          </w:p>
        </w:tc>
        <w:tc>
          <w:tcPr>
            <w:tcW w:w="3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11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vMerge w:val="restart"/>
          </w:tcPr>
          <w:p>
            <w:pPr>
              <w:spacing w:after="0"/>
              <w:rPr>
                <w:sz w:val="11"/>
                <w:szCs w:val="11"/>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net 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822</w:t>
            </w:r>
          </w:p>
        </w:tc>
        <w:tc>
          <w:tcPr>
            <w:tcW w:w="2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252</w:t>
            </w:r>
          </w:p>
        </w:tc>
        <w:tc>
          <w:tcPr>
            <w:tcW w:w="2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31%</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200" w:type="dxa"/>
            <w:vAlign w:val="bottom"/>
            <w:tcBorders>
              <w:right w:val="single" w:sz="8" w:color="CFF0FC"/>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00" w:type="dxa"/>
            <w:vAlign w:val="bottom"/>
          </w:tcPr>
          <w:p>
            <w:pPr>
              <w:spacing w:after="0"/>
              <w:rPr>
                <w:sz w:val="19"/>
                <w:szCs w:val="19"/>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1200" w:type="dxa"/>
            <w:vAlign w:val="bottom"/>
            <w:tcBorders>
              <w:right w:val="single" w:sz="8" w:color="CFF0FC"/>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0" w:type="dxa"/>
            <w:vAlign w:val="bottom"/>
          </w:tcPr>
          <w:p>
            <w:pPr>
              <w:spacing w:after="0"/>
              <w:rPr>
                <w:sz w:val="19"/>
                <w:szCs w:val="19"/>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w:t>
            </w:r>
          </w:p>
        </w:tc>
        <w:tc>
          <w:tcPr>
            <w:tcW w:w="1200" w:type="dxa"/>
            <w:vAlign w:val="bottom"/>
            <w:tcBorders>
              <w:right w:val="single" w:sz="8" w:color="CFF0FC"/>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vMerge w:val="continue"/>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21"/>
                <w:szCs w:val="21"/>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5"/>
                <w:szCs w:val="15"/>
                <w:b w:val="1"/>
                <w:bCs w:val="1"/>
                <w:color w:val="auto"/>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w:t>
            </w:r>
          </w:p>
        </w:tc>
        <w:tc>
          <w:tcPr>
            <w:tcW w:w="2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Change in Net Revenues for the Three Months Ended June 30, 2020 vs. the Three Months Ended June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Price</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5"/>
              </w:rPr>
              <w:t>Volume/Mix</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Reynolds Cooking &amp; Baking</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Hefty Waste &amp; Storage</w:t>
            </w:r>
          </w:p>
        </w:tc>
        <w:tc>
          <w:tcPr>
            <w:tcW w:w="17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Hefty Tableware</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Presto Products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RCP</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648"/>
        </w:trPr>
        <w:tc>
          <w:tcPr>
            <w:tcW w:w="6400" w:type="dxa"/>
            <w:vAlign w:val="bottom"/>
          </w:tcPr>
          <w:p>
            <w:pPr>
              <w:ind w:left="5540"/>
              <w:spacing w:after="0"/>
              <w:rPr>
                <w:sz w:val="20"/>
                <w:szCs w:val="20"/>
                <w:color w:val="auto"/>
              </w:rPr>
            </w:pPr>
            <w:r>
              <w:rPr>
                <w:rFonts w:ascii="Arial" w:cs="Arial" w:eastAsia="Arial" w:hAnsi="Arial"/>
                <w:sz w:val="18"/>
                <w:szCs w:val="18"/>
                <w:color w:val="auto"/>
              </w:rPr>
              <w:t>18</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0" w:name="page21"/>
    <w:bookmarkEnd w:id="20"/>
    <w:p>
      <w:pPr>
        <w:jc w:val="both"/>
        <w:ind w:right="20"/>
        <w:spacing w:after="0" w:line="255" w:lineRule="auto"/>
        <w:rPr>
          <w:sz w:val="20"/>
          <w:szCs w:val="20"/>
          <w:color w:val="auto"/>
        </w:rPr>
      </w:pPr>
      <w:r>
        <w:rPr>
          <w:rFonts w:ascii="Arial" w:cs="Arial" w:eastAsia="Arial" w:hAnsi="Arial"/>
          <w:sz w:val="18"/>
          <w:szCs w:val="18"/>
          <w:i w:val="1"/>
          <w:iCs w:val="1"/>
          <w:color w:val="auto"/>
        </w:rPr>
        <w:t>Total Net Revenues</w:t>
      </w:r>
      <w:r>
        <w:rPr>
          <w:rFonts w:ascii="Arial" w:cs="Arial" w:eastAsia="Arial" w:hAnsi="Arial"/>
          <w:sz w:val="18"/>
          <w:szCs w:val="18"/>
          <w:color w:val="auto"/>
        </w:rPr>
        <w:t>. Total net revenues increased by $31 million, or 4%, to $822 million. The increase was primarily driven by increased demand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response to the COVID-19 pandemic, partially offset by a $16 million decline in revenue due to the exit of certain low margin store branded business in the prior year and a $14 million decline in related party revenue. We have experienced increased demand across three of our segments: Reynolds Cooking &amp; Baking, Hefty Waste &amp; Storage and Presto Products; while our Hefty Tableware segment has been negatively impacted by the pandemic due to fewer large gatherings, particularly around summer holidays and end of school events, as well as lower demand from the foodservice businesses, which are serviced by certain of our retail partners.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by $6 million, or 1%, to $570 million. The increase was primarily due to increased revenue, as noted above,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lower material and manufacturing costs.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$4 million, or 5%, to $81 million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by $3 million, or 33%, to $6 million. The decrease was primarily attributable to the factoring discount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our U.S. trade receivables through RGHL Group’s securitization facility and the allocated related party management fee in the comparable prior period partially offset by IPO and separation-related costs during the current period.</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decreased by $50 million, or 75%, to $17 million. The decrease was primarily due to the change in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a result of our IPO in the first quarter of 2020. Prior to the IPO we had related party debt and associated interest expense that was replaced with our External Debt Facilities in conjunction with the IPO.</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We recognized income tax expense of $36 million on income before income taxes of $148 million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24%) for the three months ended June 30, 2020 compared to income tax expense of $19 million on income before income taxes of $74 million (an effective tax rate of 26%) for the three months ended June 30, 2019. The decrease in the effective tax rate was due to a reduction in permanently non-deductible items.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$24 million, or 14% to $193 million. The increase in Adjusted EBITDA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revenue, as noted above.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Reynolds Cooking &amp; Baking total segment net revenues increased by $20 million, or 7%, to $295 million.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driven by the increased consumer demand associated with the changes in consumer behavior driven by the COVID-19 pandemic. The increased volume was partially offset by a decline in related party revenue and lower pricing driven by price reductions in support of certain of our customers achieving key price points and as a result of lower material costs.</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Reynolds Cooking &amp; Baking Adjusted EBITDA increased by $17 million, or 35%, to $66 million. The increase in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the increased revenue, as noted above, and lower material and manufacturing costs, partially offset by the impact of lower pricing as noted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vMerge w:val="continue"/>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40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21" w:name="page22"/>
    <w:bookmarkEnd w:id="21"/>
    <w:p>
      <w:pPr>
        <w:jc w:val="both"/>
        <w:spacing w:after="0" w:line="342" w:lineRule="auto"/>
        <w:rPr>
          <w:sz w:val="20"/>
          <w:szCs w:val="20"/>
          <w:color w:val="auto"/>
        </w:rPr>
      </w:pPr>
      <w:r>
        <w:rPr>
          <w:rFonts w:ascii="Arial" w:cs="Arial" w:eastAsia="Arial" w:hAnsi="Arial"/>
          <w:sz w:val="16"/>
          <w:szCs w:val="16"/>
          <w:i w:val="1"/>
          <w:iCs w:val="1"/>
          <w:color w:val="auto"/>
        </w:rPr>
        <w:t>Total Segment Net Revenues</w:t>
      </w:r>
      <w:r>
        <w:rPr>
          <w:rFonts w:ascii="Arial" w:cs="Arial" w:eastAsia="Arial" w:hAnsi="Arial"/>
          <w:sz w:val="16"/>
          <w:szCs w:val="16"/>
          <w:color w:val="auto"/>
        </w:rPr>
        <w:t>. Hefty Waste &amp; Storage total segment net revenues increased by $20 million, or 11%, to $203 million. The increase in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was primarily driven by increased consumer demand associated with the changes in consumer behavior driven by the COVID-19 pandemic.</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increased by $11 million, or 21%, to $63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the increased revenue, as noted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5"/>
              </w:rPr>
              <w:t>For the Three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Change</w:t>
            </w:r>
          </w:p>
        </w:tc>
        <w:tc>
          <w:tcPr>
            <w:tcW w:w="114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Total Segment Net Revenues. </w:t>
      </w:r>
      <w:r>
        <w:rPr>
          <w:rFonts w:ascii="Arial" w:cs="Arial" w:eastAsia="Arial" w:hAnsi="Arial"/>
          <w:sz w:val="17"/>
          <w:szCs w:val="17"/>
          <w:color w:val="auto"/>
        </w:rPr>
        <w:t>Hefty Tableware total segment net revenues decreased by $21 million, or 10%, to $186 million. The decrease in net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changes in consumer behavior driven by the COVID-19 pandemic. As a result of COVID-19-related restrictions, there have been fewer large gatherings, particularly around summer holidays and end of school events, as well as lower demand from the foodservice businesses, which are serviced by certain of our retail partners. Lower trade promotion spend partially offset these volume declines.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decreased by $8 million, or 16%, to $43 million. The decrease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lower revenue, as noted above, and increased material and manufacturing costs which were primarily driven by our transition to a stand-alone entity.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increased by $7 million, or 5%, to $138 million. The increase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changes in consumer behavior driven by the COVID-19 pandemic, partially offset by the exit of certain low margin store branded business in the prior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$4 million, or 17%, to $28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increased revenue, as noted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2020</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left="3700"/>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1"/>
              </w:rPr>
              <w:t>Reynolds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Hefty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Hefty</w:t>
            </w:r>
          </w:p>
        </w:tc>
        <w:tc>
          <w:tcPr>
            <w:tcW w:w="120" w:type="dxa"/>
            <w:vAlign w:val="bottom"/>
          </w:tcPr>
          <w:p>
            <w:pPr>
              <w:spacing w:after="0"/>
              <w:rPr>
                <w:sz w:val="12"/>
                <w:szCs w:val="12"/>
                <w:color w:val="auto"/>
              </w:rPr>
            </w:pP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Presto</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Cooking &amp;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Waste &amp;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3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Unallocated(2)</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Baking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Tableware</w:t>
            </w:r>
          </w:p>
        </w:tc>
        <w:tc>
          <w:tcPr>
            <w:tcW w:w="12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Products</w:t>
            </w:r>
          </w:p>
        </w:tc>
        <w:tc>
          <w:tcPr>
            <w:tcW w:w="13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 for the six months ended June 30:</w:t>
            </w: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jc w:val="right"/>
              <w:ind w:right="3992"/>
              <w:spacing w:after="0"/>
              <w:rPr>
                <w:sz w:val="20"/>
                <w:szCs w:val="20"/>
                <w:color w:val="auto"/>
              </w:rPr>
            </w:pPr>
            <w:r>
              <w:rPr>
                <w:rFonts w:ascii="Arial" w:cs="Arial" w:eastAsia="Arial" w:hAnsi="Arial"/>
                <w:sz w:val="18"/>
                <w:szCs w:val="18"/>
                <w:color w:val="auto"/>
              </w:rPr>
              <w:t>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jc w:val="right"/>
              <w:ind w:right="3992"/>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Adjusted EBITDA for the six months ended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jc w:val="right"/>
              <w:ind w:right="3632"/>
              <w:spacing w:after="0"/>
              <w:rPr>
                <w:sz w:val="20"/>
                <w:szCs w:val="20"/>
                <w:color w:val="auto"/>
              </w:rPr>
            </w:pPr>
            <w:r>
              <w:rPr>
                <w:rFonts w:ascii="Arial" w:cs="Arial" w:eastAsia="Arial" w:hAnsi="Arial"/>
                <w:sz w:val="18"/>
                <w:szCs w:val="18"/>
                <w:color w:val="auto"/>
              </w:rPr>
              <w:t xml:space="preserve">June 30: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jc w:val="right"/>
              <w:ind w:right="3992"/>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jc w:val="right"/>
              <w:ind w:right="399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9"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unallocated net revenues include elimination of intersegment revenues and other revenue adjustments. These transactions arise primarily from sales by Hefty Waste &amp; Storage to Presto Products. The unallocated Adjusted EBITDA represents corporate expenses which are not allocated to our segments.</w:t>
      </w:r>
    </w:p>
    <w:p>
      <w:pPr>
        <w:spacing w:after="0" w:line="186"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Six Months Ended June 30, 2020 Compared with the Six Months Ended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2"/>
              </w:rPr>
              <w:t>For the Six Months Ended June 30,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Arial" w:cs="Arial" w:eastAsia="Arial" w:hAnsi="Arial"/>
                <w:sz w:val="14"/>
                <w:szCs w:val="14"/>
                <w:b w:val="1"/>
                <w:bCs w:val="1"/>
                <w:color w:val="auto"/>
                <w:w w:val="93"/>
              </w:rPr>
              <w:t>% of Revenue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2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1"/>
              </w:rPr>
              <w:t>% of Revenue</w:t>
            </w:r>
          </w:p>
        </w:tc>
        <w:tc>
          <w:tcPr>
            <w:tcW w:w="140" w:type="dxa"/>
            <w:vAlign w:val="bottom"/>
          </w:tcPr>
          <w:p>
            <w:pPr>
              <w:spacing w:after="0"/>
              <w:rPr>
                <w:sz w:val="13"/>
                <w:szCs w:val="13"/>
                <w:color w:val="auto"/>
              </w:rPr>
            </w:pPr>
          </w:p>
        </w:tc>
        <w:tc>
          <w:tcPr>
            <w:tcW w:w="9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7"/>
              </w:rPr>
              <w:t>Change</w:t>
            </w:r>
          </w:p>
        </w:tc>
        <w:tc>
          <w:tcPr>
            <w:tcW w:w="8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revenues</w:t>
            </w:r>
          </w:p>
        </w:tc>
        <w:tc>
          <w:tcPr>
            <w:tcW w:w="6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1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2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net revenues</w:t>
            </w:r>
          </w:p>
        </w:tc>
        <w:tc>
          <w:tcPr>
            <w:tcW w:w="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1,456</w:t>
            </w:r>
          </w:p>
        </w:tc>
        <w:tc>
          <w:tcPr>
            <w:tcW w:w="2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(1,056)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w:t>
            </w:r>
          </w:p>
        </w:tc>
        <w:tc>
          <w:tcPr>
            <w:tcW w:w="2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1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5"/>
                <w:szCs w:val="15"/>
                <w:b w:val="1"/>
                <w:bCs w:val="1"/>
                <w:color w:val="auto"/>
              </w:rPr>
              <w:t>(1)</w:t>
            </w:r>
          </w:p>
        </w:tc>
        <w:tc>
          <w:tcPr>
            <w:tcW w:w="600" w:type="dxa"/>
            <w:vAlign w:val="bottom"/>
            <w:tcBorders>
              <w:top w:val="single" w:sz="8" w:color="CFF0FC"/>
            </w:tcBorders>
            <w:vMerge w:val="restart"/>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vMerge w:val="restart"/>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328</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21%</w:t>
            </w:r>
          </w:p>
        </w:tc>
        <w:tc>
          <w:tcPr>
            <w:tcW w:w="1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w:t>
            </w: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Change in Net Revenues for the Six Months Ended June 30, 2020 vs. the Six Months Ended June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Price</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7"/>
              </w:rPr>
              <w:t>Volume/Mix</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4"/>
                <w:szCs w:val="14"/>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Reynolds Cooking &amp; Baking</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Hefty Waste &amp; Storage</w:t>
            </w:r>
          </w:p>
        </w:tc>
        <w:tc>
          <w:tcPr>
            <w:tcW w:w="600" w:type="dxa"/>
            <w:vAlign w:val="bottom"/>
          </w:tcPr>
          <w:p>
            <w:pPr>
              <w:ind w:lef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29"/>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Hefty Tableware</w:t>
            </w:r>
          </w:p>
        </w:tc>
        <w:tc>
          <w:tcPr>
            <w:tcW w:w="17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Presto Products</w:t>
            </w:r>
          </w:p>
        </w:tc>
        <w:tc>
          <w:tcPr>
            <w:tcW w:w="17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RCP</w:t>
            </w:r>
          </w:p>
        </w:tc>
        <w:tc>
          <w:tcPr>
            <w:tcW w:w="6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Net Revenues</w:t>
      </w:r>
      <w:r>
        <w:rPr>
          <w:rFonts w:ascii="Arial" w:cs="Arial" w:eastAsia="Arial" w:hAnsi="Arial"/>
          <w:sz w:val="18"/>
          <w:szCs w:val="18"/>
          <w:color w:val="auto"/>
        </w:rPr>
        <w:t>. Total net revenues increased by $96 million, or 7%, to $1,552 million. The increase in net revenues was largely due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demand due to the consumer response to the COVID-19 pandemic, partially offset by a decline in revenue due to the exit of certain low margin store branded business in the prior year, a decline in related party revenue and lower pricing driven by price reductions in support of certain of our customers achieving key price points and as a result of lower material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by $55 million, or 5%, to $1,111 million. The increase was primarily due to increased revenue, as noted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material and manufacturing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$8 million, or 5%, to $163 million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by $7 million, or 50%, to $21 million. The increase was primarily attributable to IPO and separation-related costs in the current period, partially offset by a reduction in costs related to the factoring discount on the sale of our U.S. trade receivables through RGHL Group’s securitization facility and the allocated related party management fee in the comparable prior period.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decreased by $91 million, or 67%, to $44 million. The decrease was primarily due to the change in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a result of our IPO in the first quarter of 2020. Prior to the IPO we had related party debt and associated interest expense that was replaced with our External Debt Facilities in conjunction with the IPO.</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We recognized income tax expense of $75 million on income before income taxes of $213 million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35%) for the six months ended June 30, 2020 compared to income tax expense of $24 million on income before income taxes of $96 million (an effective tax rate of 25%) for the six months ended June 30, 2019. The increase in the effective tax rate was due to the recognition of a $23 million discrete tax expense associated with the remeasurement of our deferred taxes as a result of the legislation change from the CARES Act. Excluding the impact of this, our effective tax rate was 24% for the six months ended June 30, 2020.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$49 million, or 18% to $328 million. The increase in Adjusted EBITDA was primarily due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 noted above, and lower material and manufacturing costs.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Reynolds Cooking &amp; Baking total segment net revenues increased by $50 million, or 10%, to $538 million.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was primarily driven by increased consumer demand associated with the changes in consumer behavior driven by the COVID-19 pandemic, partially offset by a decline in related party revenue and lower pricing driven by price reductions in support of certain of our customers achieving key price points and as a result of lower material costs.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Adjusted EBITDA</w:t>
      </w:r>
      <w:r>
        <w:rPr>
          <w:rFonts w:ascii="Arial" w:cs="Arial" w:eastAsia="Arial" w:hAnsi="Arial"/>
          <w:sz w:val="16"/>
          <w:szCs w:val="16"/>
          <w:color w:val="auto"/>
        </w:rPr>
        <w:t>. Reynolds Cooking &amp; Baking Adjusted EBITDA increased by $39 million, or 58%, to $106 million. The increase in Adjusted EBITDA</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driven by increased revenue, as noted above, and lower material and manufacturing costs, partially offset by lower pricing, as noted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Total Segment Net Revenues</w:t>
      </w:r>
      <w:r>
        <w:rPr>
          <w:rFonts w:ascii="Arial" w:cs="Arial" w:eastAsia="Arial" w:hAnsi="Arial"/>
          <w:sz w:val="16"/>
          <w:szCs w:val="16"/>
          <w:color w:val="auto"/>
        </w:rPr>
        <w:t>. Hefty Waste &amp; Storage total segment net revenues increased by $47 million, or 14%, to $395 million. The increase in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was primarily driven by increased consumer demand associated with the changes in consumer behavior driven by the COVID-19 pandemic.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increased by $27 million, or 30%, to $118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increased revenue, as noted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3"/>
              </w:rPr>
              <w:t>For the Six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Total Segment Net Revenues. </w:t>
      </w:r>
      <w:r>
        <w:rPr>
          <w:rFonts w:ascii="Arial" w:cs="Arial" w:eastAsia="Arial" w:hAnsi="Arial"/>
          <w:sz w:val="17"/>
          <w:szCs w:val="17"/>
          <w:color w:val="auto"/>
        </w:rPr>
        <w:t>Hefty Tableware total segment net revenues decreased by $7 million, or 2%, to $364 million. The decrease was largely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consumer behavior driven by the COVID-19 pandemic. While there was a temporary increase in revenue at the onset of the pandemic, largely driven by pantry loading, the pandemic-related restrictions have resulted in fewer large gatherings, particularly around summer holidays and end of school events, as well as lower demand from the foodservice businesses, which are serviced by certain of our retail partners.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decreased by $8 million, or 9%, to $78 million. The decrease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decline in revenue, as noted above, and increased material and manufacturing costs which were primarily driven by our transition to a stand-alone entity.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increased by $7 million, or 3%, to $265 million. The increase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changes in consumer behavior driven by the COVID-19 pandemic, partially offset by the exit of certain low margin store branded business in the prior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$7 million, or 16%, to $51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increased revenue, as noted above, and lower material and manufacturing costs.</w:t>
      </w:r>
    </w:p>
    <w:p>
      <w:pPr>
        <w:spacing w:after="0" w:line="16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our cash flows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0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Net cash used in by investing activities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2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decreased by $75 million to $3 million in the six months ended June 30, 2020. The change was primarily driven by a $268 million increase in accounts receivable, $240 million of which was related to accounts receivables previously sold through RGHL Group’s securitization facility prior to our separation from RGHL Group, partially offset by an increase in net income, a lower net investment in inventory and changes in related party receivables during the current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decreased by $8 million to $52 million in the six months ended June 30, 2020. The net decrease was primarily attributable to net changes in cash advanced to RGHL Group as part of wider RGHL Group cash management activities in the prior period. In addition to these related party items, cash outflows from investing activities increased $11 million or 27%. This change was primarily attributable to taking operational ownership of two facilities previously managed by a related party in conjunction with the IPO.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from financing activities changed by $366 million, from an outflow of $27 million for the six months ended June 30, 2019 to an inflow of $339 million for the six months ended June 30, 2020. The change in cash flows from financing activities was primarily attributable to proceeds received from the IPO and the drawdown of the Term Loan Facility partially offset by repayments of related party balances and dividends paid during the 2020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liquidity are existing cash and cash equivalents, cash generated from operating activities and available borrowings under the Revolving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4, 2020, in conjunction with our Corporate Reorganization and IPO, we entered into the External Debt Facilities which consist of a $2,475 million Term Loan Facility and a Revolving Facility that provides for additional borrowing capacity of up to $250 million, reduced by amounts used for letters of credit.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initial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fees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External Debt Facilities bear interest at a rate per annum equal to, at our option, either a base rate or a LIBO rate plus an applicable margin of 1.75%.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contains customary mandatory prepayments, including with respect to excess cash flow, asset sale proceeds and proceeds from certain incurrences of indebtedness.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Borrower may voluntarily repay outstanding loans under the Term Loan Facility at any time without premium or penalty, other than customary breakage costs with respect to LIBO rate loans; provided, however, that any voluntary prepayment, refinancing or repricing of the External Debt Facilities in connection with certain repricing transactions that occur prior to August 4, 2020 will be subject to a prepayment premium of 1% of the principal amount of the term loans so prepaid, refinanced or repriced. Subsequent to June 30, 2020, we made a voluntary principal payment of $100 million related to the Term Loan Facility, which was not subject to a prepayment premium.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maturity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in February 2027. The Term Loan Facility amortizes in equal quarterly installments of $6 million, which commenced in June 2020, with the balance being payable on maturity. The Revolving Facility matures in February 2025.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security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entered into by affiliates of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External Debt Facilities contain a number of covenants that, among other things, restrict, subject to certain exceptions, our ability and the ability of the restricted subsidiaries of RCPI to:</w:t>
      </w:r>
    </w:p>
    <w:p>
      <w:pPr>
        <w:spacing w:after="0" w:line="62"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projected cash position, cash flows from operations and borrowings under the External Debt Facilities are sufficient to meet the needs of our business for at least the next 12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7A: Quantitative and Qualitative Disclosures About Market Risk” of our Annual Report on Form 10-K for the fiscal year ended December 31, 2019. During the six months ended June 30, 2020, there have been no material changes in our exposure to market risk.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June 30, 2020. Based on that evaluation, our Chief Executive Officer and Chief Financial Officer have concluded that, as of June 30, 2020, our disclosure controls and procedures were effective.</w:t>
      </w:r>
    </w:p>
    <w:p>
      <w:pPr>
        <w:spacing w:after="0" w:line="79"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our internal control over financial reporting that occurred during the quarter ended June 30, 2020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to be set forth under this heading is incorporated by reference from Note 8 - Commitments and Contingencies, to the Condensed Consolidated Financial Statements included in Part I, Item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risk factor below, there have been no material changes from the risk factors disclosed in our Annual Report on Form 10-K for the year ended December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and associated responses could adversely impact our business and results of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significantly impacted economic activity and markets throughout the world. In response, governmental authorities have implemented numerous measures in an attempt to contain the virus, such as travel bans and restrictions, quarantines, shelter-in-place orders and business shutdowns.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including the measures instituted by governmental authorities and associated responses, have and could continue to, adversely impact our business and results of operations in a number of ways, including but not limited to:</w:t>
      </w:r>
    </w:p>
    <w:p>
      <w:pPr>
        <w:spacing w:after="0" w:line="62" w:lineRule="exact"/>
        <w:rPr>
          <w:sz w:val="20"/>
          <w:szCs w:val="20"/>
          <w:color w:val="auto"/>
        </w:rPr>
      </w:pPr>
    </w:p>
    <w:p>
      <w:pPr>
        <w:ind w:left="1000" w:hanging="493"/>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shutdown, disruption or less than full utilization of one or more of our manufacturing, warehousing or distribution facilities, or disruption in our supply chain or customer base, including but not limited to, as a result of illness, government restrictions or other workforce disruptions;</w:t>
      </w:r>
    </w:p>
    <w:p>
      <w:pPr>
        <w:spacing w:after="0" w:line="29" w:lineRule="exact"/>
        <w:rPr>
          <w:rFonts w:ascii="Arial" w:cs="Arial" w:eastAsia="Arial" w:hAnsi="Arial"/>
          <w:sz w:val="16"/>
          <w:szCs w:val="16"/>
          <w:color w:val="auto"/>
        </w:rPr>
      </w:pPr>
    </w:p>
    <w:p>
      <w:pPr>
        <w:ind w:left="1000" w:hanging="493"/>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failure of third parties on which we rely, including but not limited to, those that supply our raw materials and other necessary operating materials, co-manufacturers and independent contractors, to meet their obligations to us, or significant disruptions in their ability to do so;</w:t>
      </w:r>
    </w:p>
    <w:p>
      <w:pPr>
        <w:spacing w:after="0" w:line="29" w:lineRule="exact"/>
        <w:rPr>
          <w:rFonts w:ascii="Arial" w:cs="Arial" w:eastAsia="Arial" w:hAnsi="Arial"/>
          <w:sz w:val="16"/>
          <w:szCs w:val="16"/>
          <w:color w:val="auto"/>
        </w:rPr>
      </w:pPr>
    </w:p>
    <w:p>
      <w:pPr>
        <w:ind w:left="1000" w:right="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or escalated government or regulatory responses in markets where we manufacture, sell or distribute our products, or in the markets of third parties on which we rely, could prevent or disrupt our business operations;</w:t>
      </w:r>
    </w:p>
    <w:p>
      <w:pPr>
        <w:spacing w:after="0" w:line="75"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continuation of higher costs in certain areas such as front-line employee compensation, as well as incremental costs associated with newly added health screenings, temperature checks and enhanced cleaning and sanitation protocols to protect our employees, which we expect could continue or could increase in these or other areas;</w:t>
      </w:r>
    </w:p>
    <w:p>
      <w:pPr>
        <w:spacing w:after="0" w:line="89" w:lineRule="exact"/>
        <w:rPr>
          <w:rFonts w:ascii="Arial" w:cs="Arial" w:eastAsia="Arial" w:hAnsi="Arial"/>
          <w:sz w:val="18"/>
          <w:szCs w:val="18"/>
          <w:color w:val="auto"/>
        </w:rPr>
      </w:pPr>
    </w:p>
    <w:p>
      <w:pPr>
        <w:jc w:val="both"/>
        <w:ind w:left="1000" w:hanging="493"/>
        <w:spacing w:after="0" w:line="25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reductions or volatility in demand for one or more of our products, such as has occurred with respect to our Hefty Tableware segment, which may be caused by, among other things: the temporary inability of consumers to purchase our products due to illness, quarantine or other travel restrictions, or financial hardship; fewer large gatherings, particularly around holidays and other significant events; lower demand from the foodservice businesses; the easing of governmental authority restrictions and business closings; or pantry-loading activity; and</w:t>
      </w:r>
    </w:p>
    <w:p>
      <w:pPr>
        <w:spacing w:after="0" w:line="9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demand for or availability of our products as a result of retailers, distributors, or carriers modifying their inventory, fulfillment or shipping practices.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and other impacts of the COVID-19 pandemic could have the effect of heightening many of the other risk factors disclosed in our Annual Report on Form 10-K. The ultimate impact depends on the severity and duration of the current COVID-19 pandemic and actions taken by governmental authorities and other third parties in response, each of which is uncertain, rapidly changing and difficult to predict. Any of these disruptions could adversely impact our business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ind w:right="19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355"/>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4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00" w:type="dxa"/>
            <w:vAlign w:val="bottom"/>
            <w:tcBorders>
              <w:top w:val="single" w:sz="8" w:color="auto"/>
              <w:bottom w:val="single" w:sz="8" w:color="0000EE"/>
            </w:tcBorders>
            <w:gridSpan w:val="6"/>
          </w:tcPr>
          <w:p>
            <w:pPr>
              <w:spacing w:after="0"/>
              <w:rPr>
                <w:rFonts w:ascii="Arial" w:cs="Arial" w:eastAsia="Arial" w:hAnsi="Arial"/>
                <w:sz w:val="18"/>
                <w:szCs w:val="18"/>
                <w:color w:val="0000EE"/>
                <w:w w:val="94"/>
              </w:rPr>
            </w:pPr>
            <w:hyperlink r:id="rId55">
              <w:r>
                <w:rPr>
                  <w:rFonts w:ascii="Arial" w:cs="Arial" w:eastAsia="Arial" w:hAnsi="Arial"/>
                  <w:sz w:val="18"/>
                  <w:szCs w:val="18"/>
                  <w:color w:val="0000EE"/>
                  <w:w w:val="94"/>
                </w:rPr>
                <w:t>Amended and Restated Certificate of Incorporation (incorporated herein by reference to Exhibit 3.1 to the Company’s Current Report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Form 8-K filed with the SEC on February 4, 2020)</w:t>
              </w:r>
            </w:hyperlink>
          </w:p>
        </w:tc>
        <w:tc>
          <w:tcPr>
            <w:tcW w:w="6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Amended and Restated By-Laws (incorporated herein by reference to Exhibit 3.2 to the Company’s Current Report on Form 8-K filed with</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the SEC on February 4, 2020)</w:t>
              </w:r>
            </w:hyperlink>
          </w:p>
        </w:tc>
        <w:tc>
          <w:tcPr>
            <w:tcW w:w="80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Adopted Pursuant to Section 302 of the Sarbanes-Oxley Act of 2002.</w:t>
              </w:r>
            </w:hyperlink>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2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Adopted Pursuant to Section 302 of the Sarbanes-Oxley Act of 2002.</w:t>
              </w:r>
            </w:hyperlink>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Act of 2002.</w:t>
              </w:r>
            </w:hyperlink>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Act of 2002.</w:t>
              </w:r>
            </w:hyperlink>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 Mayrhofer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Corporate Controller (Principal</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August 5, 2020</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Lance Mitchell,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Reynolds Consumer Products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hanging="493"/>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1000" w:right="20" w:hanging="493"/>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340" w:val="left"/>
          <w:tab w:leader="none" w:pos="776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Lance Mitchell</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Graham, certify that:</w:t>
      </w:r>
    </w:p>
    <w:p>
      <w:pPr>
        <w:spacing w:after="0" w:line="22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Reynolds Consumer Products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hanging="493"/>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1000" w:right="2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340" w:val="left"/>
          <w:tab w:leader="none" w:pos="770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Michael Graham</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Reynolds Consumer Products Inc. (the “Company”) on Form 10-Q for the period ended June 30, 2020 as filed with the Securities and Exchange Commission on the date hereof (the “Report”), I, Lance Mitchell, President and Chief Executive Officer,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Lance Mitchell</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Quarterly Report of Reynolds Consumer Products Inc. (the “Company”) on Form 10-Q for the period ended June 30, 2020 as filed with the Securities and Exchange Commission on the date hereof (the “Report”), I, Michael Graham, Chief Financial Officer, certify, pursuant to 18 U.S.C.</w:t>
      </w:r>
    </w:p>
    <w:p>
      <w:pPr>
        <w:ind w:left="140" w:hanging="132"/>
        <w:spacing w:after="0"/>
        <w:tabs>
          <w:tab w:leader="none" w:pos="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0" w:lineRule="exact"/>
        <w:rPr>
          <w:rFonts w:ascii="Arial" w:cs="Arial" w:eastAsia="Arial" w:hAnsi="Arial"/>
          <w:sz w:val="18"/>
          <w:szCs w:val="18"/>
          <w:color w:val="auto"/>
        </w:rPr>
      </w:pPr>
    </w:p>
    <w:p>
      <w:pPr>
        <w:ind w:left="1000" w:hanging="493"/>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5" Type="http://schemas.openxmlformats.org/officeDocument/2006/relationships/hyperlink" Target="http://www.sec.gov/Archives/edgar/data/0001786431/000119312520024304/d874780dex31.htm" TargetMode="External"/><Relationship Id="rId56" Type="http://schemas.openxmlformats.org/officeDocument/2006/relationships/hyperlink" Target="http://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2020-08-05T08:38:26Z</dcterms:created>
  <dcterms:modified xsi:type="dcterms:W3CDTF">2020-08-05T08:38:26Z</dcterms:modified>
</cp:coreProperties>
</file>