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40" w:right="1620" w:hanging="3632"/>
        <w:spacing w:after="0" w:line="391" w:lineRule="auto"/>
        <w:tabs>
          <w:tab w:leader="none" w:pos="47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80" w:lineRule="exact"/>
        <w:rPr>
          <w:sz w:val="24"/>
          <w:szCs w:val="24"/>
          <w:color w:val="auto"/>
        </w:rPr>
      </w:pPr>
    </w:p>
    <w:p>
      <w:pPr>
        <w:ind w:left="3420" w:right="1620" w:hanging="3412"/>
        <w:spacing w:after="0" w:line="375" w:lineRule="auto"/>
        <w:tabs>
          <w:tab w:leader="none" w:pos="46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500" w:type="dxa"/>
            <w:vAlign w:val="bottom"/>
            <w:gridSpan w:val="3"/>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8"/>
                <w:szCs w:val="18"/>
                <w:b w:val="1"/>
                <w:bCs w:val="1"/>
                <w:color w:val="auto"/>
                <w:w w:val="98"/>
              </w:rPr>
              <w:t>45-3464426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6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jc w:val="center"/>
              <w:ind w:right="20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500" w:type="dxa"/>
            <w:vAlign w:val="bottom"/>
            <w:gridSpan w:val="3"/>
          </w:tcPr>
          <w:p>
            <w:pPr>
              <w:jc w:val="center"/>
              <w:ind w:left="104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tcPr>
          <w:p>
            <w:pPr>
              <w:jc w:val="center"/>
              <w:ind w:right="2046"/>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30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1900 W. Field Court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4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Lake Forest, Illinois 60045</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40" w:type="dxa"/>
            <w:vAlign w:val="bottom"/>
            <w:gridSpan w:val="4"/>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Telephone: (800) 879-5067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40" w:type="dxa"/>
            <w:vAlign w:val="bottom"/>
            <w:gridSpan w:val="7"/>
          </w:tcPr>
          <w:p>
            <w:pPr>
              <w:jc w:val="center"/>
              <w:ind w:left="3441"/>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500" w:type="dxa"/>
            <w:vAlign w:val="bottom"/>
            <w:gridSpan w:val="3"/>
            <w:vMerge w:val="continue"/>
          </w:tcPr>
          <w:p>
            <w:pPr>
              <w:spacing w:after="0"/>
              <w:rPr>
                <w:sz w:val="22"/>
                <w:szCs w:val="22"/>
                <w:color w:val="auto"/>
              </w:rPr>
            </w:pPr>
          </w:p>
        </w:tc>
        <w:tc>
          <w:tcPr>
            <w:tcW w:w="2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0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3"/>
            <w:vMerge w:val="continue"/>
          </w:tcPr>
          <w:p>
            <w:pPr>
              <w:spacing w:after="0"/>
              <w:rPr>
                <w:sz w:val="15"/>
                <w:szCs w:val="15"/>
                <w:color w:val="auto"/>
              </w:rPr>
            </w:pPr>
          </w:p>
        </w:tc>
        <w:tc>
          <w:tcPr>
            <w:tcW w:w="3240" w:type="dxa"/>
            <w:vAlign w:val="bottom"/>
            <w:gridSpan w:val="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REYN</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tcPr>
          <w:p>
            <w:pPr>
              <w:jc w:val="center"/>
              <w:ind w:right="14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20"/>
        <w:spacing w:after="0" w:line="26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2022, the registrant had 209,862,658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880" w:type="dxa"/>
            <w:vAlign w:val="bottom"/>
            <w:vMerge w:val="continue"/>
          </w:tcPr>
          <w:p>
            <w:pPr>
              <w:spacing w:after="0"/>
              <w:rPr>
                <w:sz w:val="15"/>
                <w:szCs w:val="15"/>
                <w:color w:val="auto"/>
              </w:rPr>
            </w:pPr>
          </w:p>
        </w:tc>
        <w:tc>
          <w:tcPr>
            <w:tcW w:w="9740" w:type="dxa"/>
            <w:vAlign w:val="bottom"/>
            <w:gridSpan w:val="21"/>
            <w:vMerge w:val="continue"/>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32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2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and nine months ended September 30, 2022 and 2021</w:t>
            </w:r>
          </w:p>
        </w:tc>
        <w:tc>
          <w:tcPr>
            <w:tcW w:w="15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nine months ended September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94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September 30, 2022 and December 31, 2021</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92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2022 and 2021</w:t>
            </w:r>
          </w:p>
        </w:tc>
        <w:tc>
          <w:tcPr>
            <w:tcW w:w="52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7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3040" w:type="dxa"/>
            <w:vAlign w:val="bottom"/>
            <w:tcBorders>
              <w:top w:val="single" w:sz="8" w:color="0000EE"/>
            </w:tcBorders>
            <w:gridSpan w:val="3"/>
          </w:tcPr>
          <w:p>
            <w:pPr>
              <w:spacing w:after="0"/>
              <w:rPr>
                <w:sz w:val="18"/>
                <w:szCs w:val="18"/>
                <w:color w:val="auto"/>
              </w:rPr>
            </w:pPr>
          </w:p>
        </w:tc>
        <w:tc>
          <w:tcPr>
            <w:tcW w:w="19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8"/>
                <w:szCs w:val="18"/>
                <w:color w:val="auto"/>
              </w:rPr>
            </w:pPr>
          </w:p>
        </w:tc>
        <w:tc>
          <w:tcPr>
            <w:tcW w:w="330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96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86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8"/>
                <w:szCs w:val="18"/>
                <w:color w:val="auto"/>
              </w:rPr>
            </w:pPr>
          </w:p>
        </w:tc>
        <w:tc>
          <w:tcPr>
            <w:tcW w:w="842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00" w:type="dxa"/>
            <w:vAlign w:val="bottom"/>
            <w:gridSpan w:val="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2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9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8"/>
                <w:szCs w:val="18"/>
                <w:color w:val="auto"/>
              </w:rPr>
            </w:pPr>
          </w:p>
        </w:tc>
        <w:tc>
          <w:tcPr>
            <w:tcW w:w="8440" w:type="dxa"/>
            <w:vAlign w:val="bottom"/>
            <w:gridSpan w:val="1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980" w:type="dxa"/>
            <w:vAlign w:val="bottom"/>
            <w:gridSpan w:val="19"/>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2021 and as updated in our Quarterly Reports on Form 10-Q. You should specifically consider the numerous risks outlined in those “Risk Factors” sections. These risks and uncertainties include factors related to:</w:t>
      </w:r>
    </w:p>
    <w:p>
      <w:pPr>
        <w:spacing w:after="0" w:line="86" w:lineRule="exact"/>
        <w:rPr>
          <w:sz w:val="20"/>
          <w:szCs w:val="20"/>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or a phase-out or replacement of the LIBO rate as an interest rate benchmark.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2021 which was filed on February 9, 2022, under Part I, Item 1A. “Risk Factors” and as updated in our Quarterly Reports on Form 10-Q.</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74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8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FF0FC"/>
            </w:tcBorders>
          </w:tcPr>
          <w:p>
            <w:pPr>
              <w:spacing w:after="0"/>
              <w:rPr>
                <w:sz w:val="19"/>
                <w:szCs w:val="19"/>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(2,199)</w:t>
            </w: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(1,952)</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r>
      <w:tr>
        <w:trPr>
          <w:trHeight w:val="26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58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7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benefit plans</w:t>
            </w:r>
          </w:p>
        </w:tc>
        <w:tc>
          <w:tcPr>
            <w:tcW w:w="7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3"/>
                <w:szCs w:val="13"/>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18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$808 and $752)</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2,000 shares authorized; 210 shares issued and</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6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820" w:type="dxa"/>
            <w:vAlign w:val="bottom"/>
            <w:tcBorders>
              <w:top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820" w:type="dxa"/>
            <w:vAlign w:val="bottom"/>
            <w:tcBorders>
              <w:top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820" w:type="dxa"/>
            <w:vAlign w:val="bottom"/>
            <w:tcBorders>
              <w:top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820" w:type="dxa"/>
            <w:vAlign w:val="bottom"/>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820" w:type="dxa"/>
            <w:vAlign w:val="bottom"/>
            <w:tcBorders>
              <w:top w:val="single" w:sz="8" w:color="auto"/>
            </w:tcBorders>
            <w:shd w:val="clear" w:color="auto" w:fill="CFF0FC"/>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820" w:type="dxa"/>
            <w:vAlign w:val="bottom"/>
            <w:tcBorders>
              <w:top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82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Dividends ($0.23 per share declared and paid)</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82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0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6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9"/>
                <w:szCs w:val="19"/>
                <w:color w:val="auto"/>
              </w:rPr>
            </w:pPr>
          </w:p>
        </w:tc>
        <w:tc>
          <w:tcPr>
            <w:tcW w:w="66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Related party payables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6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w:t>
            </w: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2021,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2022, we entered into an accounts receivable factoring agreement with JP Morgan Chase Bank, N.A. to sell certain accounts receivable up to $190 million. The outstanding balance owed under the factoring arrangement as of September 30, 2022 was $70 million. Transactions under this agreement are accounted for as sales of accounts receivable, and the receivables sold are removed from the condensed consolidated balance sheet at the time of the sales transaction. We classify proceeds received from the sales of accounts receivable as an operating cash flow in the condensed consolidated statement of cash flows. We record the discount as other expense, net in the condensed consolidated statement of income.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Facilitation of the Effects of Reference Rate Reform on Financial Reporting</w:t>
      </w:r>
      <w:r>
        <w:rPr>
          <w:rFonts w:ascii="Times New Roman" w:cs="Times New Roman" w:eastAsia="Times New Roman" w:hAnsi="Times New Roman"/>
          <w:sz w:val="18"/>
          <w:szCs w:val="18"/>
          <w:color w:val="auto"/>
        </w:rPr>
        <w:t>, which provides optional expedients and exceptions to applying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on contract modifications, hedge accounting, and other transactions, to simplify the accounting for transitioning from the London Interbank Offered Rate, and other interbank offered rates expected to be discontinued, to alternative reference rates. This ASU was effective upon its issuance and can be applied prospectively through December 31, 2022. We are currently assessing the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Spare parts</w:t>
            </w:r>
          </w:p>
        </w:tc>
        <w:tc>
          <w:tcPr>
            <w:tcW w:w="2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Debt</w:t>
            </w:r>
          </w:p>
        </w:tc>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4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5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issue discounts</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 During September 2020, May 2022 and August 2022, we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Facility matures in February 2025 and includes a sub-facility for letters of credit. As of September 30, 2022, we had no outstanding borrowings under the Revolving Facility, and we had $7 million of letters of credit outstanding, which reduces the borrowing capacity under the Revolving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September 30, 2022, which is a Level 2 fair value measurement, approximates the carrying value due to the variable market interest rate and the stability of our credit profile.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2020, we entered into a series of interest rate swaps which fixed the LIBO rate to an annual rate of 0.18% to 0.47% (for an annual effective interest rate of 1.93% to 2.22%, including margin) for an aggregate notional amount of $1,650 million, of which $150 million notional value was still in effect as of September 30, 2022. In May 2022, we entered into additional interest rate swaps which fixed the LIBO rate to an annual rate of 2.70% to 2.74% (for an annual effective interest rate of 4.45% to 4.49%, including margin) for an aggregate notional amount of $600 million. In August 2022, we entered into additional interest rate swaps which fixed the LIBO rate to an annual rate of 3.42% to 3.44% (for an annual effective interest rate of 5.17% to 5.19%, including margin) for an aggregate notional amount of $400 million. As of September 30, 2022, we had interest rate swaps of an aggregate notional amount of $1,150 million.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September 30, 2022 hedge a portion of the interest rate exposure resulting from our Term Loan Facility for periods ranging from three to four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 Current Asset</w:t>
            </w:r>
          </w:p>
        </w:tc>
        <w:tc>
          <w:tcPr>
            <w:tcW w:w="200" w:type="dxa"/>
            <w:vAlign w:val="bottom"/>
          </w:tcPr>
          <w:p>
            <w:pPr>
              <w:spacing w:after="0"/>
              <w:rPr>
                <w:sz w:val="13"/>
                <w:szCs w:val="13"/>
                <w:color w:val="auto"/>
              </w:rPr>
            </w:pP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Non-Current</w:t>
            </w:r>
          </w:p>
        </w:tc>
        <w:tc>
          <w:tcPr>
            <w:tcW w:w="0" w:type="dxa"/>
            <w:vAlign w:val="bottom"/>
          </w:tcPr>
          <w:p>
            <w:pPr>
              <w:spacing w:after="0"/>
              <w:rPr>
                <w:sz w:val="1"/>
                <w:szCs w:val="1"/>
                <w:color w:val="auto"/>
              </w:rPr>
            </w:pPr>
          </w:p>
        </w:tc>
      </w:tr>
      <w:tr>
        <w:trPr>
          <w:trHeight w:val="109"/>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Effective Rate</w:t>
            </w:r>
          </w:p>
        </w:tc>
        <w:tc>
          <w:tcPr>
            <w:tcW w:w="20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64"/>
        </w:trPr>
        <w:tc>
          <w:tcPr>
            <w:tcW w:w="22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2022</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2.19% to 5.19%</w:t>
            </w:r>
          </w:p>
        </w:tc>
        <w:tc>
          <w:tcPr>
            <w:tcW w:w="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4.42%</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22"/>
                <w:szCs w:val="22"/>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1.93% to 2.22%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before tax effect of our interest rate derivatives on accumulated other comprehensive income and the condensed consolidated statements of income: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 of Gain (Loss) Recognized in 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 of Gain (Loss) Reclassified From</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1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Into</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00" w:type="dxa"/>
            <w:vAlign w:val="bottom"/>
          </w:tcPr>
          <w:p>
            <w:pPr>
              <w:spacing w:after="0"/>
              <w:rPr>
                <w:sz w:val="7"/>
                <w:szCs w:val="7"/>
                <w:color w:val="auto"/>
              </w:rPr>
            </w:pPr>
          </w:p>
        </w:tc>
        <w:tc>
          <w:tcPr>
            <w:tcW w:w="3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2"/>
            <w:vMerge w:val="restart"/>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64"/>
        </w:trPr>
        <w:tc>
          <w:tcPr>
            <w:tcW w:w="4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three months ended September 30,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 the three months ended September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the nine months ended September 30,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 the nine months ended September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(the “IPO Condition”), which was satisfied when we completed our IPO on February 4, 2020, and a service-based vesting condition, which will be satisfied with respect to one-third of an employee’s RSUs on each anniversary from the date of our IPO for three consecutive years, subject to the employee’s continued employment through the applicable vesting date.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established an equity incentive plan for purposes of granting stock-based compensation awards to certain members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nine months ended September 30, 2022, zero and 0.2 million RSUs and zero and 0.2 million PSUs were granted, respectively.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stock-based compensation awards representing 0.4 million shares outstanding compared to 0.4 million shares outstanding as of December 31, 2021. Stock-based compensation expense was zero and $4 million for the three and nine months ended September 30, 2022, respectively, and $2 million and $5 million in the comparable prior year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were no legal proceedings pending other than those for which we have determined that the possibility of a material outflow is remote.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 net of income taxes.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 w:type="dxa"/>
            <w:vAlign w:val="bottom"/>
          </w:tcPr>
          <w:p>
            <w:pPr>
              <w:spacing w:after="0"/>
              <w:rPr>
                <w:sz w:val="13"/>
                <w:szCs w:val="13"/>
                <w:color w:val="auto"/>
              </w:rPr>
            </w:pP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68"/>
        </w:trPr>
        <w:tc>
          <w:tcPr>
            <w:tcW w:w="5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4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Employee Benefit Plans</w:t>
            </w: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9"/>
                <w:szCs w:val="9"/>
                <w:color w:val="auto"/>
              </w:rPr>
            </w:pPr>
          </w:p>
        </w:tc>
        <w:tc>
          <w:tcPr>
            <w:tcW w:w="9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020" w:type="dxa"/>
            <w:vAlign w:val="bottom"/>
            <w:tcBorders>
              <w:bottom w:val="single" w:sz="8" w:color="CFF0FC"/>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CFF0FC"/>
            </w:tcBorders>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FF0F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720" w:type="dxa"/>
            <w:vAlign w:val="bottom"/>
            <w:shd w:val="clear" w:color="auto" w:fill="CFF0FC"/>
          </w:tcPr>
          <w:p>
            <w:pPr>
              <w:jc w:val="right"/>
              <w:ind w:right="5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2,741</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2,546</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2,555</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24"/>
                <w:szCs w:val="24"/>
                <w:color w:val="auto"/>
              </w:rPr>
            </w:pPr>
          </w:p>
        </w:tc>
        <w:tc>
          <w:tcPr>
            <w:tcW w:w="7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40" w:type="dxa"/>
            <w:vAlign w:val="bottom"/>
          </w:tcPr>
          <w:p>
            <w:pPr>
              <w:spacing w:after="0"/>
              <w:rPr>
                <w:sz w:val="12"/>
                <w:szCs w:val="12"/>
                <w:color w:val="auto"/>
              </w:rPr>
            </w:pPr>
          </w:p>
        </w:tc>
        <w:tc>
          <w:tcPr>
            <w:tcW w:w="7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4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4"/>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5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50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66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8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56"/>
        </w:trPr>
        <w:tc>
          <w:tcPr>
            <w:tcW w:w="5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15"/>
                <w:szCs w:val="15"/>
                <w:color w:val="auto"/>
              </w:rPr>
              <w:t>(1)</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Cooking products</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Tableware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Unallocated</w:t>
            </w:r>
          </w:p>
        </w:tc>
        <w:tc>
          <w:tcPr>
            <w:tcW w:w="7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Transactions between us and PEI Group are described below.</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2022, revenues from products sold to PEI Group were $29 million and $77 million, respectively, compared to $29 million and $79 million in the comparable prior year periods. For the three and nine months ended September 30, 2022, products purchased from PEI Group were $101 million and $294 million, respectively, compared to $85 million and $247 million in the comparable prior year periods. For the three and nine months ended September 30, 2022, PEI Group charged us freight and warehousing costs of $12 million and $42 million, respectively, compared to $14 million and $44 million in the comparable prior year periods, which were included in cost of sales. The resulting related party receivables and payables are settled regularly in the normal course of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September 30, 2022 and September 30, 2021, and $107 million of the dividends paid during each of the nine months ended September 30, 2022 and September 30, 2021, were paid to PFL.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27, 2022, our Board of Directors approved a cash dividend of $0.23 per common share to be paid on November 30, 2022 to shareholders of record on November 16,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September 30, 2022 which would require accrual or disclosure in these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760" w:hanging="253"/>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produce branded and store brand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w:t>
      </w:r>
    </w:p>
    <w:p>
      <w:pPr>
        <w:spacing w:after="0" w:line="80" w:lineRule="exact"/>
        <w:rPr>
          <w:rFonts w:ascii="Times New Roman" w:cs="Times New Roman" w:eastAsia="Times New Roman" w:hAnsi="Times New Roman"/>
          <w:sz w:val="18"/>
          <w:szCs w:val="18"/>
          <w:color w:val="auto"/>
        </w:rPr>
      </w:pPr>
    </w:p>
    <w:p>
      <w:pPr>
        <w:jc w:val="both"/>
        <w:ind w:left="760" w:hanging="253"/>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79"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75" w:lineRule="exact"/>
        <w:rPr>
          <w:rFonts w:ascii="Times New Roman" w:cs="Times New Roman" w:eastAsia="Times New Roman" w:hAnsi="Times New Roman"/>
          <w:sz w:val="18"/>
          <w:szCs w:val="18"/>
          <w:color w:val="auto"/>
        </w:rPr>
      </w:pPr>
    </w:p>
    <w:p>
      <w:pPr>
        <w:jc w:val="both"/>
        <w:ind w:left="760" w:hanging="253"/>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increased 7% and 8% in the three and nine months ended September 30, 2022, respectively, compared to the same periods in 2021. The revenue increase in both periods was primarily due to higher pricing as a result of pricing actions taken in response to increased material, manufacturing and logistics costs, partially offset by lower volume.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experienced significant increases in material costs as well as increases in manufacturing, logistics and advertising costs in the three and nine months ended September 30, 2022, compared to the same prior year periods. We have aggressively implemented price increases in an effort to recover these costs and maintain our profitability. Our earnings decline in the three months ended September 30, 2022 compared to the same prior year period was primarily attributable to lower volume, higher personnel costs and higher advertising costs. Our earnings decline in the nine months ended September 30, 2022 compared to the same prior year period was primarily attributable to lower volume, the timing of price actions lagging increased material, manufacturing and logistics costs, as well as higher advertising costs.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Reynolds Cooking &amp; Baking segment experienced unplanned equipment downtime in the third quarter, impacting throughput of non-retail shipments and manufacturing costs and extending the timeline for reduction of higher cost aluminum inventory. While most of these issues are temporary in nature, we are implementing operational changes to address all of them.</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We define Adjusted Net Income and Adjusted EPS as Net Income and Earnings Per Share calculated in accordance with GAAP, plus IPO and separation-related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7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9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55"/>
        </w:trPr>
        <w:tc>
          <w:tcPr>
            <w:tcW w:w="5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780" w:type="dxa"/>
            <w:vAlign w:val="bottom"/>
            <w:shd w:val="clear" w:color="auto" w:fill="CFF0FC"/>
          </w:tcPr>
          <w:p>
            <w:pPr>
              <w:jc w:val="right"/>
              <w:ind w:right="6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20" w:type="dxa"/>
            <w:vAlign w:val="bottom"/>
            <w:shd w:val="clear" w:color="auto" w:fill="CFF0FC"/>
          </w:tcPr>
          <w:p>
            <w:pPr>
              <w:spacing w:after="0"/>
              <w:rPr>
                <w:sz w:val="19"/>
                <w:szCs w:val="19"/>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r>
      <w:tr>
        <w:trPr>
          <w:trHeight w:val="223"/>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2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IPO process, as well as costs related to our separation to operate as a stand-alone public company. These costs are included in Other expense, net in our condensed consolidated statements of income.</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reconciliations of our net income and diluted EPS, the most directly comparable GAAP financial measures, to Adjusted Net Income and Adjusted Diluted EPS: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7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20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340" w:type="dxa"/>
            <w:vAlign w:val="bottom"/>
            <w:tcBorders>
              <w:top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3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60" w:hanging="552"/>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24.0% and 24.6% for the three months ended September 30, 2022 and 2021, respectively, which is our effective tax rate for the periods presented.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36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20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15"/>
                <w:szCs w:val="15"/>
                <w:color w:val="auto"/>
              </w:rPr>
              <w:t>(1)</w:t>
            </w:r>
          </w:p>
        </w:tc>
        <w:tc>
          <w:tcPr>
            <w:tcW w:w="13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right="2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24.5% and 24.6% for the nine months ended September 30, 2022 and 2021, respectively, which is our effective tax rate for the periods presented.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 for the three months ended September 30:</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for the three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132"/>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38"/>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8" w:name="page19"/>
    <w:bookmarkEnd w:id="18"/>
    <w:p>
      <w:pPr>
        <w:ind w:left="16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with the Three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9"/>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2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2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2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2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line="20" w:lineRule="exact"/>
              <w:rPr>
                <w:sz w:val="1"/>
                <w:szCs w:val="1"/>
                <w:color w:val="auto"/>
              </w:rPr>
            </w:pPr>
          </w:p>
        </w:tc>
      </w:tr>
      <w:tr>
        <w:trPr>
          <w:trHeight w:val="243"/>
        </w:trPr>
        <w:tc>
          <w:tcPr>
            <w:tcW w:w="382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2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2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5"/>
                <w:szCs w:val="15"/>
                <w:b w:val="1"/>
                <w:bCs w:val="1"/>
                <w:color w:val="auto"/>
              </w:rPr>
              <w:t>(1)</w:t>
            </w:r>
          </w:p>
        </w:tc>
        <w:tc>
          <w:tcPr>
            <w:tcW w:w="60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vMerge w:val="restart"/>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1140" w:type="dxa"/>
            <w:vAlign w:val="bottom"/>
            <w:tcBorders>
              <w:top w:val="single" w:sz="8" w:color="CFF0FC"/>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2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880" w:right="20" w:hanging="508"/>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 EBITDA.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September 30, 2022 vs. the Three Months Ended September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40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FF0FC"/>
            </w:tcBorders>
          </w:tcPr>
          <w:p>
            <w:pPr>
              <w:spacing w:after="0"/>
              <w:rPr>
                <w:sz w:val="15"/>
                <w:szCs w:val="15"/>
                <w:color w:val="auto"/>
              </w:rPr>
            </w:pPr>
          </w:p>
        </w:tc>
      </w:tr>
      <w:tr>
        <w:trPr>
          <w:trHeight w:val="22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17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r>
    </w:tbl>
    <w:p>
      <w:pPr>
        <w:spacing w:after="0" w:line="2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$62 million, or 7%, to $967 million. The increase was primarily driven by higher pricing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actions taken in response to increased material,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$66 million, or 9%, to $789 million. The increase was driven by an increase of $81 million in material costs,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increased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$13 million, or 17%, to $90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personnel costs and advertising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flat.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$8 million, or 67%, to $20 million due to higher interest rates.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$15 million on income before income taxes of $63 million (an effective tax rate of 24.0%)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2022 compared to income tax expense of $22 million on income before income taxes of $88 million (an effective tax rate of 25.6%) for the three months ended September 30, 2021.</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$16 million, or 12%, to $116 million. The decrease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higher personnel costs and higher advertising costs. Price increases offset higher material, manufacturing and logistics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shd w:val="clear" w:color="auto" w:fill="CFF0FC"/>
          </w:tcPr>
          <w:p>
            <w:pPr>
              <w:jc w:val="center"/>
              <w:ind w:left="7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were flat. Lower non-retail and household foil volumes were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higher pricing as a result of pricing actions taken in response to increased material, manufacturing and logistics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$23 million, or 41%, to $33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and higher material and manufacturing costs, which were partially offset by price increases.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were flat. Higher pricing due to pricing actions taken in response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material, manufacturing and logistics costs were offset by lower waste and slider bag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$7 million, or 19%, to $44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timing of price increases to recover higher material, manufacturing and logistics costs, partially offset by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$55 million, or 28%, to $251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as a result of pricing actions taken in response to increased material, manufacturing and logistics costs, as well as higher volume driven by continued strength in the club channel and new products.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 million, or 4%, to $24 million. The slight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increased material, manufacturing and logistics costs, mostly offset by higher pricing and higher volume.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FF0FC"/>
            </w:tcBorders>
            <w:vMerge w:val="continue"/>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$4 million, or 3%, to $155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pricing implemented in response to increased material, manufacturing and logistics costs, partially offset by lower waste and food bag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$9 million, or 64%, to $23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price increases to recover higher material, manufacturing and logistics costs, partially offset by lower volume.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1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2"/>
                <w:szCs w:val="12"/>
                <w:b w:val="1"/>
                <w:bCs w:val="1"/>
                <w:color w:val="auto"/>
              </w:rPr>
              <w:t>(1)</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73"/>
        </w:trPr>
        <w:tc>
          <w:tcPr>
            <w:tcW w:w="5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 for the nine months ended September 30:</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for the nine months ended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132"/>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jc w:val="right"/>
              <w:ind w:right="4692"/>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0" w:type="dxa"/>
            <w:vAlign w:val="bottom"/>
          </w:tcPr>
          <w:p>
            <w:pPr>
              <w:jc w:val="right"/>
              <w:ind w:right="4692"/>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5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37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Compared with the Nine Months Ended September 30,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8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20" w:type="dxa"/>
            <w:vAlign w:val="bottom"/>
            <w:vMerge w:val="continue"/>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20" w:type="dxa"/>
            <w:vAlign w:val="bottom"/>
            <w:vMerge w:val="continue"/>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20" w:type="dxa"/>
            <w:vAlign w:val="bottom"/>
            <w:vMerge w:val="continue"/>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5"/>
                <w:szCs w:val="15"/>
                <w:b w:val="1"/>
                <w:bCs w:val="1"/>
                <w:color w:val="auto"/>
              </w:rPr>
              <w:t>(1)</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vMerge w:val="restart"/>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20" w:type="dxa"/>
            <w:vAlign w:val="bottom"/>
            <w:vMerge w:val="continue"/>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Nine Months Ended September 30, 2022 vs.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3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tcPr>
          <w:p>
            <w:pPr>
              <w:spacing w:after="0"/>
              <w:rPr>
                <w:sz w:val="15"/>
                <w:szCs w:val="15"/>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6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16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bl>
    <w:p>
      <w:pPr>
        <w:spacing w:after="0" w:line="2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$195 million, or 8%, to $2,729 million. The increase was primarily driven by higher pricing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pricing actions taken in response to increased material,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$247 million, or 13%, to $2,199 million. The increase was driven by an increase of $283 million in material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increased manufacturing and logistics costs, partially offset by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$20 million, or 8%, to $264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advertising expense and personnel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$7 million, or 70%, to $17 million primarily due to changes in our deferred compensation plan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$12 million, or 33%, to $48 million primarily due to higher interest rates.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$49 million on income before income taxes of $201 million (an effective tax rate of 24.5%)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2022 compared to income tax expense of $72 million on income before income taxes of $292 million (an effective tax rate of 24.8%) for the nine months ended September 30, 2021.</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$74 million, or 18%, to $346 million. The decrease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volume, the timing of price actions lagging increased material, manufacturing and logistics costs, as well as higher advertising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73"/>
              </w:rPr>
              <w:t>(13)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$13 million, or 1%, to $889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driven by lower household foil and non-retail volumes, as well as timing of retailer inventory replenishment, partially offset by higher pricing as a result of pricing actions taken in response to increased material, manufacturing and logistics costs.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$70 million, or 42%, to $97 million. The decrease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as well as pricing actions lagging material, manufacturing and logistics cost increases.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$53 million, or 8%, to $704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manufacturing and logistics costs, partially offset by lower volume.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$8 million, or 6%, to $135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pricing, partially offset by higher material, manufacturing and logistics costs as well as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1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$119 million, or 20%, to $701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higher pricing as a result of pricing actions taken in response to increased material, manufacturing and logistics costs, as well as higher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$32 million, or 31%, to $72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pricing actions lagging material, manufacturing and logistics costs, partially offset by higher volume.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$27 million, or 6%, to $447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pricing actions taken in response to increased material, manufacturing and logistics costs, partially offset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$15 million, or 29%, to $67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price increases to recover higher material, manufacturing and logistics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3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878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55"/>
        </w:trPr>
        <w:tc>
          <w:tcPr>
            <w:tcW w:w="778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$4 million, to $118 million in the nine months ended September 30, 2022. </w:t>
      </w:r>
      <w:r>
        <w:rPr>
          <w:rFonts w:ascii="Times New Roman" w:cs="Times New Roman" w:eastAsia="Times New Roman" w:hAnsi="Times New Roman"/>
          <w:sz w:val="18"/>
          <w:szCs w:val="18"/>
          <w:color w:val="212529"/>
        </w:rPr>
        <w:t>The decrease was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driven by </w:t>
      </w:r>
      <w:r>
        <w:rPr>
          <w:rFonts w:ascii="Times New Roman" w:cs="Times New Roman" w:eastAsia="Times New Roman" w:hAnsi="Times New Roman"/>
          <w:sz w:val="18"/>
          <w:szCs w:val="18"/>
          <w:color w:val="000000"/>
        </w:rPr>
        <w:t>lower net income, partially offset by $70 million of cash inflows related to our accounts receivable factoring arrangement in the current year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period as well as lower net cash outlays related to employee costs in the current year period, compared to the prior year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$15 million to $86 million. The decrease was driven primarily by a purchase of a previously leased manufacturing facility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$100 million, to $163 million. The decrease was attributable to a voluntary payment of debt made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outstanding balance under the Term Loan Facility was $2,113 million. As of September 30, 2022, we had no outstanding borrowings under the Revolving Facility, and we had $7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$150 million notional value was still in effect as of September 30, 2022. In May 2022, we entered into additional interest rate swaps which fixed the LIBO rate to an annual rate of 2.70% to 2.74% (for an annual effective interest rate of 4.45% to 4.49%, including margin) for an aggregate notional amount of $600 million. In August 2022, we entered into additional interest rate swaps which fixed the LIBO rate to an annual rate of 3.42% to 3.44% (for an annual effective interest rate of 5.17% to 5.19%, including margin) for an aggregate notional amount of $400 million. As of September 30, 2022, we had interest rate swaps of an aggregate notional amount of $1,150 million. The interest rate swaps outstanding as of September 30, 2022 hedge a portion of the interest rate exposure resulting from our Term Loan Facility for periods ranging from three to four years.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LIBO rate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May 2022, we entered into an accounts receivable factoring agreement with JP Morgan Chase Bank, N.A. to sell certain accounts receivable up to $190 million. The outstanding balance owed under the factoring arrangement as of September 30, 2022 was $70 million.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cash dividends of $0.23 and $0.69 per share, respectively, were declared and paid. On October 27, 2022, a quarterly cash dividend of $0.23 per share was declared and is to be paid on November 30, 2022.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2021. During the nine months ended September 30, 2022,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September 30, 2022. Based on that evaluation, our Chief Executive Officer and Chief Financial Officer have concluded that, as of September 30, 2022, our disclosure controls and procedures were effective.</w:t>
      </w:r>
    </w:p>
    <w:p>
      <w:pPr>
        <w:spacing w:after="0" w:line="72"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0" w:type="dxa"/>
            <w:vAlign w:val="bottom"/>
          </w:tcPr>
          <w:p>
            <w:pPr>
              <w:spacing w:after="0"/>
              <w:rPr>
                <w:sz w:val="1"/>
                <w:szCs w:val="1"/>
                <w:color w:val="auto"/>
              </w:rPr>
            </w:pPr>
          </w:p>
        </w:tc>
      </w:tr>
      <w:tr>
        <w:trPr>
          <w:trHeight w:val="353"/>
        </w:trPr>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10200" w:type="dxa"/>
            <w:vAlign w:val="bottom"/>
            <w:tcBorders>
              <w:top w:val="single" w:sz="8" w:color="auto"/>
              <w:bottom w:val="single" w:sz="8" w:color="0000EE"/>
            </w:tcBorders>
            <w:gridSpan w:val="6"/>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Amended and Restated Certificate of Incorporation (incorporated herein by reference to Exhibit 3.1 to the Company’s Current Report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8-K filed with the SEC on February 4, 2020)</w:t>
              </w:r>
            </w:hyperlink>
          </w:p>
        </w:tc>
        <w:tc>
          <w:tcPr>
            <w:tcW w:w="65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Amended and Restated By-Laws (incorporated herein by reference to Exhibit 3.2 to the Company’s Current Report on Form 8-K filed with</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the SEC on February 4, 2020)</w:t>
              </w:r>
            </w:hyperlink>
          </w:p>
        </w:tc>
        <w:tc>
          <w:tcPr>
            <w:tcW w:w="80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10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40" w:hanging="1032"/>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November 8, 2022</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54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Graham,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340" w:val="left"/>
          <w:tab w:leader="none" w:pos="77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34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2022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34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September 30, 2022 as filed with the Securities and Exchange Commission on the date hereof (the “Report”), I, Michael Graham, Chief Financial Officer, certify, pursuant to 18 U.S.C. § 1350, as adopted pursuant to §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2"/>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8" Type="http://schemas.openxmlformats.org/officeDocument/2006/relationships/hyperlink" Target="http://www.sec.gov/Archives/edgar/data/0001786431/000119312520024304/d874780dex31.htm" TargetMode="External"/><Relationship Id="rId49" Type="http://schemas.openxmlformats.org/officeDocument/2006/relationships/hyperlink" Target="http://www.sec.gov/Archives/edgar/data/0001786431/000119312520024304/d87478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2022-11-08T08:20:23Z</dcterms:created>
  <dcterms:modified xsi:type="dcterms:W3CDTF">2022-11-08T08:20:23Z</dcterms:modified>
</cp:coreProperties>
</file>