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4F81BD"/>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743585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760730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6" w:lineRule="exact"/>
        <w:rPr>
          <w:sz w:val="24"/>
          <w:szCs w:val="24"/>
          <w:color w:val="auto"/>
        </w:rPr>
      </w:pPr>
    </w:p>
    <w:p>
      <w:pPr>
        <w:jc w:val="center"/>
        <w:ind w:right="-1100"/>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100"/>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ind w:left="4520"/>
        <w:spacing w:after="0"/>
        <w:rPr>
          <w:sz w:val="20"/>
          <w:szCs w:val="20"/>
          <w:color w:val="auto"/>
        </w:rPr>
      </w:pPr>
      <w:r>
        <w:rPr>
          <w:rFonts w:ascii="Arial" w:cs="Arial" w:eastAsia="Arial" w:hAnsi="Arial"/>
          <w:sz w:val="22"/>
          <w:szCs w:val="22"/>
          <w:b w:val="1"/>
          <w:bCs w:val="1"/>
          <w:color w:val="auto"/>
        </w:rPr>
        <w:t>Washington, D.C. 20549</w:t>
      </w:r>
    </w:p>
    <w:p>
      <w:pPr>
        <w:spacing w:after="0" w:line="111" w:lineRule="exact"/>
        <w:rPr>
          <w:sz w:val="24"/>
          <w:szCs w:val="24"/>
          <w:color w:val="auto"/>
        </w:rPr>
      </w:pPr>
    </w:p>
    <w:p>
      <w:pPr>
        <w:jc w:val="center"/>
        <w:ind w:right="-1100"/>
        <w:spacing w:after="0"/>
        <w:rPr>
          <w:sz w:val="20"/>
          <w:szCs w:val="20"/>
          <w:color w:val="auto"/>
        </w:rPr>
      </w:pPr>
      <w:r>
        <w:rPr>
          <w:rFonts w:ascii="Arial" w:cs="Arial" w:eastAsia="Arial" w:hAnsi="Arial"/>
          <w:sz w:val="29"/>
          <w:szCs w:val="29"/>
          <w:b w:val="1"/>
          <w:bCs w:val="1"/>
          <w:color w:val="auto"/>
        </w:rPr>
        <w:t>SCHEDULE 14A</w:t>
      </w:r>
    </w:p>
    <w:p>
      <w:pPr>
        <w:spacing w:after="0" w:line="195" w:lineRule="exact"/>
        <w:rPr>
          <w:sz w:val="24"/>
          <w:szCs w:val="24"/>
          <w:color w:val="auto"/>
        </w:rPr>
      </w:pPr>
    </w:p>
    <w:p>
      <w:pPr>
        <w:jc w:val="center"/>
        <w:ind w:right="-1100"/>
        <w:spacing w:after="0"/>
        <w:rPr>
          <w:sz w:val="20"/>
          <w:szCs w:val="20"/>
          <w:color w:val="auto"/>
        </w:rPr>
      </w:pPr>
      <w:r>
        <w:rPr>
          <w:rFonts w:ascii="Arial" w:cs="Arial" w:eastAsia="Arial" w:hAnsi="Arial"/>
          <w:sz w:val="20"/>
          <w:szCs w:val="20"/>
          <w:color w:val="auto"/>
        </w:rPr>
        <w:t>Proxy Statement Pursuant to Section 14(a) of the Securities</w:t>
      </w:r>
    </w:p>
    <w:p>
      <w:pPr>
        <w:spacing w:after="0" w:line="16" w:lineRule="exact"/>
        <w:rPr>
          <w:sz w:val="24"/>
          <w:szCs w:val="24"/>
          <w:color w:val="auto"/>
        </w:rPr>
      </w:pPr>
    </w:p>
    <w:p>
      <w:pPr>
        <w:jc w:val="center"/>
        <w:ind w:right="-1100"/>
        <w:spacing w:after="0"/>
        <w:rPr>
          <w:sz w:val="20"/>
          <w:szCs w:val="20"/>
          <w:color w:val="auto"/>
        </w:rPr>
      </w:pPr>
      <w:r>
        <w:rPr>
          <w:rFonts w:ascii="Arial" w:cs="Arial" w:eastAsia="Arial" w:hAnsi="Arial"/>
          <w:sz w:val="20"/>
          <w:szCs w:val="20"/>
          <w:color w:val="auto"/>
        </w:rPr>
        <w:t>Exchange Act of 1934 (Amendment No. )</w:t>
      </w:r>
    </w:p>
    <w:p>
      <w:pPr>
        <w:spacing w:after="0" w:line="8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Filed by the Registrant </w:t>
      </w:r>
      <w:r>
        <w:rPr>
          <w:rFonts w:ascii="MS PGothic" w:cs="MS PGothic" w:eastAsia="MS PGothic" w:hAnsi="MS PGothic"/>
          <w:sz w:val="16"/>
          <w:szCs w:val="16"/>
          <w:color w:val="auto"/>
        </w:rPr>
        <w:t>☒</w:t>
      </w:r>
    </w:p>
    <w:p>
      <w:pPr>
        <w:spacing w:after="0" w:line="4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119"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w:t>
      </w:r>
    </w:p>
    <w:p>
      <w:pPr>
        <w:spacing w:after="0" w:line="59" w:lineRule="exact"/>
        <w:rPr>
          <w:sz w:val="24"/>
          <w:szCs w:val="24"/>
          <w:color w:val="auto"/>
        </w:rPr>
      </w:pPr>
    </w:p>
    <w:p>
      <w:pPr>
        <w:ind w:left="320" w:hanging="312"/>
        <w:spacing w:after="0"/>
        <w:tabs>
          <w:tab w:leader="none" w:pos="3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Preliminary Proxy Statement</w:t>
      </w:r>
    </w:p>
    <w:p>
      <w:pPr>
        <w:spacing w:after="0" w:line="32" w:lineRule="exact"/>
        <w:rPr>
          <w:rFonts w:ascii="MS PGothic" w:cs="MS PGothic" w:eastAsia="MS PGothic" w:hAnsi="MS PGothic"/>
          <w:sz w:val="16"/>
          <w:szCs w:val="16"/>
          <w:color w:val="auto"/>
        </w:rPr>
      </w:pPr>
    </w:p>
    <w:p>
      <w:pPr>
        <w:ind w:right="4539" w:firstLine="8"/>
        <w:spacing w:after="0" w:line="189" w:lineRule="exact"/>
        <w:tabs>
          <w:tab w:leader="none" w:pos="31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 xml:space="preserve">Confidential, for Use of the Commission Only (as permitted by Rule 14a-6(e)(2)) </w:t>
      </w:r>
      <w:r>
        <w:rPr>
          <w:rFonts w:ascii="MS PGothic" w:cs="MS PGothic" w:eastAsia="MS PGothic" w:hAnsi="MS PGothic"/>
          <w:sz w:val="16"/>
          <w:szCs w:val="16"/>
          <w:color w:val="auto"/>
        </w:rPr>
        <w:t>☒</w:t>
      </w:r>
      <w:r>
        <w:rPr>
          <w:rFonts w:ascii="Arial" w:cs="Arial" w:eastAsia="Arial" w:hAnsi="Arial"/>
          <w:sz w:val="16"/>
          <w:szCs w:val="16"/>
          <w:color w:val="auto"/>
        </w:rPr>
        <w:t xml:space="preserve"> Definitive Proxy Statement</w:t>
      </w:r>
    </w:p>
    <w:p>
      <w:pPr>
        <w:ind w:left="320" w:hanging="312"/>
        <w:spacing w:after="0"/>
        <w:tabs>
          <w:tab w:leader="none" w:pos="3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Definitive Additional Materials</w:t>
      </w:r>
    </w:p>
    <w:p>
      <w:pPr>
        <w:spacing w:after="0" w:line="18" w:lineRule="exact"/>
        <w:rPr>
          <w:rFonts w:ascii="MS PGothic" w:cs="MS PGothic" w:eastAsia="MS PGothic" w:hAnsi="MS PGothic"/>
          <w:sz w:val="16"/>
          <w:szCs w:val="16"/>
          <w:color w:val="auto"/>
        </w:rPr>
      </w:pPr>
    </w:p>
    <w:p>
      <w:pPr>
        <w:ind w:left="320" w:hanging="312"/>
        <w:spacing w:after="0"/>
        <w:tabs>
          <w:tab w:leader="none" w:pos="3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under §240.14a-12</w:t>
      </w:r>
    </w:p>
    <w:p>
      <w:pPr>
        <w:spacing w:after="0" w:line="149"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REYNOLDS CONSUMER PRODUCTS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6" w:lineRule="exact"/>
        <w:rPr>
          <w:sz w:val="24"/>
          <w:szCs w:val="24"/>
          <w:color w:val="auto"/>
        </w:rPr>
      </w:pPr>
    </w:p>
    <w:p>
      <w:pPr>
        <w:ind w:left="4060"/>
        <w:spacing w:after="0"/>
        <w:rPr>
          <w:sz w:val="20"/>
          <w:szCs w:val="20"/>
          <w:color w:val="auto"/>
        </w:rPr>
      </w:pPr>
      <w:r>
        <w:rPr>
          <w:rFonts w:ascii="Arial" w:cs="Arial" w:eastAsia="Arial" w:hAnsi="Arial"/>
          <w:sz w:val="16"/>
          <w:szCs w:val="16"/>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3280"/>
        <w:spacing w:after="0"/>
        <w:rPr>
          <w:sz w:val="20"/>
          <w:szCs w:val="20"/>
          <w:color w:val="auto"/>
        </w:rPr>
      </w:pPr>
      <w:r>
        <w:rPr>
          <w:rFonts w:ascii="Arial" w:cs="Arial" w:eastAsia="Arial" w:hAnsi="Arial"/>
          <w:sz w:val="16"/>
          <w:szCs w:val="16"/>
          <w:color w:val="auto"/>
        </w:rPr>
        <w:t>(Name of Person(s) Filing Proxy Statement, if other than the Registrant)</w:t>
      </w:r>
    </w:p>
    <w:p>
      <w:pPr>
        <w:spacing w:after="0" w:line="113" w:lineRule="exact"/>
        <w:rPr>
          <w:sz w:val="24"/>
          <w:szCs w:val="24"/>
          <w:color w:val="auto"/>
        </w:rPr>
      </w:pPr>
    </w:p>
    <w:p>
      <w:pPr>
        <w:spacing w:after="0"/>
        <w:rPr>
          <w:sz w:val="20"/>
          <w:szCs w:val="20"/>
          <w:color w:val="auto"/>
        </w:rPr>
      </w:pPr>
      <w:r>
        <w:rPr>
          <w:rFonts w:ascii="Arial" w:cs="Arial" w:eastAsia="Arial" w:hAnsi="Arial"/>
          <w:sz w:val="16"/>
          <w:szCs w:val="16"/>
          <w:color w:val="auto"/>
        </w:rPr>
        <w:t>Payment of Filing Fee (Check all boxes that apply):</w:t>
      </w:r>
    </w:p>
    <w:p>
      <w:pPr>
        <w:spacing w:after="0" w:line="113" w:lineRule="exact"/>
        <w:rPr>
          <w:sz w:val="24"/>
          <w:szCs w:val="24"/>
          <w:color w:val="auto"/>
        </w:rPr>
      </w:pPr>
    </w:p>
    <w:p>
      <w:pPr>
        <w:ind w:left="320" w:hanging="312"/>
        <w:spacing w:after="0"/>
        <w:tabs>
          <w:tab w:leader="none" w:pos="32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No fee required.</w:t>
      </w:r>
    </w:p>
    <w:p>
      <w:pPr>
        <w:spacing w:after="0" w:line="73" w:lineRule="exact"/>
        <w:rPr>
          <w:sz w:val="24"/>
          <w:szCs w:val="24"/>
          <w:color w:val="auto"/>
        </w:rPr>
      </w:pPr>
    </w:p>
    <w:p>
      <w:pPr>
        <w:ind w:left="320" w:hanging="312"/>
        <w:spacing w:after="0"/>
        <w:tabs>
          <w:tab w:leader="none" w:pos="32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Fee paid previously with preliminary materials</w:t>
      </w:r>
    </w:p>
    <w:p>
      <w:pPr>
        <w:spacing w:after="0" w:line="248" w:lineRule="exact"/>
        <w:rPr>
          <w:rFonts w:ascii="MS PGothic" w:cs="MS PGothic" w:eastAsia="MS PGothic" w:hAnsi="MS PGothic"/>
          <w:sz w:val="16"/>
          <w:szCs w:val="16"/>
          <w:color w:val="auto"/>
        </w:rPr>
      </w:pPr>
    </w:p>
    <w:p>
      <w:pPr>
        <w:ind w:left="320" w:hanging="312"/>
        <w:spacing w:after="0"/>
        <w:tabs>
          <w:tab w:leader="none" w:pos="32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4385945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189230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233"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u w:val="single" w:color="auto"/>
          <w:color w:val="4F81BD"/>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2508250</wp:posOffset>
            </wp:positionH>
            <wp:positionV relativeFrom="paragraph">
              <wp:posOffset>700405</wp:posOffset>
            </wp:positionV>
            <wp:extent cx="2125980" cy="7283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25980" cy="728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Reynolds Consumer Products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1900 W. Field Court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Lake Forest, Illinois 60045</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2023 ANNUAL MEETING OF STOCKHOLDERS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Notice is hereby given that the 2023 Annual Meeting of Stockholders of Reynolds Consumer Products Inc. will be held on Wednesday, April 26, 2023, at 5:00 p.m. Central Time.</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Annual Meeting will be completely virtual. You may attend the meeting, submit questions, and vote your shares electronically during the meeting via live webcast by visiting www.virtualshareholdermeeting.com/REYN2023 and entering the 16-digit control number included on your proxy card or on the instructions that accompanied your proxy materials. Instructions on how to attend and participate in the Annual Meeting via the webcast are posted on this site as well.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purposes of the meeting are the following:</w:t>
      </w:r>
    </w:p>
    <w:p>
      <w:pPr>
        <w:spacing w:after="0" w:line="225" w:lineRule="exact"/>
        <w:rPr>
          <w:sz w:val="20"/>
          <w:szCs w:val="20"/>
          <w:color w:val="auto"/>
        </w:rPr>
      </w:pPr>
    </w:p>
    <w:p>
      <w:pPr>
        <w:ind w:left="640" w:hanging="308"/>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three directors to serve until the 2026 Annual Meeting of Stockholders;</w:t>
      </w:r>
    </w:p>
    <w:p>
      <w:pPr>
        <w:spacing w:after="0" w:line="225" w:lineRule="exact"/>
        <w:rPr>
          <w:rFonts w:ascii="Arial" w:cs="Arial" w:eastAsia="Arial" w:hAnsi="Arial"/>
          <w:sz w:val="18"/>
          <w:szCs w:val="18"/>
          <w:color w:val="auto"/>
        </w:rPr>
      </w:pPr>
    </w:p>
    <w:p>
      <w:pPr>
        <w:ind w:left="660" w:hanging="328"/>
        <w:spacing w:after="0" w:line="277" w:lineRule="auto"/>
        <w:tabs>
          <w:tab w:leader="none" w:pos="67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ratify the appointment of PricewaterhouseCoopers LLP as our independent registered public accounting firm for the year ending December 31, 2023;</w:t>
      </w:r>
    </w:p>
    <w:p>
      <w:pPr>
        <w:spacing w:after="0" w:line="170" w:lineRule="exact"/>
        <w:rPr>
          <w:rFonts w:ascii="Arial" w:cs="Arial" w:eastAsia="Arial" w:hAnsi="Arial"/>
          <w:sz w:val="18"/>
          <w:szCs w:val="18"/>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approve, on an advisory basis, the 2022 compensation of our named executive officers as disclosed in the accompanying Proxy Statement; and</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at any and all adjournments or postponements thereof.</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Only stockholders of record at the close of business on March 1, 2023 will be entitled to vote at the meeting and any adjournment or postponement thereof.</w:t>
      </w:r>
    </w:p>
    <w:p>
      <w:pPr>
        <w:spacing w:after="0" w:line="2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Your vote is important. To ensure that your vote is recorded promptly, please vote as soon as possible by submitting your proxy via the internet at the address listed on the Notice or proxy card, by telephone using the toll-free number listed on the proxy card or by signing, dating and returning the proxy card.</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20" w:type="dxa"/>
            <w:vAlign w:val="bottom"/>
          </w:tcPr>
          <w:p>
            <w:pPr>
              <w:spacing w:after="0"/>
              <w:rPr>
                <w:sz w:val="20"/>
                <w:szCs w:val="20"/>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By Order of the Board of Directors,</w:t>
            </w:r>
          </w:p>
        </w:tc>
      </w:tr>
      <w:tr>
        <w:trPr>
          <w:trHeight w:val="418"/>
        </w:trPr>
        <w:tc>
          <w:tcPr>
            <w:tcW w:w="6420" w:type="dxa"/>
            <w:vAlign w:val="bottom"/>
          </w:tcPr>
          <w:p>
            <w:pPr>
              <w:spacing w:after="0"/>
              <w:rPr>
                <w:sz w:val="24"/>
                <w:szCs w:val="24"/>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/s/ David Watson</w:t>
            </w:r>
          </w:p>
        </w:tc>
      </w:tr>
      <w:tr>
        <w:trPr>
          <w:trHeight w:val="222"/>
        </w:trPr>
        <w:tc>
          <w:tcPr>
            <w:tcW w:w="6420" w:type="dxa"/>
            <w:vAlign w:val="bottom"/>
          </w:tcPr>
          <w:p>
            <w:pPr>
              <w:ind w:left="20"/>
              <w:spacing w:after="0"/>
              <w:rPr>
                <w:sz w:val="20"/>
                <w:szCs w:val="20"/>
                <w:color w:val="auto"/>
              </w:rPr>
            </w:pPr>
            <w:r>
              <w:rPr>
                <w:rFonts w:ascii="Arial" w:cs="Arial" w:eastAsia="Arial" w:hAnsi="Arial"/>
                <w:sz w:val="18"/>
                <w:szCs w:val="18"/>
                <w:color w:val="auto"/>
              </w:rPr>
              <w:t>Lake Forest, Illinois</w:t>
            </w:r>
          </w:p>
        </w:tc>
        <w:tc>
          <w:tcPr>
            <w:tcW w:w="1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David Watson</w:t>
            </w:r>
          </w:p>
        </w:tc>
        <w:tc>
          <w:tcPr>
            <w:tcW w:w="3600" w:type="dxa"/>
            <w:vAlign w:val="bottom"/>
          </w:tcPr>
          <w:p>
            <w:pPr>
              <w:spacing w:after="0"/>
              <w:rPr>
                <w:sz w:val="19"/>
                <w:szCs w:val="19"/>
                <w:color w:val="auto"/>
              </w:rPr>
            </w:pPr>
          </w:p>
        </w:tc>
      </w:tr>
      <w:tr>
        <w:trPr>
          <w:trHeight w:val="230"/>
        </w:trPr>
        <w:tc>
          <w:tcPr>
            <w:tcW w:w="6420" w:type="dxa"/>
            <w:vAlign w:val="bottom"/>
          </w:tcPr>
          <w:p>
            <w:pPr>
              <w:ind w:left="20"/>
              <w:spacing w:after="0"/>
              <w:rPr>
                <w:sz w:val="20"/>
                <w:szCs w:val="20"/>
                <w:color w:val="auto"/>
              </w:rPr>
            </w:pPr>
            <w:r>
              <w:rPr>
                <w:rFonts w:ascii="Arial" w:cs="Arial" w:eastAsia="Arial" w:hAnsi="Arial"/>
                <w:sz w:val="18"/>
                <w:szCs w:val="18"/>
                <w:color w:val="auto"/>
              </w:rPr>
              <w:t>March 14, 2023</w:t>
            </w:r>
          </w:p>
        </w:tc>
        <w:tc>
          <w:tcPr>
            <w:tcW w:w="4820" w:type="dxa"/>
            <w:vAlign w:val="bottom"/>
            <w:gridSpan w:val="2"/>
          </w:tcPr>
          <w:p>
            <w:pPr>
              <w:spacing w:after="0"/>
              <w:rPr>
                <w:sz w:val="20"/>
                <w:szCs w:val="20"/>
                <w:color w:val="auto"/>
              </w:rPr>
            </w:pPr>
            <w:r>
              <w:rPr>
                <w:rFonts w:ascii="Arial" w:cs="Arial" w:eastAsia="Arial" w:hAnsi="Arial"/>
                <w:sz w:val="18"/>
                <w:szCs w:val="18"/>
                <w:color w:val="auto"/>
              </w:rPr>
              <w:t>General Counsel and Secretary</w:t>
            </w:r>
          </w:p>
        </w:tc>
      </w:tr>
      <w:tr>
        <w:trPr>
          <w:trHeight w:val="1519"/>
        </w:trPr>
        <w:tc>
          <w:tcPr>
            <w:tcW w:w="64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3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4F81B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36"/>
          <w:szCs w:val="36"/>
          <w:b w:val="1"/>
          <w:bCs w:val="1"/>
          <w:color w:val="1F497D"/>
        </w:rPr>
        <w:t>TABLE OF CONTENTS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1040" w:type="dxa"/>
            <w:vAlign w:val="bottom"/>
            <w:tcBorders>
              <w:top w:val="single" w:sz="8" w:color="1F497D"/>
            </w:tcBorders>
          </w:tcPr>
          <w:p>
            <w:pPr>
              <w:ind w:left="20"/>
              <w:spacing w:after="0" w:line="189" w:lineRule="exact"/>
              <w:rPr>
                <w:sz w:val="20"/>
                <w:szCs w:val="20"/>
                <w:color w:val="auto"/>
              </w:rPr>
            </w:pPr>
            <w:r>
              <w:rPr>
                <w:rFonts w:ascii="Arial" w:cs="Arial" w:eastAsia="Arial" w:hAnsi="Arial"/>
                <w:sz w:val="18"/>
                <w:szCs w:val="18"/>
                <w:b w:val="1"/>
                <w:bCs w:val="1"/>
                <w:color w:val="1F497D"/>
              </w:rPr>
              <w:t>PROXY STATEMENT SUMMARY</w:t>
            </w:r>
          </w:p>
        </w:tc>
        <w:tc>
          <w:tcPr>
            <w:tcW w:w="180" w:type="dxa"/>
            <w:vAlign w:val="bottom"/>
            <w:tcBorders>
              <w:top w:val="single" w:sz="8" w:color="1F497D"/>
            </w:tcBorders>
            <w:gridSpan w:val="4"/>
          </w:tcPr>
          <w:p>
            <w:pPr>
              <w:jc w:val="right"/>
              <w:spacing w:after="0" w:line="189" w:lineRule="exact"/>
              <w:rPr>
                <w:sz w:val="20"/>
                <w:szCs w:val="20"/>
                <w:color w:val="auto"/>
              </w:rPr>
            </w:pPr>
            <w:r>
              <w:rPr>
                <w:rFonts w:ascii="Arial" w:cs="Arial" w:eastAsia="Arial" w:hAnsi="Arial"/>
                <w:sz w:val="18"/>
                <w:szCs w:val="18"/>
                <w:b w:val="1"/>
                <w:bCs w:val="1"/>
                <w:color w:val="1F497D"/>
              </w:rPr>
              <w:t>1</w:t>
            </w:r>
          </w:p>
        </w:tc>
        <w:tc>
          <w:tcPr>
            <w:tcW w:w="20" w:type="dxa"/>
            <w:vAlign w:val="bottom"/>
            <w:tcBorders>
              <w:top w:val="single" w:sz="8" w:color="1F497D"/>
            </w:tcBorders>
          </w:tcPr>
          <w:p>
            <w:pPr>
              <w:spacing w:after="0"/>
              <w:rPr>
                <w:sz w:val="17"/>
                <w:szCs w:val="17"/>
                <w:color w:val="auto"/>
              </w:rPr>
            </w:pPr>
          </w:p>
        </w:tc>
      </w:tr>
      <w:tr>
        <w:trPr>
          <w:trHeight w:val="48"/>
        </w:trPr>
        <w:tc>
          <w:tcPr>
            <w:tcW w:w="11040" w:type="dxa"/>
            <w:vAlign w:val="bottom"/>
            <w:tcBorders>
              <w:bottom w:val="single" w:sz="8" w:color="1F497D"/>
            </w:tcBorders>
          </w:tcPr>
          <w:p>
            <w:pPr>
              <w:spacing w:after="0"/>
              <w:rPr>
                <w:sz w:val="4"/>
                <w:szCs w:val="4"/>
                <w:color w:val="auto"/>
              </w:rPr>
            </w:pPr>
          </w:p>
        </w:tc>
        <w:tc>
          <w:tcPr>
            <w:tcW w:w="20" w:type="dxa"/>
            <w:vAlign w:val="bottom"/>
            <w:tcBorders>
              <w:bottom w:val="single" w:sz="8" w:color="1F497D"/>
            </w:tcBorders>
          </w:tcPr>
          <w:p>
            <w:pPr>
              <w:spacing w:after="0"/>
              <w:rPr>
                <w:sz w:val="4"/>
                <w:szCs w:val="4"/>
                <w:color w:val="auto"/>
              </w:rPr>
            </w:pPr>
          </w:p>
        </w:tc>
        <w:tc>
          <w:tcPr>
            <w:tcW w:w="80" w:type="dxa"/>
            <w:vAlign w:val="bottom"/>
            <w:tcBorders>
              <w:bottom w:val="single" w:sz="8" w:color="1F497D"/>
            </w:tcBorders>
          </w:tcPr>
          <w:p>
            <w:pPr>
              <w:spacing w:after="0"/>
              <w:rPr>
                <w:sz w:val="4"/>
                <w:szCs w:val="4"/>
                <w:color w:val="auto"/>
              </w:rPr>
            </w:pPr>
          </w:p>
        </w:tc>
        <w:tc>
          <w:tcPr>
            <w:tcW w:w="20" w:type="dxa"/>
            <w:vAlign w:val="bottom"/>
            <w:tcBorders>
              <w:bottom w:val="single" w:sz="8" w:color="1F497D"/>
            </w:tcBorders>
          </w:tcPr>
          <w:p>
            <w:pPr>
              <w:spacing w:after="0"/>
              <w:rPr>
                <w:sz w:val="4"/>
                <w:szCs w:val="4"/>
                <w:color w:val="auto"/>
              </w:rPr>
            </w:pPr>
          </w:p>
        </w:tc>
        <w:tc>
          <w:tcPr>
            <w:tcW w:w="60" w:type="dxa"/>
            <w:vAlign w:val="bottom"/>
            <w:tcBorders>
              <w:top w:val="single" w:sz="8" w:color="1F497D"/>
              <w:bottom w:val="single" w:sz="8" w:color="1F497D"/>
            </w:tcBorders>
          </w:tcPr>
          <w:p>
            <w:pPr>
              <w:spacing w:after="0"/>
              <w:rPr>
                <w:sz w:val="4"/>
                <w:szCs w:val="4"/>
                <w:color w:val="auto"/>
              </w:rPr>
            </w:pPr>
          </w:p>
        </w:tc>
        <w:tc>
          <w:tcPr>
            <w:tcW w:w="20" w:type="dxa"/>
            <w:vAlign w:val="bottom"/>
            <w:tcBorders>
              <w:bottom w:val="single" w:sz="8" w:color="1F497D"/>
            </w:tcBorders>
          </w:tcPr>
          <w:p>
            <w:pPr>
              <w:spacing w:after="0"/>
              <w:rPr>
                <w:sz w:val="4"/>
                <w:szCs w:val="4"/>
                <w:color w:val="auto"/>
              </w:rPr>
            </w:pPr>
          </w:p>
        </w:tc>
      </w:tr>
      <w:tr>
        <w:trPr>
          <w:trHeight w:val="183"/>
        </w:trPr>
        <w:tc>
          <w:tcPr>
            <w:tcW w:w="11040" w:type="dxa"/>
            <w:vAlign w:val="bottom"/>
          </w:tcPr>
          <w:p>
            <w:pPr>
              <w:ind w:left="20"/>
              <w:spacing w:after="0" w:line="169" w:lineRule="exact"/>
              <w:rPr>
                <w:sz w:val="20"/>
                <w:szCs w:val="20"/>
                <w:color w:val="auto"/>
              </w:rPr>
            </w:pPr>
            <w:r>
              <w:rPr>
                <w:rFonts w:ascii="Arial" w:cs="Arial" w:eastAsia="Arial" w:hAnsi="Arial"/>
                <w:sz w:val="18"/>
                <w:szCs w:val="18"/>
                <w:color w:val="auto"/>
              </w:rPr>
              <w:t>Voting Matters and Board Recommendation</w:t>
            </w:r>
          </w:p>
        </w:tc>
        <w:tc>
          <w:tcPr>
            <w:tcW w:w="180" w:type="dxa"/>
            <w:vAlign w:val="bottom"/>
            <w:gridSpan w:val="4"/>
          </w:tcPr>
          <w:p>
            <w:pPr>
              <w:jc w:val="right"/>
              <w:spacing w:after="0" w:line="169"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5"/>
                <w:szCs w:val="15"/>
                <w:color w:val="auto"/>
              </w:rPr>
            </w:pPr>
          </w:p>
        </w:tc>
      </w:tr>
      <w:tr>
        <w:trPr>
          <w:trHeight w:val="20"/>
        </w:trPr>
        <w:tc>
          <w:tcPr>
            <w:tcW w:w="1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r>
      <w:tr>
        <w:trPr>
          <w:trHeight w:val="237"/>
        </w:trPr>
        <w:tc>
          <w:tcPr>
            <w:tcW w:w="11040" w:type="dxa"/>
            <w:vAlign w:val="bottom"/>
          </w:tcPr>
          <w:p>
            <w:pPr>
              <w:ind w:left="20"/>
              <w:spacing w:after="0"/>
              <w:rPr>
                <w:sz w:val="20"/>
                <w:szCs w:val="20"/>
                <w:color w:val="auto"/>
              </w:rPr>
            </w:pPr>
            <w:r>
              <w:rPr>
                <w:rFonts w:ascii="Arial" w:cs="Arial" w:eastAsia="Arial" w:hAnsi="Arial"/>
                <w:sz w:val="18"/>
                <w:szCs w:val="18"/>
                <w:color w:val="auto"/>
              </w:rPr>
              <w:t>Director Nominees and Continuing Directors</w:t>
            </w:r>
          </w:p>
        </w:tc>
        <w:tc>
          <w:tcPr>
            <w:tcW w:w="180" w:type="dxa"/>
            <w:vAlign w:val="bottom"/>
            <w:gridSpan w:val="4"/>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0"/>
                <w:szCs w:val="20"/>
                <w:color w:val="auto"/>
              </w:rPr>
            </w:pPr>
          </w:p>
        </w:tc>
      </w:tr>
      <w:tr>
        <w:trPr>
          <w:trHeight w:val="20"/>
        </w:trPr>
        <w:tc>
          <w:tcPr>
            <w:tcW w:w="1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r>
      <w:tr>
        <w:trPr>
          <w:trHeight w:val="236"/>
        </w:trPr>
        <w:tc>
          <w:tcPr>
            <w:tcW w:w="11040" w:type="dxa"/>
            <w:vAlign w:val="bottom"/>
          </w:tcPr>
          <w:p>
            <w:pPr>
              <w:ind w:left="20"/>
              <w:spacing w:after="0"/>
              <w:rPr>
                <w:sz w:val="20"/>
                <w:szCs w:val="20"/>
                <w:color w:val="auto"/>
              </w:rPr>
            </w:pPr>
            <w:r>
              <w:rPr>
                <w:rFonts w:ascii="Arial" w:cs="Arial" w:eastAsia="Arial" w:hAnsi="Arial"/>
                <w:sz w:val="18"/>
                <w:szCs w:val="18"/>
                <w:color w:val="auto"/>
              </w:rPr>
              <w:t>Corporate Governance Highlights</w:t>
            </w:r>
          </w:p>
        </w:tc>
        <w:tc>
          <w:tcPr>
            <w:tcW w:w="180" w:type="dxa"/>
            <w:vAlign w:val="bottom"/>
            <w:gridSpan w:val="4"/>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0"/>
                <w:szCs w:val="20"/>
                <w:color w:val="auto"/>
              </w:rPr>
            </w:pPr>
          </w:p>
        </w:tc>
      </w:tr>
      <w:tr>
        <w:trPr>
          <w:trHeight w:val="20"/>
        </w:trPr>
        <w:tc>
          <w:tcPr>
            <w:tcW w:w="1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r>
      <w:tr>
        <w:trPr>
          <w:trHeight w:val="237"/>
        </w:trPr>
        <w:tc>
          <w:tcPr>
            <w:tcW w:w="11040" w:type="dxa"/>
            <w:vAlign w:val="bottom"/>
          </w:tcPr>
          <w:p>
            <w:pPr>
              <w:ind w:left="20"/>
              <w:spacing w:after="0"/>
              <w:rPr>
                <w:sz w:val="20"/>
                <w:szCs w:val="20"/>
                <w:color w:val="auto"/>
              </w:rPr>
            </w:pPr>
            <w:r>
              <w:rPr>
                <w:rFonts w:ascii="Arial" w:cs="Arial" w:eastAsia="Arial" w:hAnsi="Arial"/>
                <w:sz w:val="18"/>
                <w:szCs w:val="18"/>
                <w:color w:val="auto"/>
              </w:rPr>
              <w:t>Executive Compensation Best Practices</w:t>
            </w:r>
          </w:p>
        </w:tc>
        <w:tc>
          <w:tcPr>
            <w:tcW w:w="180" w:type="dxa"/>
            <w:vAlign w:val="bottom"/>
            <w:gridSpan w:val="4"/>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0"/>
                <w:szCs w:val="20"/>
                <w:color w:val="auto"/>
              </w:rPr>
            </w:pPr>
          </w:p>
        </w:tc>
      </w:tr>
      <w:tr>
        <w:trPr>
          <w:trHeight w:val="48"/>
        </w:trPr>
        <w:tc>
          <w:tcPr>
            <w:tcW w:w="11040" w:type="dxa"/>
            <w:vAlign w:val="bottom"/>
            <w:tcBorders>
              <w:bottom w:val="single" w:sz="8" w:color="1F497D"/>
            </w:tcBorders>
          </w:tcPr>
          <w:p>
            <w:pPr>
              <w:spacing w:after="0"/>
              <w:rPr>
                <w:sz w:val="4"/>
                <w:szCs w:val="4"/>
                <w:color w:val="auto"/>
              </w:rPr>
            </w:pPr>
          </w:p>
        </w:tc>
        <w:tc>
          <w:tcPr>
            <w:tcW w:w="20" w:type="dxa"/>
            <w:vAlign w:val="bottom"/>
            <w:tcBorders>
              <w:bottom w:val="single" w:sz="8" w:color="1F497D"/>
            </w:tcBorders>
          </w:tcPr>
          <w:p>
            <w:pPr>
              <w:spacing w:after="0"/>
              <w:rPr>
                <w:sz w:val="4"/>
                <w:szCs w:val="4"/>
                <w:color w:val="auto"/>
              </w:rPr>
            </w:pPr>
          </w:p>
        </w:tc>
        <w:tc>
          <w:tcPr>
            <w:tcW w:w="80" w:type="dxa"/>
            <w:vAlign w:val="bottom"/>
            <w:tcBorders>
              <w:bottom w:val="single" w:sz="8" w:color="1F497D"/>
            </w:tcBorders>
          </w:tcPr>
          <w:p>
            <w:pPr>
              <w:spacing w:after="0"/>
              <w:rPr>
                <w:sz w:val="4"/>
                <w:szCs w:val="4"/>
                <w:color w:val="auto"/>
              </w:rPr>
            </w:pPr>
          </w:p>
        </w:tc>
        <w:tc>
          <w:tcPr>
            <w:tcW w:w="20" w:type="dxa"/>
            <w:vAlign w:val="bottom"/>
            <w:tcBorders>
              <w:bottom w:val="single" w:sz="8" w:color="1F497D"/>
            </w:tcBorders>
          </w:tcPr>
          <w:p>
            <w:pPr>
              <w:spacing w:after="0"/>
              <w:rPr>
                <w:sz w:val="4"/>
                <w:szCs w:val="4"/>
                <w:color w:val="auto"/>
              </w:rPr>
            </w:pPr>
          </w:p>
        </w:tc>
        <w:tc>
          <w:tcPr>
            <w:tcW w:w="60" w:type="dxa"/>
            <w:vAlign w:val="bottom"/>
            <w:tcBorders>
              <w:top w:val="single" w:sz="8" w:color="auto"/>
              <w:bottom w:val="single" w:sz="8" w:color="1F497D"/>
            </w:tcBorders>
          </w:tcPr>
          <w:p>
            <w:pPr>
              <w:spacing w:after="0"/>
              <w:rPr>
                <w:sz w:val="4"/>
                <w:szCs w:val="4"/>
                <w:color w:val="auto"/>
              </w:rPr>
            </w:pPr>
          </w:p>
        </w:tc>
        <w:tc>
          <w:tcPr>
            <w:tcW w:w="20" w:type="dxa"/>
            <w:vAlign w:val="bottom"/>
            <w:tcBorders>
              <w:bottom w:val="single" w:sz="8" w:color="1F497D"/>
            </w:tcBorders>
          </w:tcPr>
          <w:p>
            <w:pPr>
              <w:spacing w:after="0"/>
              <w:rPr>
                <w:sz w:val="4"/>
                <w:szCs w:val="4"/>
                <w:color w:val="auto"/>
              </w:rPr>
            </w:pPr>
          </w:p>
        </w:tc>
      </w:tr>
      <w:tr>
        <w:trPr>
          <w:trHeight w:val="183"/>
        </w:trPr>
        <w:tc>
          <w:tcPr>
            <w:tcW w:w="11040" w:type="dxa"/>
            <w:vAlign w:val="bottom"/>
          </w:tcPr>
          <w:p>
            <w:pPr>
              <w:ind w:left="20"/>
              <w:spacing w:after="0" w:line="182" w:lineRule="exact"/>
              <w:rPr>
                <w:sz w:val="20"/>
                <w:szCs w:val="20"/>
                <w:color w:val="auto"/>
              </w:rPr>
            </w:pPr>
            <w:r>
              <w:rPr>
                <w:rFonts w:ascii="Arial" w:cs="Arial" w:eastAsia="Arial" w:hAnsi="Arial"/>
                <w:sz w:val="18"/>
                <w:szCs w:val="18"/>
                <w:b w:val="1"/>
                <w:bCs w:val="1"/>
                <w:color w:val="1F497D"/>
              </w:rPr>
              <w:t>PROPOSAL 1: ELECTION OF DIRECTORS</w:t>
            </w:r>
          </w:p>
        </w:tc>
        <w:tc>
          <w:tcPr>
            <w:tcW w:w="20" w:type="dxa"/>
            <w:vAlign w:val="bottom"/>
          </w:tcPr>
          <w:p>
            <w:pPr>
              <w:spacing w:after="0"/>
              <w:rPr>
                <w:sz w:val="15"/>
                <w:szCs w:val="15"/>
                <w:color w:val="auto"/>
              </w:rPr>
            </w:pPr>
          </w:p>
        </w:tc>
        <w:tc>
          <w:tcPr>
            <w:tcW w:w="100" w:type="dxa"/>
            <w:vAlign w:val="bottom"/>
            <w:gridSpan w:val="2"/>
          </w:tcPr>
          <w:p>
            <w:pPr>
              <w:spacing w:after="0"/>
              <w:rPr>
                <w:sz w:val="15"/>
                <w:szCs w:val="15"/>
                <w:color w:val="auto"/>
              </w:rPr>
            </w:pPr>
          </w:p>
        </w:tc>
        <w:tc>
          <w:tcPr>
            <w:tcW w:w="60" w:type="dxa"/>
            <w:vAlign w:val="bottom"/>
            <w:tcBorders>
              <w:bottom w:val="single" w:sz="8" w:color="1F497D"/>
            </w:tcBorders>
          </w:tcPr>
          <w:p>
            <w:pPr>
              <w:jc w:val="right"/>
              <w:spacing w:after="0"/>
              <w:rPr>
                <w:sz w:val="20"/>
                <w:szCs w:val="20"/>
                <w:color w:val="auto"/>
              </w:rPr>
            </w:pPr>
            <w:r>
              <w:rPr>
                <w:rFonts w:ascii="Arial" w:cs="Arial" w:eastAsia="Arial" w:hAnsi="Arial"/>
                <w:sz w:val="10"/>
                <w:szCs w:val="10"/>
                <w:b w:val="1"/>
                <w:bCs w:val="1"/>
                <w:color w:val="1F497D"/>
                <w:w w:val="71"/>
              </w:rPr>
              <w:t>4</w:t>
            </w:r>
          </w:p>
        </w:tc>
        <w:tc>
          <w:tcPr>
            <w:tcW w:w="20" w:type="dxa"/>
            <w:vAlign w:val="bottom"/>
          </w:tcPr>
          <w:p>
            <w:pPr>
              <w:spacing w:after="0"/>
              <w:rPr>
                <w:sz w:val="15"/>
                <w:szCs w:val="15"/>
                <w:color w:val="auto"/>
              </w:rPr>
            </w:pPr>
          </w:p>
        </w:tc>
      </w:tr>
      <w:tr>
        <w:trPr>
          <w:trHeight w:val="74"/>
        </w:trPr>
        <w:tc>
          <w:tcPr>
            <w:tcW w:w="11040" w:type="dxa"/>
            <w:vAlign w:val="bottom"/>
            <w:tcBorders>
              <w:bottom w:val="single" w:sz="8" w:color="1F497D"/>
            </w:tcBorders>
          </w:tcPr>
          <w:p>
            <w:pPr>
              <w:spacing w:after="0"/>
              <w:rPr>
                <w:sz w:val="6"/>
                <w:szCs w:val="6"/>
                <w:color w:val="auto"/>
              </w:rPr>
            </w:pPr>
          </w:p>
        </w:tc>
        <w:tc>
          <w:tcPr>
            <w:tcW w:w="20" w:type="dxa"/>
            <w:vAlign w:val="bottom"/>
            <w:tcBorders>
              <w:bottom w:val="single" w:sz="8" w:color="1F497D"/>
            </w:tcBorders>
          </w:tcPr>
          <w:p>
            <w:pPr>
              <w:spacing w:after="0"/>
              <w:rPr>
                <w:sz w:val="6"/>
                <w:szCs w:val="6"/>
                <w:color w:val="auto"/>
              </w:rPr>
            </w:pPr>
          </w:p>
        </w:tc>
        <w:tc>
          <w:tcPr>
            <w:tcW w:w="80" w:type="dxa"/>
            <w:vAlign w:val="bottom"/>
            <w:tcBorders>
              <w:bottom w:val="single" w:sz="8" w:color="1F497D"/>
            </w:tcBorders>
          </w:tcPr>
          <w:p>
            <w:pPr>
              <w:spacing w:after="0"/>
              <w:rPr>
                <w:sz w:val="6"/>
                <w:szCs w:val="6"/>
                <w:color w:val="auto"/>
              </w:rPr>
            </w:pPr>
          </w:p>
        </w:tc>
        <w:tc>
          <w:tcPr>
            <w:tcW w:w="20" w:type="dxa"/>
            <w:vAlign w:val="bottom"/>
            <w:tcBorders>
              <w:bottom w:val="single" w:sz="8" w:color="1F497D"/>
            </w:tcBorders>
          </w:tcPr>
          <w:p>
            <w:pPr>
              <w:spacing w:after="0"/>
              <w:rPr>
                <w:sz w:val="6"/>
                <w:szCs w:val="6"/>
                <w:color w:val="auto"/>
              </w:rPr>
            </w:pPr>
          </w:p>
        </w:tc>
        <w:tc>
          <w:tcPr>
            <w:tcW w:w="60" w:type="dxa"/>
            <w:vAlign w:val="bottom"/>
            <w:tcBorders>
              <w:bottom w:val="single" w:sz="8" w:color="1F497D"/>
            </w:tcBorders>
          </w:tcPr>
          <w:p>
            <w:pPr>
              <w:spacing w:after="0"/>
              <w:rPr>
                <w:sz w:val="6"/>
                <w:szCs w:val="6"/>
                <w:color w:val="auto"/>
              </w:rPr>
            </w:pPr>
          </w:p>
        </w:tc>
        <w:tc>
          <w:tcPr>
            <w:tcW w:w="20" w:type="dxa"/>
            <w:vAlign w:val="bottom"/>
            <w:tcBorders>
              <w:bottom w:val="single" w:sz="8" w:color="1F497D"/>
            </w:tcBorders>
          </w:tcPr>
          <w:p>
            <w:pPr>
              <w:spacing w:after="0"/>
              <w:rPr>
                <w:sz w:val="6"/>
                <w:szCs w:val="6"/>
                <w:color w:val="auto"/>
              </w:rPr>
            </w:pPr>
          </w:p>
        </w:tc>
      </w:tr>
      <w:tr>
        <w:trPr>
          <w:trHeight w:val="183"/>
        </w:trPr>
        <w:tc>
          <w:tcPr>
            <w:tcW w:w="11040" w:type="dxa"/>
            <w:vAlign w:val="bottom"/>
          </w:tcPr>
          <w:p>
            <w:pPr>
              <w:ind w:left="80"/>
              <w:spacing w:after="0" w:line="182" w:lineRule="exact"/>
              <w:rPr>
                <w:sz w:val="20"/>
                <w:szCs w:val="20"/>
                <w:color w:val="auto"/>
              </w:rPr>
            </w:pPr>
            <w:r>
              <w:rPr>
                <w:rFonts w:ascii="Arial" w:cs="Arial" w:eastAsia="Arial" w:hAnsi="Arial"/>
                <w:sz w:val="18"/>
                <w:szCs w:val="18"/>
                <w:b w:val="1"/>
                <w:bCs w:val="1"/>
                <w:color w:val="1F497D"/>
              </w:rPr>
              <w:t>CORPORATE GOVERNANCE</w:t>
            </w:r>
          </w:p>
        </w:tc>
        <w:tc>
          <w:tcPr>
            <w:tcW w:w="20" w:type="dxa"/>
            <w:vAlign w:val="bottom"/>
          </w:tcPr>
          <w:p>
            <w:pPr>
              <w:spacing w:after="0"/>
              <w:rPr>
                <w:sz w:val="15"/>
                <w:szCs w:val="15"/>
                <w:color w:val="auto"/>
              </w:rPr>
            </w:pPr>
          </w:p>
        </w:tc>
        <w:tc>
          <w:tcPr>
            <w:tcW w:w="100" w:type="dxa"/>
            <w:vAlign w:val="bottom"/>
            <w:gridSpan w:val="2"/>
          </w:tcPr>
          <w:p>
            <w:pPr>
              <w:spacing w:after="0"/>
              <w:rPr>
                <w:sz w:val="15"/>
                <w:szCs w:val="15"/>
                <w:color w:val="auto"/>
              </w:rPr>
            </w:pPr>
          </w:p>
        </w:tc>
        <w:tc>
          <w:tcPr>
            <w:tcW w:w="60" w:type="dxa"/>
            <w:vAlign w:val="bottom"/>
            <w:tcBorders>
              <w:bottom w:val="single" w:sz="8" w:color="1F497D"/>
            </w:tcBorders>
          </w:tcPr>
          <w:p>
            <w:pPr>
              <w:jc w:val="right"/>
              <w:spacing w:after="0"/>
              <w:rPr>
                <w:sz w:val="20"/>
                <w:szCs w:val="20"/>
                <w:color w:val="auto"/>
              </w:rPr>
            </w:pPr>
            <w:r>
              <w:rPr>
                <w:rFonts w:ascii="Arial" w:cs="Arial" w:eastAsia="Arial" w:hAnsi="Arial"/>
                <w:sz w:val="10"/>
                <w:szCs w:val="10"/>
                <w:b w:val="1"/>
                <w:bCs w:val="1"/>
                <w:color w:val="1F497D"/>
                <w:w w:val="71"/>
              </w:rPr>
              <w:t>9</w:t>
            </w:r>
          </w:p>
        </w:tc>
        <w:tc>
          <w:tcPr>
            <w:tcW w:w="20" w:type="dxa"/>
            <w:vAlign w:val="bottom"/>
          </w:tcPr>
          <w:p>
            <w:pPr>
              <w:spacing w:after="0"/>
              <w:rPr>
                <w:sz w:val="15"/>
                <w:szCs w:val="15"/>
                <w:color w:val="auto"/>
              </w:rPr>
            </w:pPr>
          </w:p>
        </w:tc>
      </w:tr>
      <w:tr>
        <w:trPr>
          <w:trHeight w:val="75"/>
        </w:trPr>
        <w:tc>
          <w:tcPr>
            <w:tcW w:w="11040" w:type="dxa"/>
            <w:vAlign w:val="bottom"/>
            <w:tcBorders>
              <w:bottom w:val="single" w:sz="8" w:color="1F497D"/>
            </w:tcBorders>
          </w:tcPr>
          <w:p>
            <w:pPr>
              <w:spacing w:after="0"/>
              <w:rPr>
                <w:sz w:val="6"/>
                <w:szCs w:val="6"/>
                <w:color w:val="auto"/>
              </w:rPr>
            </w:pPr>
          </w:p>
        </w:tc>
        <w:tc>
          <w:tcPr>
            <w:tcW w:w="20" w:type="dxa"/>
            <w:vAlign w:val="bottom"/>
            <w:tcBorders>
              <w:bottom w:val="single" w:sz="8" w:color="1F497D"/>
            </w:tcBorders>
          </w:tcPr>
          <w:p>
            <w:pPr>
              <w:spacing w:after="0"/>
              <w:rPr>
                <w:sz w:val="6"/>
                <w:szCs w:val="6"/>
                <w:color w:val="auto"/>
              </w:rPr>
            </w:pPr>
          </w:p>
        </w:tc>
        <w:tc>
          <w:tcPr>
            <w:tcW w:w="80" w:type="dxa"/>
            <w:vAlign w:val="bottom"/>
            <w:tcBorders>
              <w:bottom w:val="single" w:sz="8" w:color="1F497D"/>
            </w:tcBorders>
          </w:tcPr>
          <w:p>
            <w:pPr>
              <w:spacing w:after="0"/>
              <w:rPr>
                <w:sz w:val="6"/>
                <w:szCs w:val="6"/>
                <w:color w:val="auto"/>
              </w:rPr>
            </w:pPr>
          </w:p>
        </w:tc>
        <w:tc>
          <w:tcPr>
            <w:tcW w:w="20" w:type="dxa"/>
            <w:vAlign w:val="bottom"/>
            <w:tcBorders>
              <w:bottom w:val="single" w:sz="8" w:color="1F497D"/>
            </w:tcBorders>
          </w:tcPr>
          <w:p>
            <w:pPr>
              <w:spacing w:after="0"/>
              <w:rPr>
                <w:sz w:val="6"/>
                <w:szCs w:val="6"/>
                <w:color w:val="auto"/>
              </w:rPr>
            </w:pPr>
          </w:p>
        </w:tc>
        <w:tc>
          <w:tcPr>
            <w:tcW w:w="60" w:type="dxa"/>
            <w:vAlign w:val="bottom"/>
            <w:tcBorders>
              <w:bottom w:val="single" w:sz="8" w:color="1F497D"/>
            </w:tcBorders>
          </w:tcPr>
          <w:p>
            <w:pPr>
              <w:spacing w:after="0"/>
              <w:rPr>
                <w:sz w:val="6"/>
                <w:szCs w:val="6"/>
                <w:color w:val="auto"/>
              </w:rPr>
            </w:pPr>
          </w:p>
        </w:tc>
        <w:tc>
          <w:tcPr>
            <w:tcW w:w="20" w:type="dxa"/>
            <w:vAlign w:val="bottom"/>
            <w:tcBorders>
              <w:bottom w:val="single" w:sz="8" w:color="1F497D"/>
            </w:tcBorders>
          </w:tcPr>
          <w:p>
            <w:pPr>
              <w:spacing w:after="0"/>
              <w:rPr>
                <w:sz w:val="6"/>
                <w:szCs w:val="6"/>
                <w:color w:val="auto"/>
              </w:rPr>
            </w:pPr>
          </w:p>
        </w:tc>
      </w:tr>
      <w:tr>
        <w:trPr>
          <w:trHeight w:val="183"/>
        </w:trPr>
        <w:tc>
          <w:tcPr>
            <w:tcW w:w="11040" w:type="dxa"/>
            <w:vAlign w:val="bottom"/>
          </w:tcPr>
          <w:p>
            <w:pPr>
              <w:ind w:left="20"/>
              <w:spacing w:after="0" w:line="169" w:lineRule="exact"/>
              <w:rPr>
                <w:sz w:val="20"/>
                <w:szCs w:val="20"/>
                <w:color w:val="auto"/>
              </w:rPr>
            </w:pPr>
            <w:r>
              <w:rPr>
                <w:rFonts w:ascii="Arial" w:cs="Arial" w:eastAsia="Arial" w:hAnsi="Arial"/>
                <w:sz w:val="18"/>
                <w:szCs w:val="18"/>
                <w:color w:val="auto"/>
              </w:rPr>
              <w:t>Director Independence</w:t>
            </w:r>
          </w:p>
        </w:tc>
        <w:tc>
          <w:tcPr>
            <w:tcW w:w="180" w:type="dxa"/>
            <w:vAlign w:val="bottom"/>
            <w:gridSpan w:val="4"/>
          </w:tcPr>
          <w:p>
            <w:pPr>
              <w:jc w:val="right"/>
              <w:spacing w:after="0" w:line="169" w:lineRule="exact"/>
              <w:rPr>
                <w:sz w:val="20"/>
                <w:szCs w:val="20"/>
                <w:color w:val="auto"/>
              </w:rPr>
            </w:pPr>
            <w:r>
              <w:rPr>
                <w:rFonts w:ascii="Arial" w:cs="Arial" w:eastAsia="Arial" w:hAnsi="Arial"/>
                <w:sz w:val="18"/>
                <w:szCs w:val="18"/>
                <w:color w:val="auto"/>
              </w:rPr>
              <w:t>9</w:t>
            </w:r>
          </w:p>
        </w:tc>
        <w:tc>
          <w:tcPr>
            <w:tcW w:w="20" w:type="dxa"/>
            <w:vAlign w:val="bottom"/>
          </w:tcPr>
          <w:p>
            <w:pPr>
              <w:spacing w:after="0"/>
              <w:rPr>
                <w:sz w:val="15"/>
                <w:szCs w:val="15"/>
                <w:color w:val="auto"/>
              </w:rPr>
            </w:pPr>
          </w:p>
        </w:tc>
      </w:tr>
      <w:tr>
        <w:trPr>
          <w:trHeight w:val="20"/>
        </w:trPr>
        <w:tc>
          <w:tcPr>
            <w:tcW w:w="1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r>
      <w:tr>
        <w:trPr>
          <w:trHeight w:val="237"/>
        </w:trPr>
        <w:tc>
          <w:tcPr>
            <w:tcW w:w="11040" w:type="dxa"/>
            <w:vAlign w:val="bottom"/>
          </w:tcPr>
          <w:p>
            <w:pPr>
              <w:ind w:left="20"/>
              <w:spacing w:after="0"/>
              <w:rPr>
                <w:sz w:val="20"/>
                <w:szCs w:val="20"/>
                <w:color w:val="auto"/>
              </w:rPr>
            </w:pPr>
            <w:r>
              <w:rPr>
                <w:rFonts w:ascii="Arial" w:cs="Arial" w:eastAsia="Arial" w:hAnsi="Arial"/>
                <w:sz w:val="18"/>
                <w:szCs w:val="18"/>
                <w:color w:val="auto"/>
              </w:rPr>
              <w:t>Board Leadership Structure</w:t>
            </w:r>
          </w:p>
        </w:tc>
        <w:tc>
          <w:tcPr>
            <w:tcW w:w="180" w:type="dxa"/>
            <w:vAlign w:val="bottom"/>
            <w:gridSpan w:val="4"/>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20"/>
                <w:szCs w:val="20"/>
                <w:color w:val="auto"/>
              </w:rPr>
            </w:pPr>
          </w:p>
        </w:tc>
      </w:tr>
      <w:tr>
        <w:trPr>
          <w:trHeight w:val="20"/>
        </w:trPr>
        <w:tc>
          <w:tcPr>
            <w:tcW w:w="1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r>
      <w:tr>
        <w:trPr>
          <w:trHeight w:val="236"/>
        </w:trPr>
        <w:tc>
          <w:tcPr>
            <w:tcW w:w="11040" w:type="dxa"/>
            <w:vAlign w:val="bottom"/>
          </w:tcPr>
          <w:p>
            <w:pPr>
              <w:ind w:left="20"/>
              <w:spacing w:after="0"/>
              <w:rPr>
                <w:sz w:val="20"/>
                <w:szCs w:val="20"/>
                <w:color w:val="auto"/>
              </w:rPr>
            </w:pPr>
            <w:r>
              <w:rPr>
                <w:rFonts w:ascii="Arial" w:cs="Arial" w:eastAsia="Arial" w:hAnsi="Arial"/>
                <w:sz w:val="18"/>
                <w:szCs w:val="18"/>
                <w:color w:val="auto"/>
              </w:rPr>
              <w:t>Stockholder Communications</w:t>
            </w:r>
          </w:p>
        </w:tc>
        <w:tc>
          <w:tcPr>
            <w:tcW w:w="180" w:type="dxa"/>
            <w:vAlign w:val="bottom"/>
            <w:gridSpan w:val="4"/>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20"/>
                <w:szCs w:val="20"/>
                <w:color w:val="auto"/>
              </w:rPr>
            </w:pPr>
          </w:p>
        </w:tc>
      </w:tr>
      <w:tr>
        <w:trPr>
          <w:trHeight w:val="20"/>
        </w:trPr>
        <w:tc>
          <w:tcPr>
            <w:tcW w:w="1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r>
      <w:tr>
        <w:trPr>
          <w:trHeight w:val="237"/>
        </w:trPr>
        <w:tc>
          <w:tcPr>
            <w:tcW w:w="11040" w:type="dxa"/>
            <w:vAlign w:val="bottom"/>
          </w:tcPr>
          <w:p>
            <w:pPr>
              <w:ind w:left="20"/>
              <w:spacing w:after="0"/>
              <w:rPr>
                <w:sz w:val="20"/>
                <w:szCs w:val="20"/>
                <w:color w:val="auto"/>
              </w:rPr>
            </w:pPr>
            <w:r>
              <w:rPr>
                <w:rFonts w:ascii="Arial" w:cs="Arial" w:eastAsia="Arial" w:hAnsi="Arial"/>
                <w:sz w:val="18"/>
                <w:szCs w:val="18"/>
                <w:color w:val="auto"/>
              </w:rPr>
              <w:t>Procedures for Selecting and Nominating Director Candidates</w:t>
            </w:r>
          </w:p>
        </w:tc>
        <w:tc>
          <w:tcPr>
            <w:tcW w:w="180" w:type="dxa"/>
            <w:vAlign w:val="bottom"/>
            <w:gridSpan w:val="4"/>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20"/>
                <w:szCs w:val="20"/>
                <w:color w:val="auto"/>
              </w:rPr>
            </w:pPr>
          </w:p>
        </w:tc>
      </w:tr>
      <w:tr>
        <w:trPr>
          <w:trHeight w:val="20"/>
        </w:trPr>
        <w:tc>
          <w:tcPr>
            <w:tcW w:w="1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1040" w:type="dxa"/>
            <w:vAlign w:val="bottom"/>
          </w:tcPr>
          <w:p>
            <w:pPr>
              <w:ind w:left="20"/>
              <w:spacing w:after="0"/>
              <w:rPr>
                <w:sz w:val="20"/>
                <w:szCs w:val="20"/>
                <w:color w:val="auto"/>
              </w:rPr>
            </w:pPr>
            <w:r>
              <w:rPr>
                <w:rFonts w:ascii="Arial" w:cs="Arial" w:eastAsia="Arial" w:hAnsi="Arial"/>
                <w:sz w:val="18"/>
                <w:szCs w:val="18"/>
                <w:color w:val="auto"/>
              </w:rPr>
              <w:t>Board Meetings and Committees</w:t>
            </w:r>
          </w:p>
        </w:tc>
        <w:tc>
          <w:tcPr>
            <w:tcW w:w="1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w w:val="79"/>
              </w:rPr>
              <w:t>10</w:t>
            </w:r>
          </w:p>
        </w:tc>
        <w:tc>
          <w:tcPr>
            <w:tcW w:w="20" w:type="dxa"/>
            <w:vAlign w:val="bottom"/>
          </w:tcPr>
          <w:p>
            <w:pPr>
              <w:spacing w:after="0"/>
              <w:rPr>
                <w:sz w:val="20"/>
                <w:szCs w:val="20"/>
                <w:color w:val="auto"/>
              </w:rPr>
            </w:pPr>
          </w:p>
        </w:tc>
      </w:tr>
      <w:tr>
        <w:trPr>
          <w:trHeight w:val="237"/>
        </w:trPr>
        <w:tc>
          <w:tcPr>
            <w:tcW w:w="11040" w:type="dxa"/>
            <w:vAlign w:val="bottom"/>
          </w:tcPr>
          <w:p>
            <w:pPr>
              <w:ind w:left="20"/>
              <w:spacing w:after="0"/>
              <w:rPr>
                <w:sz w:val="20"/>
                <w:szCs w:val="20"/>
                <w:color w:val="auto"/>
              </w:rPr>
            </w:pPr>
            <w:r>
              <w:rPr>
                <w:rFonts w:ascii="Arial" w:cs="Arial" w:eastAsia="Arial" w:hAnsi="Arial"/>
                <w:sz w:val="18"/>
                <w:szCs w:val="18"/>
                <w:color w:val="auto"/>
              </w:rPr>
              <w:t>Audit Committee</w:t>
            </w:r>
          </w:p>
        </w:tc>
        <w:tc>
          <w:tcPr>
            <w:tcW w:w="20" w:type="dxa"/>
            <w:vAlign w:val="bottom"/>
          </w:tcPr>
          <w:p>
            <w:pPr>
              <w:spacing w:after="0"/>
              <w:rPr>
                <w:sz w:val="20"/>
                <w:szCs w:val="20"/>
                <w:color w:val="auto"/>
              </w:rPr>
            </w:pPr>
          </w:p>
        </w:tc>
        <w:tc>
          <w:tcPr>
            <w:tcW w:w="16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w w:val="73"/>
              </w:rPr>
              <w:t>11</w:t>
            </w:r>
          </w:p>
        </w:tc>
        <w:tc>
          <w:tcPr>
            <w:tcW w:w="20" w:type="dxa"/>
            <w:vAlign w:val="bottom"/>
            <w:tcBorders>
              <w:bottom w:val="single" w:sz="8" w:color="auto"/>
            </w:tcBorders>
          </w:tcPr>
          <w:p>
            <w:pPr>
              <w:spacing w:after="0"/>
              <w:rPr>
                <w:sz w:val="20"/>
                <w:szCs w:val="20"/>
                <w:color w:val="auto"/>
              </w:rPr>
            </w:pPr>
          </w:p>
        </w:tc>
      </w:tr>
      <w:tr>
        <w:trPr>
          <w:trHeight w:val="263"/>
        </w:trPr>
        <w:tc>
          <w:tcPr>
            <w:tcW w:w="11040" w:type="dxa"/>
            <w:vAlign w:val="bottom"/>
          </w:tcPr>
          <w:p>
            <w:pPr>
              <w:ind w:left="20"/>
              <w:spacing w:after="0"/>
              <w:rPr>
                <w:sz w:val="20"/>
                <w:szCs w:val="20"/>
                <w:color w:val="auto"/>
              </w:rPr>
            </w:pPr>
            <w:r>
              <w:rPr>
                <w:rFonts w:ascii="Arial" w:cs="Arial" w:eastAsia="Arial" w:hAnsi="Arial"/>
                <w:sz w:val="18"/>
                <w:szCs w:val="18"/>
                <w:color w:val="auto"/>
              </w:rPr>
              <w:t>Compensation, Nominating and Corporate Governance Committee</w:t>
            </w:r>
          </w:p>
        </w:tc>
        <w:tc>
          <w:tcPr>
            <w:tcW w:w="20" w:type="dxa"/>
            <w:vAlign w:val="bottom"/>
          </w:tcPr>
          <w:p>
            <w:pPr>
              <w:spacing w:after="0"/>
              <w:rPr>
                <w:sz w:val="22"/>
                <w:szCs w:val="22"/>
                <w:color w:val="auto"/>
              </w:rPr>
            </w:pPr>
          </w:p>
        </w:tc>
        <w:tc>
          <w:tcPr>
            <w:tcW w:w="16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w w:val="73"/>
              </w:rPr>
              <w:t>11</w:t>
            </w:r>
          </w:p>
        </w:tc>
        <w:tc>
          <w:tcPr>
            <w:tcW w:w="20" w:type="dxa"/>
            <w:vAlign w:val="bottom"/>
          </w:tcPr>
          <w:p>
            <w:pPr>
              <w:spacing w:after="0"/>
              <w:rPr>
                <w:sz w:val="22"/>
                <w:szCs w:val="22"/>
                <w:color w:val="auto"/>
              </w:rPr>
            </w:pPr>
          </w:p>
        </w:tc>
      </w:tr>
      <w:tr>
        <w:trPr>
          <w:trHeight w:val="263"/>
        </w:trPr>
        <w:tc>
          <w:tcPr>
            <w:tcW w:w="11040" w:type="dxa"/>
            <w:vAlign w:val="bottom"/>
          </w:tcPr>
          <w:p>
            <w:pPr>
              <w:ind w:left="20"/>
              <w:spacing w:after="0"/>
              <w:rPr>
                <w:sz w:val="20"/>
                <w:szCs w:val="20"/>
                <w:color w:val="auto"/>
              </w:rPr>
            </w:pPr>
            <w:r>
              <w:rPr>
                <w:rFonts w:ascii="Arial" w:cs="Arial" w:eastAsia="Arial" w:hAnsi="Arial"/>
                <w:sz w:val="18"/>
                <w:szCs w:val="18"/>
                <w:color w:val="auto"/>
              </w:rPr>
              <w:t>Risk Oversight</w:t>
            </w:r>
          </w:p>
        </w:tc>
        <w:tc>
          <w:tcPr>
            <w:tcW w:w="1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w w:val="79"/>
              </w:rPr>
              <w:t>12</w:t>
            </w:r>
          </w:p>
        </w:tc>
        <w:tc>
          <w:tcPr>
            <w:tcW w:w="20" w:type="dxa"/>
            <w:vAlign w:val="bottom"/>
          </w:tcPr>
          <w:p>
            <w:pPr>
              <w:spacing w:after="0"/>
              <w:rPr>
                <w:sz w:val="22"/>
                <w:szCs w:val="22"/>
                <w:color w:val="auto"/>
              </w:rPr>
            </w:pPr>
          </w:p>
        </w:tc>
      </w:tr>
      <w:tr>
        <w:trPr>
          <w:trHeight w:val="237"/>
        </w:trPr>
        <w:tc>
          <w:tcPr>
            <w:tcW w:w="11040" w:type="dxa"/>
            <w:vAlign w:val="bottom"/>
          </w:tcPr>
          <w:p>
            <w:pPr>
              <w:ind w:left="20"/>
              <w:spacing w:after="0"/>
              <w:rPr>
                <w:sz w:val="20"/>
                <w:szCs w:val="20"/>
                <w:color w:val="auto"/>
              </w:rPr>
            </w:pPr>
            <w:r>
              <w:rPr>
                <w:rFonts w:ascii="Arial" w:cs="Arial" w:eastAsia="Arial" w:hAnsi="Arial"/>
                <w:sz w:val="18"/>
                <w:szCs w:val="18"/>
                <w:color w:val="auto"/>
              </w:rPr>
              <w:t>Board Evaluations</w:t>
            </w:r>
          </w:p>
        </w:tc>
        <w:tc>
          <w:tcPr>
            <w:tcW w:w="1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w w:val="79"/>
              </w:rPr>
              <w:t>12</w:t>
            </w:r>
          </w:p>
        </w:tc>
        <w:tc>
          <w:tcPr>
            <w:tcW w:w="20" w:type="dxa"/>
            <w:vAlign w:val="bottom"/>
          </w:tcPr>
          <w:p>
            <w:pPr>
              <w:spacing w:after="0"/>
              <w:rPr>
                <w:sz w:val="20"/>
                <w:szCs w:val="20"/>
                <w:color w:val="auto"/>
              </w:rPr>
            </w:pPr>
          </w:p>
        </w:tc>
      </w:tr>
      <w:tr>
        <w:trPr>
          <w:trHeight w:val="236"/>
        </w:trPr>
        <w:tc>
          <w:tcPr>
            <w:tcW w:w="11040" w:type="dxa"/>
            <w:vAlign w:val="bottom"/>
          </w:tcPr>
          <w:p>
            <w:pPr>
              <w:ind w:left="20"/>
              <w:spacing w:after="0"/>
              <w:rPr>
                <w:sz w:val="20"/>
                <w:szCs w:val="20"/>
                <w:color w:val="auto"/>
              </w:rPr>
            </w:pPr>
            <w:r>
              <w:rPr>
                <w:rFonts w:ascii="Arial" w:cs="Arial" w:eastAsia="Arial" w:hAnsi="Arial"/>
                <w:sz w:val="18"/>
                <w:szCs w:val="18"/>
                <w:color w:val="auto"/>
              </w:rPr>
              <w:t>Environmental, Social &amp; Governance Matters</w:t>
            </w:r>
          </w:p>
        </w:tc>
        <w:tc>
          <w:tcPr>
            <w:tcW w:w="1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w w:val="79"/>
              </w:rPr>
              <w:t>12</w:t>
            </w:r>
          </w:p>
        </w:tc>
        <w:tc>
          <w:tcPr>
            <w:tcW w:w="20" w:type="dxa"/>
            <w:vAlign w:val="bottom"/>
          </w:tcPr>
          <w:p>
            <w:pPr>
              <w:spacing w:after="0"/>
              <w:rPr>
                <w:sz w:val="20"/>
                <w:szCs w:val="20"/>
                <w:color w:val="auto"/>
              </w:rPr>
            </w:pPr>
          </w:p>
        </w:tc>
      </w:tr>
      <w:tr>
        <w:trPr>
          <w:trHeight w:val="48"/>
        </w:trPr>
        <w:tc>
          <w:tcPr>
            <w:tcW w:w="11040" w:type="dxa"/>
            <w:vAlign w:val="bottom"/>
            <w:tcBorders>
              <w:bottom w:val="single" w:sz="8" w:color="1F497D"/>
            </w:tcBorders>
          </w:tcPr>
          <w:p>
            <w:pPr>
              <w:spacing w:after="0"/>
              <w:rPr>
                <w:sz w:val="4"/>
                <w:szCs w:val="4"/>
                <w:color w:val="auto"/>
              </w:rPr>
            </w:pPr>
          </w:p>
        </w:tc>
        <w:tc>
          <w:tcPr>
            <w:tcW w:w="20" w:type="dxa"/>
            <w:vAlign w:val="bottom"/>
            <w:tcBorders>
              <w:bottom w:val="single" w:sz="8" w:color="1F497D"/>
            </w:tcBorders>
          </w:tcPr>
          <w:p>
            <w:pPr>
              <w:spacing w:after="0"/>
              <w:rPr>
                <w:sz w:val="4"/>
                <w:szCs w:val="4"/>
                <w:color w:val="auto"/>
              </w:rPr>
            </w:pPr>
          </w:p>
        </w:tc>
        <w:tc>
          <w:tcPr>
            <w:tcW w:w="80" w:type="dxa"/>
            <w:vAlign w:val="bottom"/>
            <w:tcBorders>
              <w:bottom w:val="single" w:sz="8" w:color="1F497D"/>
            </w:tcBorders>
          </w:tcPr>
          <w:p>
            <w:pPr>
              <w:spacing w:after="0"/>
              <w:rPr>
                <w:sz w:val="4"/>
                <w:szCs w:val="4"/>
                <w:color w:val="auto"/>
              </w:rPr>
            </w:pPr>
          </w:p>
        </w:tc>
        <w:tc>
          <w:tcPr>
            <w:tcW w:w="20" w:type="dxa"/>
            <w:vAlign w:val="bottom"/>
            <w:tcBorders>
              <w:bottom w:val="single" w:sz="8" w:color="1F497D"/>
            </w:tcBorders>
          </w:tcPr>
          <w:p>
            <w:pPr>
              <w:spacing w:after="0"/>
              <w:rPr>
                <w:sz w:val="4"/>
                <w:szCs w:val="4"/>
                <w:color w:val="auto"/>
              </w:rPr>
            </w:pPr>
          </w:p>
        </w:tc>
        <w:tc>
          <w:tcPr>
            <w:tcW w:w="60" w:type="dxa"/>
            <w:vAlign w:val="bottom"/>
            <w:tcBorders>
              <w:bottom w:val="single" w:sz="8" w:color="1F497D"/>
            </w:tcBorders>
          </w:tcPr>
          <w:p>
            <w:pPr>
              <w:spacing w:after="0"/>
              <w:rPr>
                <w:sz w:val="4"/>
                <w:szCs w:val="4"/>
                <w:color w:val="auto"/>
              </w:rPr>
            </w:pPr>
          </w:p>
        </w:tc>
        <w:tc>
          <w:tcPr>
            <w:tcW w:w="20" w:type="dxa"/>
            <w:vAlign w:val="bottom"/>
            <w:tcBorders>
              <w:bottom w:val="single" w:sz="8" w:color="1F497D"/>
            </w:tcBorders>
          </w:tcPr>
          <w:p>
            <w:pPr>
              <w:spacing w:after="0"/>
              <w:rPr>
                <w:sz w:val="4"/>
                <w:szCs w:val="4"/>
                <w:color w:val="auto"/>
              </w:rPr>
            </w:pPr>
          </w:p>
        </w:tc>
      </w:tr>
      <w:tr>
        <w:trPr>
          <w:trHeight w:val="183"/>
        </w:trPr>
        <w:tc>
          <w:tcPr>
            <w:tcW w:w="11040" w:type="dxa"/>
            <w:vAlign w:val="bottom"/>
          </w:tcPr>
          <w:p>
            <w:pPr>
              <w:ind w:left="20"/>
              <w:spacing w:after="0" w:line="182" w:lineRule="exact"/>
              <w:rPr>
                <w:sz w:val="20"/>
                <w:szCs w:val="20"/>
                <w:color w:val="auto"/>
              </w:rPr>
            </w:pPr>
            <w:r>
              <w:rPr>
                <w:rFonts w:ascii="Arial" w:cs="Arial" w:eastAsia="Arial" w:hAnsi="Arial"/>
                <w:sz w:val="18"/>
                <w:szCs w:val="18"/>
                <w:b w:val="1"/>
                <w:bCs w:val="1"/>
                <w:color w:val="1F497D"/>
              </w:rPr>
              <w:t>DIRECTOR COMPENSATION</w:t>
            </w:r>
          </w:p>
        </w:tc>
        <w:tc>
          <w:tcPr>
            <w:tcW w:w="180" w:type="dxa"/>
            <w:vAlign w:val="bottom"/>
            <w:tcBorders>
              <w:bottom w:val="single" w:sz="8" w:color="1F497D"/>
            </w:tcBorders>
            <w:gridSpan w:val="4"/>
          </w:tcPr>
          <w:p>
            <w:pPr>
              <w:jc w:val="right"/>
              <w:spacing w:after="0" w:line="169" w:lineRule="exact"/>
              <w:rPr>
                <w:sz w:val="20"/>
                <w:szCs w:val="20"/>
                <w:color w:val="auto"/>
              </w:rPr>
            </w:pPr>
            <w:r>
              <w:rPr>
                <w:rFonts w:ascii="Arial" w:cs="Arial" w:eastAsia="Arial" w:hAnsi="Arial"/>
                <w:sz w:val="18"/>
                <w:szCs w:val="18"/>
                <w:b w:val="1"/>
                <w:bCs w:val="1"/>
                <w:color w:val="1F497D"/>
                <w:w w:val="79"/>
              </w:rPr>
              <w:t>13</w:t>
            </w:r>
          </w:p>
        </w:tc>
        <w:tc>
          <w:tcPr>
            <w:tcW w:w="20" w:type="dxa"/>
            <w:vAlign w:val="bottom"/>
          </w:tcPr>
          <w:p>
            <w:pPr>
              <w:spacing w:after="0"/>
              <w:rPr>
                <w:sz w:val="15"/>
                <w:szCs w:val="15"/>
                <w:color w:val="auto"/>
              </w:rPr>
            </w:pPr>
          </w:p>
        </w:tc>
      </w:tr>
      <w:tr>
        <w:trPr>
          <w:trHeight w:val="75"/>
        </w:trPr>
        <w:tc>
          <w:tcPr>
            <w:tcW w:w="11040" w:type="dxa"/>
            <w:vAlign w:val="bottom"/>
            <w:tcBorders>
              <w:bottom w:val="single" w:sz="8" w:color="1F497D"/>
            </w:tcBorders>
          </w:tcPr>
          <w:p>
            <w:pPr>
              <w:spacing w:after="0"/>
              <w:rPr>
                <w:sz w:val="6"/>
                <w:szCs w:val="6"/>
                <w:color w:val="auto"/>
              </w:rPr>
            </w:pPr>
          </w:p>
        </w:tc>
        <w:tc>
          <w:tcPr>
            <w:tcW w:w="20" w:type="dxa"/>
            <w:vAlign w:val="bottom"/>
            <w:tcBorders>
              <w:bottom w:val="single" w:sz="8" w:color="1F497D"/>
            </w:tcBorders>
          </w:tcPr>
          <w:p>
            <w:pPr>
              <w:spacing w:after="0"/>
              <w:rPr>
                <w:sz w:val="6"/>
                <w:szCs w:val="6"/>
                <w:color w:val="auto"/>
              </w:rPr>
            </w:pPr>
          </w:p>
        </w:tc>
        <w:tc>
          <w:tcPr>
            <w:tcW w:w="80" w:type="dxa"/>
            <w:vAlign w:val="bottom"/>
            <w:tcBorders>
              <w:bottom w:val="single" w:sz="8" w:color="1F497D"/>
            </w:tcBorders>
          </w:tcPr>
          <w:p>
            <w:pPr>
              <w:spacing w:after="0"/>
              <w:rPr>
                <w:sz w:val="6"/>
                <w:szCs w:val="6"/>
                <w:color w:val="auto"/>
              </w:rPr>
            </w:pPr>
          </w:p>
        </w:tc>
        <w:tc>
          <w:tcPr>
            <w:tcW w:w="20" w:type="dxa"/>
            <w:vAlign w:val="bottom"/>
            <w:tcBorders>
              <w:bottom w:val="single" w:sz="8" w:color="1F497D"/>
            </w:tcBorders>
          </w:tcPr>
          <w:p>
            <w:pPr>
              <w:spacing w:after="0"/>
              <w:rPr>
                <w:sz w:val="6"/>
                <w:szCs w:val="6"/>
                <w:color w:val="auto"/>
              </w:rPr>
            </w:pPr>
          </w:p>
        </w:tc>
        <w:tc>
          <w:tcPr>
            <w:tcW w:w="60" w:type="dxa"/>
            <w:vAlign w:val="bottom"/>
            <w:tcBorders>
              <w:bottom w:val="single" w:sz="8" w:color="1F497D"/>
            </w:tcBorders>
          </w:tcPr>
          <w:p>
            <w:pPr>
              <w:spacing w:after="0"/>
              <w:rPr>
                <w:sz w:val="6"/>
                <w:szCs w:val="6"/>
                <w:color w:val="auto"/>
              </w:rPr>
            </w:pPr>
          </w:p>
        </w:tc>
        <w:tc>
          <w:tcPr>
            <w:tcW w:w="20" w:type="dxa"/>
            <w:vAlign w:val="bottom"/>
            <w:tcBorders>
              <w:bottom w:val="single" w:sz="8" w:color="1F497D"/>
            </w:tcBorders>
          </w:tcPr>
          <w:p>
            <w:pPr>
              <w:spacing w:after="0"/>
              <w:rPr>
                <w:sz w:val="6"/>
                <w:szCs w:val="6"/>
                <w:color w:val="auto"/>
              </w:rPr>
            </w:pPr>
          </w:p>
        </w:tc>
      </w:tr>
      <w:tr>
        <w:trPr>
          <w:trHeight w:val="183"/>
        </w:trPr>
        <w:tc>
          <w:tcPr>
            <w:tcW w:w="11040" w:type="dxa"/>
            <w:vAlign w:val="bottom"/>
          </w:tcPr>
          <w:p>
            <w:pPr>
              <w:ind w:left="20"/>
              <w:spacing w:after="0" w:line="182" w:lineRule="exact"/>
              <w:rPr>
                <w:sz w:val="20"/>
                <w:szCs w:val="20"/>
                <w:color w:val="auto"/>
              </w:rPr>
            </w:pPr>
            <w:r>
              <w:rPr>
                <w:rFonts w:ascii="Arial" w:cs="Arial" w:eastAsia="Arial" w:hAnsi="Arial"/>
                <w:sz w:val="18"/>
                <w:szCs w:val="18"/>
                <w:color w:val="auto"/>
              </w:rPr>
              <w:t>Stock Ownership Guidelines</w:t>
            </w:r>
          </w:p>
        </w:tc>
        <w:tc>
          <w:tcPr>
            <w:tcW w:w="180" w:type="dxa"/>
            <w:vAlign w:val="bottom"/>
            <w:tcBorders>
              <w:bottom w:val="single" w:sz="8" w:color="auto"/>
            </w:tcBorders>
            <w:gridSpan w:val="4"/>
          </w:tcPr>
          <w:p>
            <w:pPr>
              <w:jc w:val="right"/>
              <w:spacing w:after="0" w:line="182" w:lineRule="exact"/>
              <w:rPr>
                <w:sz w:val="20"/>
                <w:szCs w:val="20"/>
                <w:color w:val="auto"/>
              </w:rPr>
            </w:pPr>
            <w:r>
              <w:rPr>
                <w:rFonts w:ascii="Arial" w:cs="Arial" w:eastAsia="Arial" w:hAnsi="Arial"/>
                <w:sz w:val="18"/>
                <w:szCs w:val="18"/>
                <w:color w:val="auto"/>
                <w:w w:val="79"/>
              </w:rPr>
              <w:t>13</w:t>
            </w:r>
          </w:p>
        </w:tc>
        <w:tc>
          <w:tcPr>
            <w:tcW w:w="20" w:type="dxa"/>
            <w:vAlign w:val="bottom"/>
          </w:tcPr>
          <w:p>
            <w:pPr>
              <w:spacing w:after="0"/>
              <w:rPr>
                <w:sz w:val="15"/>
                <w:szCs w:val="15"/>
                <w:color w:val="auto"/>
              </w:rPr>
            </w:pPr>
          </w:p>
        </w:tc>
      </w:tr>
      <w:tr>
        <w:trPr>
          <w:trHeight w:val="20"/>
        </w:trPr>
        <w:tc>
          <w:tcPr>
            <w:tcW w:w="11040" w:type="dxa"/>
            <w:vAlign w:val="bottom"/>
            <w:tcBorders>
              <w:bottom w:val="single" w:sz="8" w:color="1F497D"/>
            </w:tcBorders>
          </w:tcPr>
          <w:p>
            <w:pPr>
              <w:spacing w:after="0" w:line="20" w:lineRule="exact"/>
              <w:rPr>
                <w:sz w:val="1"/>
                <w:szCs w:val="1"/>
                <w:color w:val="auto"/>
              </w:rPr>
            </w:pPr>
          </w:p>
        </w:tc>
        <w:tc>
          <w:tcPr>
            <w:tcW w:w="20" w:type="dxa"/>
            <w:vAlign w:val="bottom"/>
            <w:tcBorders>
              <w:bottom w:val="single" w:sz="8" w:color="1F497D"/>
            </w:tcBorders>
          </w:tcPr>
          <w:p>
            <w:pPr>
              <w:spacing w:after="0" w:line="20" w:lineRule="exact"/>
              <w:rPr>
                <w:sz w:val="1"/>
                <w:szCs w:val="1"/>
                <w:color w:val="auto"/>
              </w:rPr>
            </w:pPr>
          </w:p>
        </w:tc>
        <w:tc>
          <w:tcPr>
            <w:tcW w:w="80" w:type="dxa"/>
            <w:vAlign w:val="bottom"/>
            <w:tcBorders>
              <w:bottom w:val="single" w:sz="8" w:color="1F497D"/>
            </w:tcBorders>
          </w:tcPr>
          <w:p>
            <w:pPr>
              <w:spacing w:after="0" w:line="20" w:lineRule="exact"/>
              <w:rPr>
                <w:sz w:val="1"/>
                <w:szCs w:val="1"/>
                <w:color w:val="auto"/>
              </w:rPr>
            </w:pPr>
          </w:p>
        </w:tc>
        <w:tc>
          <w:tcPr>
            <w:tcW w:w="20" w:type="dxa"/>
            <w:vAlign w:val="bottom"/>
            <w:tcBorders>
              <w:bottom w:val="single" w:sz="8" w:color="1F497D"/>
            </w:tcBorders>
          </w:tcPr>
          <w:p>
            <w:pPr>
              <w:spacing w:after="0" w:line="20" w:lineRule="exact"/>
              <w:rPr>
                <w:sz w:val="1"/>
                <w:szCs w:val="1"/>
                <w:color w:val="auto"/>
              </w:rPr>
            </w:pPr>
          </w:p>
        </w:tc>
        <w:tc>
          <w:tcPr>
            <w:tcW w:w="60" w:type="dxa"/>
            <w:vAlign w:val="bottom"/>
            <w:tcBorders>
              <w:bottom w:val="single" w:sz="8" w:color="1F497D"/>
            </w:tcBorders>
          </w:tcPr>
          <w:p>
            <w:pPr>
              <w:spacing w:after="0" w:line="20" w:lineRule="exact"/>
              <w:rPr>
                <w:sz w:val="1"/>
                <w:szCs w:val="1"/>
                <w:color w:val="auto"/>
              </w:rPr>
            </w:pPr>
          </w:p>
        </w:tc>
        <w:tc>
          <w:tcPr>
            <w:tcW w:w="20" w:type="dxa"/>
            <w:vAlign w:val="bottom"/>
            <w:tcBorders>
              <w:bottom w:val="single" w:sz="8" w:color="1F497D"/>
            </w:tcBorders>
          </w:tcPr>
          <w:p>
            <w:pPr>
              <w:spacing w:after="0" w:line="20" w:lineRule="exact"/>
              <w:rPr>
                <w:sz w:val="1"/>
                <w:szCs w:val="1"/>
                <w:color w:val="auto"/>
              </w:rPr>
            </w:pPr>
          </w:p>
        </w:tc>
      </w:tr>
      <w:tr>
        <w:trPr>
          <w:trHeight w:val="183"/>
        </w:trPr>
        <w:tc>
          <w:tcPr>
            <w:tcW w:w="11040" w:type="dxa"/>
            <w:vAlign w:val="bottom"/>
          </w:tcPr>
          <w:p>
            <w:pPr>
              <w:ind w:left="20"/>
              <w:spacing w:after="0" w:line="169" w:lineRule="exact"/>
              <w:rPr>
                <w:sz w:val="20"/>
                <w:szCs w:val="20"/>
                <w:color w:val="auto"/>
              </w:rPr>
            </w:pPr>
            <w:r>
              <w:rPr>
                <w:rFonts w:ascii="Arial" w:cs="Arial" w:eastAsia="Arial" w:hAnsi="Arial"/>
                <w:sz w:val="18"/>
                <w:szCs w:val="18"/>
                <w:color w:val="auto"/>
              </w:rPr>
              <w:t>2022 Director Compensation Table</w:t>
            </w:r>
          </w:p>
        </w:tc>
        <w:tc>
          <w:tcPr>
            <w:tcW w:w="180" w:type="dxa"/>
            <w:vAlign w:val="bottom"/>
            <w:tcBorders>
              <w:bottom w:val="single" w:sz="8" w:color="auto"/>
            </w:tcBorders>
            <w:gridSpan w:val="4"/>
          </w:tcPr>
          <w:p>
            <w:pPr>
              <w:jc w:val="right"/>
              <w:spacing w:after="0" w:line="169" w:lineRule="exact"/>
              <w:rPr>
                <w:sz w:val="20"/>
                <w:szCs w:val="20"/>
                <w:color w:val="auto"/>
              </w:rPr>
            </w:pPr>
            <w:r>
              <w:rPr>
                <w:rFonts w:ascii="Arial" w:cs="Arial" w:eastAsia="Arial" w:hAnsi="Arial"/>
                <w:sz w:val="18"/>
                <w:szCs w:val="18"/>
                <w:color w:val="auto"/>
                <w:w w:val="79"/>
              </w:rPr>
              <w:t>14</w:t>
            </w:r>
          </w:p>
        </w:tc>
        <w:tc>
          <w:tcPr>
            <w:tcW w:w="20" w:type="dxa"/>
            <w:vAlign w:val="bottom"/>
          </w:tcPr>
          <w:p>
            <w:pPr>
              <w:spacing w:after="0"/>
              <w:rPr>
                <w:sz w:val="15"/>
                <w:szCs w:val="15"/>
                <w:color w:val="auto"/>
              </w:rPr>
            </w:pPr>
          </w:p>
        </w:tc>
      </w:tr>
      <w:tr>
        <w:trPr>
          <w:trHeight w:val="48"/>
        </w:trPr>
        <w:tc>
          <w:tcPr>
            <w:tcW w:w="11040" w:type="dxa"/>
            <w:vAlign w:val="bottom"/>
            <w:tcBorders>
              <w:bottom w:val="single" w:sz="8" w:color="1F497D"/>
            </w:tcBorders>
          </w:tcPr>
          <w:p>
            <w:pPr>
              <w:spacing w:after="0"/>
              <w:rPr>
                <w:sz w:val="4"/>
                <w:szCs w:val="4"/>
                <w:color w:val="auto"/>
              </w:rPr>
            </w:pPr>
          </w:p>
        </w:tc>
        <w:tc>
          <w:tcPr>
            <w:tcW w:w="20" w:type="dxa"/>
            <w:vAlign w:val="bottom"/>
            <w:tcBorders>
              <w:bottom w:val="single" w:sz="8" w:color="1F497D"/>
            </w:tcBorders>
          </w:tcPr>
          <w:p>
            <w:pPr>
              <w:spacing w:after="0"/>
              <w:rPr>
                <w:sz w:val="4"/>
                <w:szCs w:val="4"/>
                <w:color w:val="auto"/>
              </w:rPr>
            </w:pPr>
          </w:p>
        </w:tc>
        <w:tc>
          <w:tcPr>
            <w:tcW w:w="80" w:type="dxa"/>
            <w:vAlign w:val="bottom"/>
            <w:tcBorders>
              <w:bottom w:val="single" w:sz="8" w:color="1F497D"/>
            </w:tcBorders>
          </w:tcPr>
          <w:p>
            <w:pPr>
              <w:spacing w:after="0"/>
              <w:rPr>
                <w:sz w:val="4"/>
                <w:szCs w:val="4"/>
                <w:color w:val="auto"/>
              </w:rPr>
            </w:pPr>
          </w:p>
        </w:tc>
        <w:tc>
          <w:tcPr>
            <w:tcW w:w="20" w:type="dxa"/>
            <w:vAlign w:val="bottom"/>
            <w:tcBorders>
              <w:bottom w:val="single" w:sz="8" w:color="1F497D"/>
            </w:tcBorders>
          </w:tcPr>
          <w:p>
            <w:pPr>
              <w:spacing w:after="0"/>
              <w:rPr>
                <w:sz w:val="4"/>
                <w:szCs w:val="4"/>
                <w:color w:val="auto"/>
              </w:rPr>
            </w:pPr>
          </w:p>
        </w:tc>
        <w:tc>
          <w:tcPr>
            <w:tcW w:w="60" w:type="dxa"/>
            <w:vAlign w:val="bottom"/>
            <w:tcBorders>
              <w:bottom w:val="single" w:sz="8" w:color="1F497D"/>
            </w:tcBorders>
          </w:tcPr>
          <w:p>
            <w:pPr>
              <w:spacing w:after="0"/>
              <w:rPr>
                <w:sz w:val="4"/>
                <w:szCs w:val="4"/>
                <w:color w:val="auto"/>
              </w:rPr>
            </w:pPr>
          </w:p>
        </w:tc>
        <w:tc>
          <w:tcPr>
            <w:tcW w:w="20" w:type="dxa"/>
            <w:vAlign w:val="bottom"/>
            <w:tcBorders>
              <w:bottom w:val="single" w:sz="8" w:color="1F497D"/>
            </w:tcBorders>
          </w:tcPr>
          <w:p>
            <w:pPr>
              <w:spacing w:after="0"/>
              <w:rPr>
                <w:sz w:val="4"/>
                <w:szCs w:val="4"/>
                <w:color w:val="auto"/>
              </w:rPr>
            </w:pPr>
          </w:p>
        </w:tc>
      </w:tr>
      <w:tr>
        <w:trPr>
          <w:trHeight w:val="183"/>
        </w:trPr>
        <w:tc>
          <w:tcPr>
            <w:tcW w:w="11040" w:type="dxa"/>
            <w:vAlign w:val="bottom"/>
          </w:tcPr>
          <w:p>
            <w:pPr>
              <w:ind w:left="20"/>
              <w:spacing w:after="0" w:line="182" w:lineRule="exact"/>
              <w:rPr>
                <w:sz w:val="20"/>
                <w:szCs w:val="20"/>
                <w:color w:val="auto"/>
              </w:rPr>
            </w:pPr>
            <w:r>
              <w:rPr>
                <w:rFonts w:ascii="Arial" w:cs="Arial" w:eastAsia="Arial" w:hAnsi="Arial"/>
                <w:sz w:val="18"/>
                <w:szCs w:val="18"/>
                <w:b w:val="1"/>
                <w:bCs w:val="1"/>
                <w:color w:val="1F497D"/>
              </w:rPr>
              <w:t>PROPOSAL 2: RATIFICATION OF APPOINTMENT OF INDEPENDENT REGISTERED PUBLIC ACCOUNTING FIRM</w:t>
            </w:r>
          </w:p>
        </w:tc>
        <w:tc>
          <w:tcPr>
            <w:tcW w:w="180" w:type="dxa"/>
            <w:vAlign w:val="bottom"/>
            <w:tcBorders>
              <w:bottom w:val="single" w:sz="8" w:color="1F497D"/>
            </w:tcBorders>
            <w:gridSpan w:val="4"/>
          </w:tcPr>
          <w:p>
            <w:pPr>
              <w:jc w:val="right"/>
              <w:spacing w:after="0" w:line="169" w:lineRule="exact"/>
              <w:rPr>
                <w:sz w:val="20"/>
                <w:szCs w:val="20"/>
                <w:color w:val="auto"/>
              </w:rPr>
            </w:pPr>
            <w:r>
              <w:rPr>
                <w:rFonts w:ascii="Arial" w:cs="Arial" w:eastAsia="Arial" w:hAnsi="Arial"/>
                <w:sz w:val="18"/>
                <w:szCs w:val="18"/>
                <w:b w:val="1"/>
                <w:bCs w:val="1"/>
                <w:color w:val="1F497D"/>
                <w:w w:val="79"/>
              </w:rPr>
              <w:t>15</w:t>
            </w:r>
          </w:p>
        </w:tc>
        <w:tc>
          <w:tcPr>
            <w:tcW w:w="20" w:type="dxa"/>
            <w:vAlign w:val="bottom"/>
          </w:tcPr>
          <w:p>
            <w:pPr>
              <w:spacing w:after="0"/>
              <w:rPr>
                <w:sz w:val="15"/>
                <w:szCs w:val="15"/>
                <w:color w:val="auto"/>
              </w:rPr>
            </w:pPr>
          </w:p>
        </w:tc>
      </w:tr>
      <w:tr>
        <w:trPr>
          <w:trHeight w:val="75"/>
        </w:trPr>
        <w:tc>
          <w:tcPr>
            <w:tcW w:w="11040" w:type="dxa"/>
            <w:vAlign w:val="bottom"/>
            <w:tcBorders>
              <w:bottom w:val="single" w:sz="8" w:color="1F497D"/>
            </w:tcBorders>
          </w:tcPr>
          <w:p>
            <w:pPr>
              <w:spacing w:after="0"/>
              <w:rPr>
                <w:sz w:val="6"/>
                <w:szCs w:val="6"/>
                <w:color w:val="auto"/>
              </w:rPr>
            </w:pPr>
          </w:p>
        </w:tc>
        <w:tc>
          <w:tcPr>
            <w:tcW w:w="20" w:type="dxa"/>
            <w:vAlign w:val="bottom"/>
            <w:tcBorders>
              <w:bottom w:val="single" w:sz="8" w:color="1F497D"/>
            </w:tcBorders>
          </w:tcPr>
          <w:p>
            <w:pPr>
              <w:spacing w:after="0"/>
              <w:rPr>
                <w:sz w:val="6"/>
                <w:szCs w:val="6"/>
                <w:color w:val="auto"/>
              </w:rPr>
            </w:pPr>
          </w:p>
        </w:tc>
        <w:tc>
          <w:tcPr>
            <w:tcW w:w="80" w:type="dxa"/>
            <w:vAlign w:val="bottom"/>
            <w:tcBorders>
              <w:bottom w:val="single" w:sz="8" w:color="1F497D"/>
            </w:tcBorders>
          </w:tcPr>
          <w:p>
            <w:pPr>
              <w:spacing w:after="0"/>
              <w:rPr>
                <w:sz w:val="6"/>
                <w:szCs w:val="6"/>
                <w:color w:val="auto"/>
              </w:rPr>
            </w:pPr>
          </w:p>
        </w:tc>
        <w:tc>
          <w:tcPr>
            <w:tcW w:w="20" w:type="dxa"/>
            <w:vAlign w:val="bottom"/>
            <w:tcBorders>
              <w:bottom w:val="single" w:sz="8" w:color="1F497D"/>
            </w:tcBorders>
          </w:tcPr>
          <w:p>
            <w:pPr>
              <w:spacing w:after="0"/>
              <w:rPr>
                <w:sz w:val="6"/>
                <w:szCs w:val="6"/>
                <w:color w:val="auto"/>
              </w:rPr>
            </w:pPr>
          </w:p>
        </w:tc>
        <w:tc>
          <w:tcPr>
            <w:tcW w:w="60" w:type="dxa"/>
            <w:vAlign w:val="bottom"/>
            <w:tcBorders>
              <w:bottom w:val="single" w:sz="8" w:color="1F497D"/>
            </w:tcBorders>
          </w:tcPr>
          <w:p>
            <w:pPr>
              <w:spacing w:after="0"/>
              <w:rPr>
                <w:sz w:val="6"/>
                <w:szCs w:val="6"/>
                <w:color w:val="auto"/>
              </w:rPr>
            </w:pPr>
          </w:p>
        </w:tc>
        <w:tc>
          <w:tcPr>
            <w:tcW w:w="20" w:type="dxa"/>
            <w:vAlign w:val="bottom"/>
            <w:tcBorders>
              <w:bottom w:val="single" w:sz="8" w:color="1F497D"/>
            </w:tcBorders>
          </w:tcPr>
          <w:p>
            <w:pPr>
              <w:spacing w:after="0"/>
              <w:rPr>
                <w:sz w:val="6"/>
                <w:szCs w:val="6"/>
                <w:color w:val="auto"/>
              </w:rPr>
            </w:pPr>
          </w:p>
        </w:tc>
      </w:tr>
      <w:tr>
        <w:trPr>
          <w:trHeight w:val="183"/>
        </w:trPr>
        <w:tc>
          <w:tcPr>
            <w:tcW w:w="11040" w:type="dxa"/>
            <w:vAlign w:val="bottom"/>
          </w:tcPr>
          <w:p>
            <w:pPr>
              <w:ind w:left="20"/>
              <w:spacing w:after="0" w:line="169" w:lineRule="exact"/>
              <w:rPr>
                <w:sz w:val="20"/>
                <w:szCs w:val="20"/>
                <w:color w:val="auto"/>
              </w:rPr>
            </w:pPr>
            <w:r>
              <w:rPr>
                <w:rFonts w:ascii="Arial" w:cs="Arial" w:eastAsia="Arial" w:hAnsi="Arial"/>
                <w:sz w:val="18"/>
                <w:szCs w:val="18"/>
                <w:color w:val="auto"/>
              </w:rPr>
              <w:t>Auditor Fees</w:t>
            </w:r>
          </w:p>
        </w:tc>
        <w:tc>
          <w:tcPr>
            <w:tcW w:w="180" w:type="dxa"/>
            <w:vAlign w:val="bottom"/>
            <w:tcBorders>
              <w:bottom w:val="single" w:sz="8" w:color="auto"/>
            </w:tcBorders>
            <w:gridSpan w:val="4"/>
          </w:tcPr>
          <w:p>
            <w:pPr>
              <w:jc w:val="right"/>
              <w:spacing w:after="0" w:line="169" w:lineRule="exact"/>
              <w:rPr>
                <w:sz w:val="20"/>
                <w:szCs w:val="20"/>
                <w:color w:val="auto"/>
              </w:rPr>
            </w:pPr>
            <w:r>
              <w:rPr>
                <w:rFonts w:ascii="Arial" w:cs="Arial" w:eastAsia="Arial" w:hAnsi="Arial"/>
                <w:sz w:val="18"/>
                <w:szCs w:val="18"/>
                <w:color w:val="auto"/>
                <w:w w:val="79"/>
              </w:rPr>
              <w:t>15</w:t>
            </w:r>
          </w:p>
        </w:tc>
        <w:tc>
          <w:tcPr>
            <w:tcW w:w="20" w:type="dxa"/>
            <w:vAlign w:val="bottom"/>
          </w:tcPr>
          <w:p>
            <w:pPr>
              <w:spacing w:after="0"/>
              <w:rPr>
                <w:sz w:val="15"/>
                <w:szCs w:val="15"/>
                <w:color w:val="auto"/>
              </w:rPr>
            </w:pPr>
          </w:p>
        </w:tc>
      </w:tr>
      <w:tr>
        <w:trPr>
          <w:trHeight w:val="236"/>
        </w:trPr>
        <w:tc>
          <w:tcPr>
            <w:tcW w:w="11040" w:type="dxa"/>
            <w:vAlign w:val="bottom"/>
          </w:tcPr>
          <w:p>
            <w:pPr>
              <w:ind w:left="20"/>
              <w:spacing w:after="0"/>
              <w:rPr>
                <w:sz w:val="20"/>
                <w:szCs w:val="20"/>
                <w:color w:val="auto"/>
              </w:rPr>
            </w:pPr>
            <w:r>
              <w:rPr>
                <w:rFonts w:ascii="Arial" w:cs="Arial" w:eastAsia="Arial" w:hAnsi="Arial"/>
                <w:sz w:val="18"/>
                <w:szCs w:val="18"/>
                <w:color w:val="auto"/>
              </w:rPr>
              <w:t>Pre-Approval Policy</w:t>
            </w:r>
          </w:p>
        </w:tc>
        <w:tc>
          <w:tcPr>
            <w:tcW w:w="1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w w:val="79"/>
              </w:rPr>
              <w:t>15</w:t>
            </w:r>
          </w:p>
        </w:tc>
        <w:tc>
          <w:tcPr>
            <w:tcW w:w="20" w:type="dxa"/>
            <w:vAlign w:val="bottom"/>
          </w:tcPr>
          <w:p>
            <w:pPr>
              <w:spacing w:after="0"/>
              <w:rPr>
                <w:sz w:val="20"/>
                <w:szCs w:val="20"/>
                <w:color w:val="auto"/>
              </w:rPr>
            </w:pPr>
          </w:p>
        </w:tc>
      </w:tr>
      <w:tr>
        <w:trPr>
          <w:trHeight w:val="237"/>
        </w:trPr>
        <w:tc>
          <w:tcPr>
            <w:tcW w:w="11040" w:type="dxa"/>
            <w:vAlign w:val="bottom"/>
          </w:tcPr>
          <w:p>
            <w:pPr>
              <w:ind w:left="20"/>
              <w:spacing w:after="0"/>
              <w:rPr>
                <w:sz w:val="20"/>
                <w:szCs w:val="20"/>
                <w:color w:val="auto"/>
              </w:rPr>
            </w:pPr>
            <w:r>
              <w:rPr>
                <w:rFonts w:ascii="Arial" w:cs="Arial" w:eastAsia="Arial" w:hAnsi="Arial"/>
                <w:sz w:val="18"/>
                <w:szCs w:val="18"/>
                <w:color w:val="auto"/>
              </w:rPr>
              <w:t>Audit Committee Report</w:t>
            </w:r>
          </w:p>
        </w:tc>
        <w:tc>
          <w:tcPr>
            <w:tcW w:w="1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w w:val="79"/>
              </w:rPr>
              <w:t>16</w:t>
            </w:r>
          </w:p>
        </w:tc>
        <w:tc>
          <w:tcPr>
            <w:tcW w:w="20" w:type="dxa"/>
            <w:vAlign w:val="bottom"/>
          </w:tcPr>
          <w:p>
            <w:pPr>
              <w:spacing w:after="0"/>
              <w:rPr>
                <w:sz w:val="20"/>
                <w:szCs w:val="20"/>
                <w:color w:val="auto"/>
              </w:rPr>
            </w:pPr>
          </w:p>
        </w:tc>
      </w:tr>
      <w:tr>
        <w:trPr>
          <w:trHeight w:val="48"/>
        </w:trPr>
        <w:tc>
          <w:tcPr>
            <w:tcW w:w="11040" w:type="dxa"/>
            <w:vAlign w:val="bottom"/>
            <w:tcBorders>
              <w:bottom w:val="single" w:sz="8" w:color="1F497D"/>
            </w:tcBorders>
          </w:tcPr>
          <w:p>
            <w:pPr>
              <w:spacing w:after="0"/>
              <w:rPr>
                <w:sz w:val="4"/>
                <w:szCs w:val="4"/>
                <w:color w:val="auto"/>
              </w:rPr>
            </w:pPr>
          </w:p>
        </w:tc>
        <w:tc>
          <w:tcPr>
            <w:tcW w:w="20" w:type="dxa"/>
            <w:vAlign w:val="bottom"/>
            <w:tcBorders>
              <w:bottom w:val="single" w:sz="8" w:color="1F497D"/>
            </w:tcBorders>
          </w:tcPr>
          <w:p>
            <w:pPr>
              <w:spacing w:after="0"/>
              <w:rPr>
                <w:sz w:val="4"/>
                <w:szCs w:val="4"/>
                <w:color w:val="auto"/>
              </w:rPr>
            </w:pPr>
          </w:p>
        </w:tc>
        <w:tc>
          <w:tcPr>
            <w:tcW w:w="80" w:type="dxa"/>
            <w:vAlign w:val="bottom"/>
            <w:tcBorders>
              <w:bottom w:val="single" w:sz="8" w:color="1F497D"/>
            </w:tcBorders>
          </w:tcPr>
          <w:p>
            <w:pPr>
              <w:spacing w:after="0"/>
              <w:rPr>
                <w:sz w:val="4"/>
                <w:szCs w:val="4"/>
                <w:color w:val="auto"/>
              </w:rPr>
            </w:pPr>
          </w:p>
        </w:tc>
        <w:tc>
          <w:tcPr>
            <w:tcW w:w="20" w:type="dxa"/>
            <w:vAlign w:val="bottom"/>
            <w:tcBorders>
              <w:bottom w:val="single" w:sz="8" w:color="1F497D"/>
            </w:tcBorders>
          </w:tcPr>
          <w:p>
            <w:pPr>
              <w:spacing w:after="0"/>
              <w:rPr>
                <w:sz w:val="4"/>
                <w:szCs w:val="4"/>
                <w:color w:val="auto"/>
              </w:rPr>
            </w:pPr>
          </w:p>
        </w:tc>
        <w:tc>
          <w:tcPr>
            <w:tcW w:w="60" w:type="dxa"/>
            <w:vAlign w:val="bottom"/>
            <w:tcBorders>
              <w:bottom w:val="single" w:sz="8" w:color="1F497D"/>
            </w:tcBorders>
          </w:tcPr>
          <w:p>
            <w:pPr>
              <w:spacing w:after="0"/>
              <w:rPr>
                <w:sz w:val="4"/>
                <w:szCs w:val="4"/>
                <w:color w:val="auto"/>
              </w:rPr>
            </w:pPr>
          </w:p>
        </w:tc>
        <w:tc>
          <w:tcPr>
            <w:tcW w:w="20" w:type="dxa"/>
            <w:vAlign w:val="bottom"/>
            <w:tcBorders>
              <w:bottom w:val="single" w:sz="8" w:color="1F497D"/>
            </w:tcBorders>
          </w:tcPr>
          <w:p>
            <w:pPr>
              <w:spacing w:after="0"/>
              <w:rPr>
                <w:sz w:val="4"/>
                <w:szCs w:val="4"/>
                <w:color w:val="auto"/>
              </w:rPr>
            </w:pPr>
          </w:p>
        </w:tc>
      </w:tr>
      <w:tr>
        <w:trPr>
          <w:trHeight w:val="183"/>
        </w:trPr>
        <w:tc>
          <w:tcPr>
            <w:tcW w:w="11040" w:type="dxa"/>
            <w:vAlign w:val="bottom"/>
          </w:tcPr>
          <w:p>
            <w:pPr>
              <w:ind w:left="20"/>
              <w:spacing w:after="0" w:line="169" w:lineRule="exact"/>
              <w:rPr>
                <w:sz w:val="20"/>
                <w:szCs w:val="20"/>
                <w:color w:val="auto"/>
              </w:rPr>
            </w:pPr>
            <w:r>
              <w:rPr>
                <w:rFonts w:ascii="Arial" w:cs="Arial" w:eastAsia="Arial" w:hAnsi="Arial"/>
                <w:sz w:val="18"/>
                <w:szCs w:val="18"/>
                <w:b w:val="1"/>
                <w:bCs w:val="1"/>
                <w:color w:val="1F497D"/>
              </w:rPr>
              <w:t>PROPOSAL 3: ADVISORY VOTE TO APPROVE THE COMPENSATION OF THE NAMED EXECUTIVE OFFICERS</w:t>
            </w:r>
          </w:p>
        </w:tc>
        <w:tc>
          <w:tcPr>
            <w:tcW w:w="180" w:type="dxa"/>
            <w:vAlign w:val="bottom"/>
            <w:tcBorders>
              <w:bottom w:val="single" w:sz="8" w:color="1F497D"/>
            </w:tcBorders>
            <w:gridSpan w:val="4"/>
          </w:tcPr>
          <w:p>
            <w:pPr>
              <w:jc w:val="right"/>
              <w:spacing w:after="0" w:line="169" w:lineRule="exact"/>
              <w:rPr>
                <w:sz w:val="20"/>
                <w:szCs w:val="20"/>
                <w:color w:val="auto"/>
              </w:rPr>
            </w:pPr>
            <w:r>
              <w:rPr>
                <w:rFonts w:ascii="Arial" w:cs="Arial" w:eastAsia="Arial" w:hAnsi="Arial"/>
                <w:sz w:val="18"/>
                <w:szCs w:val="18"/>
                <w:b w:val="1"/>
                <w:bCs w:val="1"/>
                <w:color w:val="1F497D"/>
                <w:w w:val="79"/>
              </w:rPr>
              <w:t>17</w:t>
            </w:r>
          </w:p>
        </w:tc>
        <w:tc>
          <w:tcPr>
            <w:tcW w:w="20" w:type="dxa"/>
            <w:vAlign w:val="bottom"/>
          </w:tcPr>
          <w:p>
            <w:pPr>
              <w:spacing w:after="0"/>
              <w:rPr>
                <w:sz w:val="15"/>
                <w:szCs w:val="15"/>
                <w:color w:val="auto"/>
              </w:rPr>
            </w:pPr>
          </w:p>
        </w:tc>
      </w:tr>
      <w:tr>
        <w:trPr>
          <w:trHeight w:val="48"/>
        </w:trPr>
        <w:tc>
          <w:tcPr>
            <w:tcW w:w="11040" w:type="dxa"/>
            <w:vAlign w:val="bottom"/>
            <w:tcBorders>
              <w:bottom w:val="single" w:sz="8" w:color="1F497D"/>
            </w:tcBorders>
          </w:tcPr>
          <w:p>
            <w:pPr>
              <w:spacing w:after="0"/>
              <w:rPr>
                <w:sz w:val="4"/>
                <w:szCs w:val="4"/>
                <w:color w:val="auto"/>
              </w:rPr>
            </w:pPr>
          </w:p>
        </w:tc>
        <w:tc>
          <w:tcPr>
            <w:tcW w:w="20" w:type="dxa"/>
            <w:vAlign w:val="bottom"/>
            <w:tcBorders>
              <w:bottom w:val="single" w:sz="8" w:color="1F497D"/>
            </w:tcBorders>
          </w:tcPr>
          <w:p>
            <w:pPr>
              <w:spacing w:after="0"/>
              <w:rPr>
                <w:sz w:val="4"/>
                <w:szCs w:val="4"/>
                <w:color w:val="auto"/>
              </w:rPr>
            </w:pPr>
          </w:p>
        </w:tc>
        <w:tc>
          <w:tcPr>
            <w:tcW w:w="80" w:type="dxa"/>
            <w:vAlign w:val="bottom"/>
            <w:tcBorders>
              <w:bottom w:val="single" w:sz="8" w:color="1F497D"/>
            </w:tcBorders>
          </w:tcPr>
          <w:p>
            <w:pPr>
              <w:spacing w:after="0"/>
              <w:rPr>
                <w:sz w:val="4"/>
                <w:szCs w:val="4"/>
                <w:color w:val="auto"/>
              </w:rPr>
            </w:pPr>
          </w:p>
        </w:tc>
        <w:tc>
          <w:tcPr>
            <w:tcW w:w="20" w:type="dxa"/>
            <w:vAlign w:val="bottom"/>
            <w:tcBorders>
              <w:bottom w:val="single" w:sz="8" w:color="1F497D"/>
            </w:tcBorders>
          </w:tcPr>
          <w:p>
            <w:pPr>
              <w:spacing w:after="0"/>
              <w:rPr>
                <w:sz w:val="4"/>
                <w:szCs w:val="4"/>
                <w:color w:val="auto"/>
              </w:rPr>
            </w:pPr>
          </w:p>
        </w:tc>
        <w:tc>
          <w:tcPr>
            <w:tcW w:w="60" w:type="dxa"/>
            <w:vAlign w:val="bottom"/>
            <w:tcBorders>
              <w:bottom w:val="single" w:sz="8" w:color="1F497D"/>
            </w:tcBorders>
          </w:tcPr>
          <w:p>
            <w:pPr>
              <w:spacing w:after="0"/>
              <w:rPr>
                <w:sz w:val="4"/>
                <w:szCs w:val="4"/>
                <w:color w:val="auto"/>
              </w:rPr>
            </w:pPr>
          </w:p>
        </w:tc>
        <w:tc>
          <w:tcPr>
            <w:tcW w:w="20" w:type="dxa"/>
            <w:vAlign w:val="bottom"/>
            <w:tcBorders>
              <w:bottom w:val="single" w:sz="8" w:color="1F497D"/>
            </w:tcBorders>
          </w:tcPr>
          <w:p>
            <w:pPr>
              <w:spacing w:after="0"/>
              <w:rPr>
                <w:sz w:val="4"/>
                <w:szCs w:val="4"/>
                <w:color w:val="auto"/>
              </w:rPr>
            </w:pPr>
          </w:p>
        </w:tc>
      </w:tr>
      <w:tr>
        <w:trPr>
          <w:trHeight w:val="183"/>
        </w:trPr>
        <w:tc>
          <w:tcPr>
            <w:tcW w:w="11040" w:type="dxa"/>
            <w:vAlign w:val="bottom"/>
          </w:tcPr>
          <w:p>
            <w:pPr>
              <w:ind w:left="20"/>
              <w:spacing w:after="0" w:line="182" w:lineRule="exact"/>
              <w:rPr>
                <w:sz w:val="20"/>
                <w:szCs w:val="20"/>
                <w:color w:val="auto"/>
              </w:rPr>
            </w:pPr>
            <w:r>
              <w:rPr>
                <w:rFonts w:ascii="Arial" w:cs="Arial" w:eastAsia="Arial" w:hAnsi="Arial"/>
                <w:sz w:val="18"/>
                <w:szCs w:val="18"/>
                <w:b w:val="1"/>
                <w:bCs w:val="1"/>
                <w:color w:val="1F497D"/>
              </w:rPr>
              <w:t>EXECUTIVE COMPENSATION</w:t>
            </w:r>
          </w:p>
        </w:tc>
        <w:tc>
          <w:tcPr>
            <w:tcW w:w="180" w:type="dxa"/>
            <w:vAlign w:val="bottom"/>
            <w:tcBorders>
              <w:bottom w:val="single" w:sz="8" w:color="1F497D"/>
            </w:tcBorders>
            <w:gridSpan w:val="4"/>
          </w:tcPr>
          <w:p>
            <w:pPr>
              <w:jc w:val="right"/>
              <w:spacing w:after="0" w:line="169" w:lineRule="exact"/>
              <w:rPr>
                <w:sz w:val="20"/>
                <w:szCs w:val="20"/>
                <w:color w:val="auto"/>
              </w:rPr>
            </w:pPr>
            <w:r>
              <w:rPr>
                <w:rFonts w:ascii="Arial" w:cs="Arial" w:eastAsia="Arial" w:hAnsi="Arial"/>
                <w:sz w:val="18"/>
                <w:szCs w:val="18"/>
                <w:b w:val="1"/>
                <w:bCs w:val="1"/>
                <w:color w:val="1F497D"/>
                <w:w w:val="79"/>
              </w:rPr>
              <w:t>18</w:t>
            </w:r>
          </w:p>
        </w:tc>
        <w:tc>
          <w:tcPr>
            <w:tcW w:w="20" w:type="dxa"/>
            <w:vAlign w:val="bottom"/>
          </w:tcPr>
          <w:p>
            <w:pPr>
              <w:spacing w:after="0"/>
              <w:rPr>
                <w:sz w:val="15"/>
                <w:szCs w:val="15"/>
                <w:color w:val="auto"/>
              </w:rPr>
            </w:pPr>
          </w:p>
        </w:tc>
      </w:tr>
      <w:tr>
        <w:trPr>
          <w:trHeight w:val="75"/>
        </w:trPr>
        <w:tc>
          <w:tcPr>
            <w:tcW w:w="11040" w:type="dxa"/>
            <w:vAlign w:val="bottom"/>
            <w:tcBorders>
              <w:bottom w:val="single" w:sz="8" w:color="1F497D"/>
            </w:tcBorders>
          </w:tcPr>
          <w:p>
            <w:pPr>
              <w:spacing w:after="0"/>
              <w:rPr>
                <w:sz w:val="6"/>
                <w:szCs w:val="6"/>
                <w:color w:val="auto"/>
              </w:rPr>
            </w:pPr>
          </w:p>
        </w:tc>
        <w:tc>
          <w:tcPr>
            <w:tcW w:w="20" w:type="dxa"/>
            <w:vAlign w:val="bottom"/>
            <w:tcBorders>
              <w:bottom w:val="single" w:sz="8" w:color="1F497D"/>
            </w:tcBorders>
          </w:tcPr>
          <w:p>
            <w:pPr>
              <w:spacing w:after="0"/>
              <w:rPr>
                <w:sz w:val="6"/>
                <w:szCs w:val="6"/>
                <w:color w:val="auto"/>
              </w:rPr>
            </w:pPr>
          </w:p>
        </w:tc>
        <w:tc>
          <w:tcPr>
            <w:tcW w:w="80" w:type="dxa"/>
            <w:vAlign w:val="bottom"/>
            <w:tcBorders>
              <w:bottom w:val="single" w:sz="8" w:color="1F497D"/>
            </w:tcBorders>
          </w:tcPr>
          <w:p>
            <w:pPr>
              <w:spacing w:after="0"/>
              <w:rPr>
                <w:sz w:val="6"/>
                <w:szCs w:val="6"/>
                <w:color w:val="auto"/>
              </w:rPr>
            </w:pPr>
          </w:p>
        </w:tc>
        <w:tc>
          <w:tcPr>
            <w:tcW w:w="20" w:type="dxa"/>
            <w:vAlign w:val="bottom"/>
            <w:tcBorders>
              <w:bottom w:val="single" w:sz="8" w:color="1F497D"/>
            </w:tcBorders>
          </w:tcPr>
          <w:p>
            <w:pPr>
              <w:spacing w:after="0"/>
              <w:rPr>
                <w:sz w:val="6"/>
                <w:szCs w:val="6"/>
                <w:color w:val="auto"/>
              </w:rPr>
            </w:pPr>
          </w:p>
        </w:tc>
        <w:tc>
          <w:tcPr>
            <w:tcW w:w="60" w:type="dxa"/>
            <w:vAlign w:val="bottom"/>
            <w:tcBorders>
              <w:bottom w:val="single" w:sz="8" w:color="1F497D"/>
            </w:tcBorders>
          </w:tcPr>
          <w:p>
            <w:pPr>
              <w:spacing w:after="0"/>
              <w:rPr>
                <w:sz w:val="6"/>
                <w:szCs w:val="6"/>
                <w:color w:val="auto"/>
              </w:rPr>
            </w:pPr>
          </w:p>
        </w:tc>
        <w:tc>
          <w:tcPr>
            <w:tcW w:w="20" w:type="dxa"/>
            <w:vAlign w:val="bottom"/>
            <w:tcBorders>
              <w:bottom w:val="single" w:sz="8" w:color="1F497D"/>
            </w:tcBorders>
          </w:tcPr>
          <w:p>
            <w:pPr>
              <w:spacing w:after="0"/>
              <w:rPr>
                <w:sz w:val="6"/>
                <w:szCs w:val="6"/>
                <w:color w:val="auto"/>
              </w:rPr>
            </w:pPr>
          </w:p>
        </w:tc>
      </w:tr>
      <w:tr>
        <w:trPr>
          <w:trHeight w:val="183"/>
        </w:trPr>
        <w:tc>
          <w:tcPr>
            <w:tcW w:w="11040" w:type="dxa"/>
            <w:vAlign w:val="bottom"/>
          </w:tcPr>
          <w:p>
            <w:pPr>
              <w:ind w:left="20"/>
              <w:spacing w:after="0" w:line="169" w:lineRule="exact"/>
              <w:rPr>
                <w:sz w:val="20"/>
                <w:szCs w:val="20"/>
                <w:color w:val="auto"/>
              </w:rPr>
            </w:pPr>
            <w:r>
              <w:rPr>
                <w:rFonts w:ascii="Arial" w:cs="Arial" w:eastAsia="Arial" w:hAnsi="Arial"/>
                <w:sz w:val="18"/>
                <w:szCs w:val="18"/>
                <w:color w:val="auto"/>
              </w:rPr>
              <w:t>Compensation Discussion and Analysis</w:t>
            </w:r>
          </w:p>
        </w:tc>
        <w:tc>
          <w:tcPr>
            <w:tcW w:w="180" w:type="dxa"/>
            <w:vAlign w:val="bottom"/>
            <w:tcBorders>
              <w:bottom w:val="single" w:sz="8" w:color="auto"/>
            </w:tcBorders>
            <w:gridSpan w:val="4"/>
          </w:tcPr>
          <w:p>
            <w:pPr>
              <w:jc w:val="right"/>
              <w:spacing w:after="0" w:line="169" w:lineRule="exact"/>
              <w:rPr>
                <w:sz w:val="20"/>
                <w:szCs w:val="20"/>
                <w:color w:val="auto"/>
              </w:rPr>
            </w:pPr>
            <w:r>
              <w:rPr>
                <w:rFonts w:ascii="Arial" w:cs="Arial" w:eastAsia="Arial" w:hAnsi="Arial"/>
                <w:sz w:val="18"/>
                <w:szCs w:val="18"/>
                <w:color w:val="auto"/>
                <w:w w:val="79"/>
              </w:rPr>
              <w:t>21</w:t>
            </w:r>
          </w:p>
        </w:tc>
        <w:tc>
          <w:tcPr>
            <w:tcW w:w="20" w:type="dxa"/>
            <w:vAlign w:val="bottom"/>
          </w:tcPr>
          <w:p>
            <w:pPr>
              <w:spacing w:after="0"/>
              <w:rPr>
                <w:sz w:val="15"/>
                <w:szCs w:val="15"/>
                <w:color w:val="auto"/>
              </w:rPr>
            </w:pPr>
          </w:p>
        </w:tc>
      </w:tr>
      <w:tr>
        <w:trPr>
          <w:trHeight w:val="236"/>
        </w:trPr>
        <w:tc>
          <w:tcPr>
            <w:tcW w:w="11040" w:type="dxa"/>
            <w:vAlign w:val="bottom"/>
          </w:tcPr>
          <w:p>
            <w:pPr>
              <w:ind w:left="20"/>
              <w:spacing w:after="0"/>
              <w:rPr>
                <w:sz w:val="20"/>
                <w:szCs w:val="20"/>
                <w:color w:val="auto"/>
              </w:rPr>
            </w:pPr>
            <w:r>
              <w:rPr>
                <w:rFonts w:ascii="Arial" w:cs="Arial" w:eastAsia="Arial" w:hAnsi="Arial"/>
                <w:sz w:val="18"/>
                <w:szCs w:val="18"/>
                <w:color w:val="auto"/>
              </w:rPr>
              <w:t>Compensation, Nominating and Corporate Governance Committee Report</w:t>
            </w:r>
          </w:p>
        </w:tc>
        <w:tc>
          <w:tcPr>
            <w:tcW w:w="1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w w:val="79"/>
              </w:rPr>
              <w:t>32</w:t>
            </w:r>
          </w:p>
        </w:tc>
        <w:tc>
          <w:tcPr>
            <w:tcW w:w="20" w:type="dxa"/>
            <w:vAlign w:val="bottom"/>
          </w:tcPr>
          <w:p>
            <w:pPr>
              <w:spacing w:after="0"/>
              <w:rPr>
                <w:sz w:val="20"/>
                <w:szCs w:val="20"/>
                <w:color w:val="auto"/>
              </w:rPr>
            </w:pPr>
          </w:p>
        </w:tc>
      </w:tr>
      <w:tr>
        <w:trPr>
          <w:trHeight w:val="237"/>
        </w:trPr>
        <w:tc>
          <w:tcPr>
            <w:tcW w:w="11040" w:type="dxa"/>
            <w:vAlign w:val="bottom"/>
          </w:tcPr>
          <w:p>
            <w:pPr>
              <w:ind w:left="20"/>
              <w:spacing w:after="0"/>
              <w:rPr>
                <w:sz w:val="20"/>
                <w:szCs w:val="20"/>
                <w:color w:val="auto"/>
              </w:rPr>
            </w:pPr>
            <w:r>
              <w:rPr>
                <w:rFonts w:ascii="Arial" w:cs="Arial" w:eastAsia="Arial" w:hAnsi="Arial"/>
                <w:sz w:val="18"/>
                <w:szCs w:val="18"/>
                <w:color w:val="auto"/>
              </w:rPr>
              <w:t>Summary Compensation Table</w:t>
            </w:r>
          </w:p>
        </w:tc>
        <w:tc>
          <w:tcPr>
            <w:tcW w:w="1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w w:val="79"/>
              </w:rPr>
              <w:t>33</w:t>
            </w:r>
          </w:p>
        </w:tc>
        <w:tc>
          <w:tcPr>
            <w:tcW w:w="20" w:type="dxa"/>
            <w:vAlign w:val="bottom"/>
          </w:tcPr>
          <w:p>
            <w:pPr>
              <w:spacing w:after="0"/>
              <w:rPr>
                <w:sz w:val="20"/>
                <w:szCs w:val="20"/>
                <w:color w:val="auto"/>
              </w:rPr>
            </w:pPr>
          </w:p>
        </w:tc>
      </w:tr>
      <w:tr>
        <w:trPr>
          <w:trHeight w:val="236"/>
        </w:trPr>
        <w:tc>
          <w:tcPr>
            <w:tcW w:w="11040" w:type="dxa"/>
            <w:vAlign w:val="bottom"/>
          </w:tcPr>
          <w:p>
            <w:pPr>
              <w:ind w:left="20"/>
              <w:spacing w:after="0"/>
              <w:rPr>
                <w:sz w:val="20"/>
                <w:szCs w:val="20"/>
                <w:color w:val="auto"/>
              </w:rPr>
            </w:pPr>
            <w:r>
              <w:rPr>
                <w:rFonts w:ascii="Arial" w:cs="Arial" w:eastAsia="Arial" w:hAnsi="Arial"/>
                <w:sz w:val="18"/>
                <w:szCs w:val="18"/>
                <w:color w:val="auto"/>
              </w:rPr>
              <w:t>2022 Grants of Plan-Based Awards</w:t>
            </w:r>
          </w:p>
        </w:tc>
        <w:tc>
          <w:tcPr>
            <w:tcW w:w="1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w w:val="79"/>
              </w:rPr>
              <w:t>36</w:t>
            </w:r>
          </w:p>
        </w:tc>
        <w:tc>
          <w:tcPr>
            <w:tcW w:w="20" w:type="dxa"/>
            <w:vAlign w:val="bottom"/>
          </w:tcPr>
          <w:p>
            <w:pPr>
              <w:spacing w:after="0"/>
              <w:rPr>
                <w:sz w:val="20"/>
                <w:szCs w:val="20"/>
                <w:color w:val="auto"/>
              </w:rPr>
            </w:pPr>
          </w:p>
        </w:tc>
      </w:tr>
      <w:tr>
        <w:trPr>
          <w:trHeight w:val="237"/>
        </w:trPr>
        <w:tc>
          <w:tcPr>
            <w:tcW w:w="11040" w:type="dxa"/>
            <w:vAlign w:val="bottom"/>
          </w:tcPr>
          <w:p>
            <w:pPr>
              <w:ind w:left="20"/>
              <w:spacing w:after="0"/>
              <w:rPr>
                <w:sz w:val="20"/>
                <w:szCs w:val="20"/>
                <w:color w:val="auto"/>
              </w:rPr>
            </w:pPr>
            <w:r>
              <w:rPr>
                <w:rFonts w:ascii="Arial" w:cs="Arial" w:eastAsia="Arial" w:hAnsi="Arial"/>
                <w:sz w:val="18"/>
                <w:szCs w:val="18"/>
                <w:color w:val="auto"/>
              </w:rPr>
              <w:t>Outstanding Equity Awards at 2022 Fiscal Year-End</w:t>
            </w:r>
          </w:p>
        </w:tc>
        <w:tc>
          <w:tcPr>
            <w:tcW w:w="1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w w:val="79"/>
              </w:rPr>
              <w:t>37</w:t>
            </w:r>
          </w:p>
        </w:tc>
        <w:tc>
          <w:tcPr>
            <w:tcW w:w="20" w:type="dxa"/>
            <w:vAlign w:val="bottom"/>
          </w:tcPr>
          <w:p>
            <w:pPr>
              <w:spacing w:after="0"/>
              <w:rPr>
                <w:sz w:val="20"/>
                <w:szCs w:val="20"/>
                <w:color w:val="auto"/>
              </w:rPr>
            </w:pPr>
          </w:p>
        </w:tc>
      </w:tr>
      <w:tr>
        <w:trPr>
          <w:trHeight w:val="236"/>
        </w:trPr>
        <w:tc>
          <w:tcPr>
            <w:tcW w:w="11040" w:type="dxa"/>
            <w:vAlign w:val="bottom"/>
          </w:tcPr>
          <w:p>
            <w:pPr>
              <w:ind w:left="20"/>
              <w:spacing w:after="0"/>
              <w:rPr>
                <w:sz w:val="20"/>
                <w:szCs w:val="20"/>
                <w:color w:val="auto"/>
              </w:rPr>
            </w:pPr>
            <w:r>
              <w:rPr>
                <w:rFonts w:ascii="Arial" w:cs="Arial" w:eastAsia="Arial" w:hAnsi="Arial"/>
                <w:sz w:val="18"/>
                <w:szCs w:val="18"/>
                <w:color w:val="auto"/>
              </w:rPr>
              <w:t>Option Exercises and Stock Vested</w:t>
            </w:r>
          </w:p>
        </w:tc>
        <w:tc>
          <w:tcPr>
            <w:tcW w:w="1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w w:val="79"/>
              </w:rPr>
              <w:t>38</w:t>
            </w:r>
          </w:p>
        </w:tc>
        <w:tc>
          <w:tcPr>
            <w:tcW w:w="20" w:type="dxa"/>
            <w:vAlign w:val="bottom"/>
          </w:tcPr>
          <w:p>
            <w:pPr>
              <w:spacing w:after="0"/>
              <w:rPr>
                <w:sz w:val="20"/>
                <w:szCs w:val="20"/>
                <w:color w:val="auto"/>
              </w:rPr>
            </w:pPr>
          </w:p>
        </w:tc>
      </w:tr>
      <w:tr>
        <w:trPr>
          <w:trHeight w:val="237"/>
        </w:trPr>
        <w:tc>
          <w:tcPr>
            <w:tcW w:w="11040" w:type="dxa"/>
            <w:vAlign w:val="bottom"/>
          </w:tcPr>
          <w:p>
            <w:pPr>
              <w:ind w:left="20"/>
              <w:spacing w:after="0"/>
              <w:rPr>
                <w:sz w:val="20"/>
                <w:szCs w:val="20"/>
                <w:color w:val="auto"/>
              </w:rPr>
            </w:pPr>
            <w:r>
              <w:rPr>
                <w:rFonts w:ascii="Arial" w:cs="Arial" w:eastAsia="Arial" w:hAnsi="Arial"/>
                <w:sz w:val="18"/>
                <w:szCs w:val="18"/>
                <w:color w:val="auto"/>
              </w:rPr>
              <w:t>2022 Pension Benefits</w:t>
            </w:r>
          </w:p>
        </w:tc>
        <w:tc>
          <w:tcPr>
            <w:tcW w:w="1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w w:val="79"/>
              </w:rPr>
              <w:t>38</w:t>
            </w:r>
          </w:p>
        </w:tc>
        <w:tc>
          <w:tcPr>
            <w:tcW w:w="20" w:type="dxa"/>
            <w:vAlign w:val="bottom"/>
          </w:tcPr>
          <w:p>
            <w:pPr>
              <w:spacing w:after="0"/>
              <w:rPr>
                <w:sz w:val="20"/>
                <w:szCs w:val="20"/>
                <w:color w:val="auto"/>
              </w:rPr>
            </w:pPr>
          </w:p>
        </w:tc>
      </w:tr>
      <w:tr>
        <w:trPr>
          <w:trHeight w:val="236"/>
        </w:trPr>
        <w:tc>
          <w:tcPr>
            <w:tcW w:w="11040" w:type="dxa"/>
            <w:vAlign w:val="bottom"/>
          </w:tcPr>
          <w:p>
            <w:pPr>
              <w:ind w:left="20"/>
              <w:spacing w:after="0"/>
              <w:rPr>
                <w:sz w:val="20"/>
                <w:szCs w:val="20"/>
                <w:color w:val="auto"/>
              </w:rPr>
            </w:pPr>
            <w:r>
              <w:rPr>
                <w:rFonts w:ascii="Arial" w:cs="Arial" w:eastAsia="Arial" w:hAnsi="Arial"/>
                <w:sz w:val="18"/>
                <w:szCs w:val="18"/>
                <w:color w:val="auto"/>
              </w:rPr>
              <w:t>2022 Nonqualified Deferred Compensation</w:t>
            </w:r>
          </w:p>
        </w:tc>
        <w:tc>
          <w:tcPr>
            <w:tcW w:w="1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w w:val="79"/>
              </w:rPr>
              <w:t>39</w:t>
            </w:r>
          </w:p>
        </w:tc>
        <w:tc>
          <w:tcPr>
            <w:tcW w:w="20" w:type="dxa"/>
            <w:vAlign w:val="bottom"/>
          </w:tcPr>
          <w:p>
            <w:pPr>
              <w:spacing w:after="0"/>
              <w:rPr>
                <w:sz w:val="20"/>
                <w:szCs w:val="20"/>
                <w:color w:val="auto"/>
              </w:rPr>
            </w:pPr>
          </w:p>
        </w:tc>
      </w:tr>
      <w:tr>
        <w:trPr>
          <w:trHeight w:val="237"/>
        </w:trPr>
        <w:tc>
          <w:tcPr>
            <w:tcW w:w="11040" w:type="dxa"/>
            <w:vAlign w:val="bottom"/>
          </w:tcPr>
          <w:p>
            <w:pPr>
              <w:ind w:left="20"/>
              <w:spacing w:after="0"/>
              <w:rPr>
                <w:sz w:val="20"/>
                <w:szCs w:val="20"/>
                <w:color w:val="auto"/>
              </w:rPr>
            </w:pPr>
            <w:r>
              <w:rPr>
                <w:rFonts w:ascii="Arial" w:cs="Arial" w:eastAsia="Arial" w:hAnsi="Arial"/>
                <w:sz w:val="18"/>
                <w:szCs w:val="18"/>
                <w:color w:val="auto"/>
              </w:rPr>
              <w:t>Potential Payments Upon Termination or Change in Control</w:t>
            </w:r>
          </w:p>
        </w:tc>
        <w:tc>
          <w:tcPr>
            <w:tcW w:w="1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w w:val="79"/>
              </w:rPr>
              <w:t>40</w:t>
            </w:r>
          </w:p>
        </w:tc>
        <w:tc>
          <w:tcPr>
            <w:tcW w:w="20" w:type="dxa"/>
            <w:vAlign w:val="bottom"/>
          </w:tcPr>
          <w:p>
            <w:pPr>
              <w:spacing w:after="0"/>
              <w:rPr>
                <w:sz w:val="20"/>
                <w:szCs w:val="20"/>
                <w:color w:val="auto"/>
              </w:rPr>
            </w:pPr>
          </w:p>
        </w:tc>
      </w:tr>
      <w:tr>
        <w:trPr>
          <w:trHeight w:val="237"/>
        </w:trPr>
        <w:tc>
          <w:tcPr>
            <w:tcW w:w="11040" w:type="dxa"/>
            <w:vAlign w:val="bottom"/>
          </w:tcPr>
          <w:p>
            <w:pPr>
              <w:ind w:left="20"/>
              <w:spacing w:after="0"/>
              <w:rPr>
                <w:sz w:val="20"/>
                <w:szCs w:val="20"/>
                <w:color w:val="auto"/>
              </w:rPr>
            </w:pPr>
            <w:r>
              <w:rPr>
                <w:rFonts w:ascii="Arial" w:cs="Arial" w:eastAsia="Arial" w:hAnsi="Arial"/>
                <w:sz w:val="18"/>
                <w:szCs w:val="18"/>
                <w:color w:val="auto"/>
              </w:rPr>
              <w:t>CEO Pay Ratio</w:t>
            </w:r>
          </w:p>
        </w:tc>
        <w:tc>
          <w:tcPr>
            <w:tcW w:w="1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w w:val="79"/>
              </w:rPr>
              <w:t>46</w:t>
            </w:r>
          </w:p>
        </w:tc>
        <w:tc>
          <w:tcPr>
            <w:tcW w:w="20" w:type="dxa"/>
            <w:vAlign w:val="bottom"/>
          </w:tcPr>
          <w:p>
            <w:pPr>
              <w:spacing w:after="0"/>
              <w:rPr>
                <w:sz w:val="20"/>
                <w:szCs w:val="20"/>
                <w:color w:val="auto"/>
              </w:rPr>
            </w:pPr>
          </w:p>
        </w:tc>
      </w:tr>
      <w:tr>
        <w:trPr>
          <w:trHeight w:val="236"/>
        </w:trPr>
        <w:tc>
          <w:tcPr>
            <w:tcW w:w="11040" w:type="dxa"/>
            <w:vAlign w:val="bottom"/>
          </w:tcPr>
          <w:p>
            <w:pPr>
              <w:ind w:left="20"/>
              <w:spacing w:after="0"/>
              <w:rPr>
                <w:sz w:val="20"/>
                <w:szCs w:val="20"/>
                <w:color w:val="auto"/>
              </w:rPr>
            </w:pPr>
            <w:r>
              <w:rPr>
                <w:rFonts w:ascii="Arial" w:cs="Arial" w:eastAsia="Arial" w:hAnsi="Arial"/>
                <w:sz w:val="18"/>
                <w:szCs w:val="18"/>
                <w:color w:val="auto"/>
              </w:rPr>
              <w:t>Pay Versus Performance</w:t>
            </w:r>
          </w:p>
        </w:tc>
        <w:tc>
          <w:tcPr>
            <w:tcW w:w="1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w w:val="79"/>
              </w:rPr>
              <w:t>47</w:t>
            </w:r>
          </w:p>
        </w:tc>
        <w:tc>
          <w:tcPr>
            <w:tcW w:w="20" w:type="dxa"/>
            <w:vAlign w:val="bottom"/>
          </w:tcPr>
          <w:p>
            <w:pPr>
              <w:spacing w:after="0"/>
              <w:rPr>
                <w:sz w:val="20"/>
                <w:szCs w:val="20"/>
                <w:color w:val="auto"/>
              </w:rPr>
            </w:pPr>
          </w:p>
        </w:tc>
      </w:tr>
      <w:tr>
        <w:trPr>
          <w:trHeight w:val="210"/>
        </w:trPr>
        <w:tc>
          <w:tcPr>
            <w:tcW w:w="11040" w:type="dxa"/>
            <w:vAlign w:val="bottom"/>
          </w:tcPr>
          <w:p>
            <w:pPr>
              <w:ind w:left="20"/>
              <w:spacing w:after="0" w:line="196" w:lineRule="exact"/>
              <w:rPr>
                <w:sz w:val="20"/>
                <w:szCs w:val="20"/>
                <w:color w:val="auto"/>
              </w:rPr>
            </w:pPr>
            <w:r>
              <w:rPr>
                <w:rFonts w:ascii="Arial" w:cs="Arial" w:eastAsia="Arial" w:hAnsi="Arial"/>
                <w:sz w:val="18"/>
                <w:szCs w:val="18"/>
                <w:color w:val="auto"/>
              </w:rPr>
              <w:t>Equity Compensation Plan Information</w:t>
            </w:r>
          </w:p>
        </w:tc>
        <w:tc>
          <w:tcPr>
            <w:tcW w:w="180" w:type="dxa"/>
            <w:vAlign w:val="bottom"/>
            <w:tcBorders>
              <w:bottom w:val="single" w:sz="8" w:color="auto"/>
            </w:tcBorders>
            <w:gridSpan w:val="4"/>
          </w:tcPr>
          <w:p>
            <w:pPr>
              <w:jc w:val="right"/>
              <w:spacing w:after="0" w:line="196" w:lineRule="exact"/>
              <w:rPr>
                <w:sz w:val="20"/>
                <w:szCs w:val="20"/>
                <w:color w:val="auto"/>
              </w:rPr>
            </w:pPr>
            <w:r>
              <w:rPr>
                <w:rFonts w:ascii="Arial" w:cs="Arial" w:eastAsia="Arial" w:hAnsi="Arial"/>
                <w:sz w:val="18"/>
                <w:szCs w:val="18"/>
                <w:color w:val="auto"/>
                <w:w w:val="79"/>
              </w:rPr>
              <w:t>51</w:t>
            </w:r>
          </w:p>
        </w:tc>
        <w:tc>
          <w:tcPr>
            <w:tcW w:w="20" w:type="dxa"/>
            <w:vAlign w:val="bottom"/>
          </w:tcPr>
          <w:p>
            <w:pPr>
              <w:spacing w:after="0"/>
              <w:rPr>
                <w:sz w:val="18"/>
                <w:szCs w:val="18"/>
                <w:color w:val="auto"/>
              </w:rPr>
            </w:pPr>
          </w:p>
        </w:tc>
      </w:tr>
      <w:tr>
        <w:trPr>
          <w:trHeight w:val="48"/>
        </w:trPr>
        <w:tc>
          <w:tcPr>
            <w:tcW w:w="11040" w:type="dxa"/>
            <w:vAlign w:val="bottom"/>
            <w:tcBorders>
              <w:bottom w:val="single" w:sz="8" w:color="1F497D"/>
            </w:tcBorders>
          </w:tcPr>
          <w:p>
            <w:pPr>
              <w:spacing w:after="0"/>
              <w:rPr>
                <w:sz w:val="4"/>
                <w:szCs w:val="4"/>
                <w:color w:val="auto"/>
              </w:rPr>
            </w:pPr>
          </w:p>
        </w:tc>
        <w:tc>
          <w:tcPr>
            <w:tcW w:w="20" w:type="dxa"/>
            <w:vAlign w:val="bottom"/>
            <w:tcBorders>
              <w:bottom w:val="single" w:sz="8" w:color="1F497D"/>
            </w:tcBorders>
          </w:tcPr>
          <w:p>
            <w:pPr>
              <w:spacing w:after="0"/>
              <w:rPr>
                <w:sz w:val="4"/>
                <w:szCs w:val="4"/>
                <w:color w:val="auto"/>
              </w:rPr>
            </w:pPr>
          </w:p>
        </w:tc>
        <w:tc>
          <w:tcPr>
            <w:tcW w:w="80" w:type="dxa"/>
            <w:vAlign w:val="bottom"/>
            <w:tcBorders>
              <w:bottom w:val="single" w:sz="8" w:color="1F497D"/>
            </w:tcBorders>
          </w:tcPr>
          <w:p>
            <w:pPr>
              <w:spacing w:after="0"/>
              <w:rPr>
                <w:sz w:val="4"/>
                <w:szCs w:val="4"/>
                <w:color w:val="auto"/>
              </w:rPr>
            </w:pPr>
          </w:p>
        </w:tc>
        <w:tc>
          <w:tcPr>
            <w:tcW w:w="20" w:type="dxa"/>
            <w:vAlign w:val="bottom"/>
            <w:tcBorders>
              <w:bottom w:val="single" w:sz="8" w:color="1F497D"/>
            </w:tcBorders>
          </w:tcPr>
          <w:p>
            <w:pPr>
              <w:spacing w:after="0"/>
              <w:rPr>
                <w:sz w:val="4"/>
                <w:szCs w:val="4"/>
                <w:color w:val="auto"/>
              </w:rPr>
            </w:pPr>
          </w:p>
        </w:tc>
        <w:tc>
          <w:tcPr>
            <w:tcW w:w="60" w:type="dxa"/>
            <w:vAlign w:val="bottom"/>
            <w:tcBorders>
              <w:bottom w:val="single" w:sz="8" w:color="1F497D"/>
            </w:tcBorders>
          </w:tcPr>
          <w:p>
            <w:pPr>
              <w:spacing w:after="0"/>
              <w:rPr>
                <w:sz w:val="4"/>
                <w:szCs w:val="4"/>
                <w:color w:val="auto"/>
              </w:rPr>
            </w:pPr>
          </w:p>
        </w:tc>
        <w:tc>
          <w:tcPr>
            <w:tcW w:w="20" w:type="dxa"/>
            <w:vAlign w:val="bottom"/>
            <w:tcBorders>
              <w:bottom w:val="single" w:sz="8" w:color="1F497D"/>
            </w:tcBorders>
          </w:tcPr>
          <w:p>
            <w:pPr>
              <w:spacing w:after="0"/>
              <w:rPr>
                <w:sz w:val="4"/>
                <w:szCs w:val="4"/>
                <w:color w:val="auto"/>
              </w:rPr>
            </w:pPr>
          </w:p>
        </w:tc>
      </w:tr>
      <w:tr>
        <w:trPr>
          <w:trHeight w:val="183"/>
        </w:trPr>
        <w:tc>
          <w:tcPr>
            <w:tcW w:w="11040" w:type="dxa"/>
            <w:vAlign w:val="bottom"/>
          </w:tcPr>
          <w:p>
            <w:pPr>
              <w:ind w:left="20"/>
              <w:spacing w:after="0" w:line="169" w:lineRule="exact"/>
              <w:rPr>
                <w:sz w:val="20"/>
                <w:szCs w:val="20"/>
                <w:color w:val="auto"/>
              </w:rPr>
            </w:pPr>
            <w:r>
              <w:rPr>
                <w:rFonts w:ascii="Arial" w:cs="Arial" w:eastAsia="Arial" w:hAnsi="Arial"/>
                <w:sz w:val="18"/>
                <w:szCs w:val="18"/>
                <w:b w:val="1"/>
                <w:bCs w:val="1"/>
                <w:color w:val="1F497D"/>
              </w:rPr>
              <w:t>SECURITY OWNERSHIP OF CERTAIN BENEFICIAL OWNERS AND MANAGEMENT</w:t>
            </w:r>
          </w:p>
        </w:tc>
        <w:tc>
          <w:tcPr>
            <w:tcW w:w="180" w:type="dxa"/>
            <w:vAlign w:val="bottom"/>
            <w:tcBorders>
              <w:bottom w:val="single" w:sz="8" w:color="1F497D"/>
            </w:tcBorders>
            <w:gridSpan w:val="4"/>
          </w:tcPr>
          <w:p>
            <w:pPr>
              <w:jc w:val="right"/>
              <w:spacing w:after="0" w:line="169" w:lineRule="exact"/>
              <w:rPr>
                <w:sz w:val="20"/>
                <w:szCs w:val="20"/>
                <w:color w:val="auto"/>
              </w:rPr>
            </w:pPr>
            <w:r>
              <w:rPr>
                <w:rFonts w:ascii="Arial" w:cs="Arial" w:eastAsia="Arial" w:hAnsi="Arial"/>
                <w:sz w:val="18"/>
                <w:szCs w:val="18"/>
                <w:b w:val="1"/>
                <w:bCs w:val="1"/>
                <w:color w:val="1F497D"/>
                <w:w w:val="79"/>
              </w:rPr>
              <w:t>52</w:t>
            </w:r>
          </w:p>
        </w:tc>
        <w:tc>
          <w:tcPr>
            <w:tcW w:w="20" w:type="dxa"/>
            <w:vAlign w:val="bottom"/>
          </w:tcPr>
          <w:p>
            <w:pPr>
              <w:spacing w:after="0"/>
              <w:rPr>
                <w:sz w:val="15"/>
                <w:szCs w:val="15"/>
                <w:color w:val="auto"/>
              </w:rPr>
            </w:pPr>
          </w:p>
        </w:tc>
      </w:tr>
      <w:tr>
        <w:trPr>
          <w:trHeight w:val="48"/>
        </w:trPr>
        <w:tc>
          <w:tcPr>
            <w:tcW w:w="11040" w:type="dxa"/>
            <w:vAlign w:val="bottom"/>
            <w:tcBorders>
              <w:bottom w:val="single" w:sz="8" w:color="1F497D"/>
            </w:tcBorders>
          </w:tcPr>
          <w:p>
            <w:pPr>
              <w:spacing w:after="0"/>
              <w:rPr>
                <w:sz w:val="4"/>
                <w:szCs w:val="4"/>
                <w:color w:val="auto"/>
              </w:rPr>
            </w:pPr>
          </w:p>
        </w:tc>
        <w:tc>
          <w:tcPr>
            <w:tcW w:w="20" w:type="dxa"/>
            <w:vAlign w:val="bottom"/>
            <w:tcBorders>
              <w:bottom w:val="single" w:sz="8" w:color="1F497D"/>
            </w:tcBorders>
          </w:tcPr>
          <w:p>
            <w:pPr>
              <w:spacing w:after="0"/>
              <w:rPr>
                <w:sz w:val="4"/>
                <w:szCs w:val="4"/>
                <w:color w:val="auto"/>
              </w:rPr>
            </w:pPr>
          </w:p>
        </w:tc>
        <w:tc>
          <w:tcPr>
            <w:tcW w:w="80" w:type="dxa"/>
            <w:vAlign w:val="bottom"/>
            <w:tcBorders>
              <w:bottom w:val="single" w:sz="8" w:color="1F497D"/>
            </w:tcBorders>
          </w:tcPr>
          <w:p>
            <w:pPr>
              <w:spacing w:after="0"/>
              <w:rPr>
                <w:sz w:val="4"/>
                <w:szCs w:val="4"/>
                <w:color w:val="auto"/>
              </w:rPr>
            </w:pPr>
          </w:p>
        </w:tc>
        <w:tc>
          <w:tcPr>
            <w:tcW w:w="20" w:type="dxa"/>
            <w:vAlign w:val="bottom"/>
            <w:tcBorders>
              <w:bottom w:val="single" w:sz="8" w:color="1F497D"/>
            </w:tcBorders>
          </w:tcPr>
          <w:p>
            <w:pPr>
              <w:spacing w:after="0"/>
              <w:rPr>
                <w:sz w:val="4"/>
                <w:szCs w:val="4"/>
                <w:color w:val="auto"/>
              </w:rPr>
            </w:pPr>
          </w:p>
        </w:tc>
        <w:tc>
          <w:tcPr>
            <w:tcW w:w="60" w:type="dxa"/>
            <w:vAlign w:val="bottom"/>
            <w:tcBorders>
              <w:bottom w:val="single" w:sz="8" w:color="1F497D"/>
            </w:tcBorders>
          </w:tcPr>
          <w:p>
            <w:pPr>
              <w:spacing w:after="0"/>
              <w:rPr>
                <w:sz w:val="4"/>
                <w:szCs w:val="4"/>
                <w:color w:val="auto"/>
              </w:rPr>
            </w:pPr>
          </w:p>
        </w:tc>
        <w:tc>
          <w:tcPr>
            <w:tcW w:w="20" w:type="dxa"/>
            <w:vAlign w:val="bottom"/>
            <w:tcBorders>
              <w:bottom w:val="single" w:sz="8" w:color="1F497D"/>
            </w:tcBorders>
          </w:tcPr>
          <w:p>
            <w:pPr>
              <w:spacing w:after="0"/>
              <w:rPr>
                <w:sz w:val="4"/>
                <w:szCs w:val="4"/>
                <w:color w:val="auto"/>
              </w:rPr>
            </w:pPr>
          </w:p>
        </w:tc>
      </w:tr>
      <w:tr>
        <w:trPr>
          <w:trHeight w:val="182"/>
        </w:trPr>
        <w:tc>
          <w:tcPr>
            <w:tcW w:w="11040" w:type="dxa"/>
            <w:vAlign w:val="bottom"/>
          </w:tcPr>
          <w:p>
            <w:pPr>
              <w:ind w:left="20"/>
              <w:spacing w:after="0" w:line="182" w:lineRule="exact"/>
              <w:rPr>
                <w:sz w:val="20"/>
                <w:szCs w:val="20"/>
                <w:color w:val="auto"/>
              </w:rPr>
            </w:pPr>
            <w:r>
              <w:rPr>
                <w:rFonts w:ascii="Arial" w:cs="Arial" w:eastAsia="Arial" w:hAnsi="Arial"/>
                <w:sz w:val="18"/>
                <w:szCs w:val="18"/>
                <w:b w:val="1"/>
                <w:bCs w:val="1"/>
                <w:color w:val="1F497D"/>
              </w:rPr>
              <w:t>DELINQUENT SECTION 16(a) REPORTS</w:t>
            </w:r>
          </w:p>
        </w:tc>
        <w:tc>
          <w:tcPr>
            <w:tcW w:w="180" w:type="dxa"/>
            <w:vAlign w:val="bottom"/>
            <w:tcBorders>
              <w:bottom w:val="single" w:sz="8" w:color="1F497D"/>
            </w:tcBorders>
            <w:gridSpan w:val="4"/>
          </w:tcPr>
          <w:p>
            <w:pPr>
              <w:jc w:val="right"/>
              <w:spacing w:after="0" w:line="182" w:lineRule="exact"/>
              <w:rPr>
                <w:sz w:val="20"/>
                <w:szCs w:val="20"/>
                <w:color w:val="auto"/>
              </w:rPr>
            </w:pPr>
            <w:r>
              <w:rPr>
                <w:rFonts w:ascii="Arial" w:cs="Arial" w:eastAsia="Arial" w:hAnsi="Arial"/>
                <w:sz w:val="18"/>
                <w:szCs w:val="18"/>
                <w:b w:val="1"/>
                <w:bCs w:val="1"/>
                <w:color w:val="1F497D"/>
                <w:w w:val="79"/>
              </w:rPr>
              <w:t>54</w:t>
            </w:r>
          </w:p>
        </w:tc>
        <w:tc>
          <w:tcPr>
            <w:tcW w:w="20" w:type="dxa"/>
            <w:vAlign w:val="bottom"/>
          </w:tcPr>
          <w:p>
            <w:pPr>
              <w:spacing w:after="0"/>
              <w:rPr>
                <w:sz w:val="15"/>
                <w:szCs w:val="15"/>
                <w:color w:val="auto"/>
              </w:rPr>
            </w:pPr>
          </w:p>
        </w:tc>
      </w:tr>
      <w:tr>
        <w:trPr>
          <w:trHeight w:val="21"/>
        </w:trPr>
        <w:tc>
          <w:tcPr>
            <w:tcW w:w="11040" w:type="dxa"/>
            <w:vAlign w:val="bottom"/>
            <w:tcBorders>
              <w:bottom w:val="single" w:sz="8" w:color="1F497D"/>
            </w:tcBorders>
          </w:tcPr>
          <w:p>
            <w:pPr>
              <w:spacing w:after="0" w:line="20" w:lineRule="exact"/>
              <w:rPr>
                <w:sz w:val="1"/>
                <w:szCs w:val="1"/>
                <w:color w:val="auto"/>
              </w:rPr>
            </w:pPr>
          </w:p>
        </w:tc>
        <w:tc>
          <w:tcPr>
            <w:tcW w:w="20" w:type="dxa"/>
            <w:vAlign w:val="bottom"/>
            <w:tcBorders>
              <w:bottom w:val="single" w:sz="8" w:color="1F497D"/>
            </w:tcBorders>
          </w:tcPr>
          <w:p>
            <w:pPr>
              <w:spacing w:after="0" w:line="20" w:lineRule="exact"/>
              <w:rPr>
                <w:sz w:val="1"/>
                <w:szCs w:val="1"/>
                <w:color w:val="auto"/>
              </w:rPr>
            </w:pPr>
          </w:p>
        </w:tc>
        <w:tc>
          <w:tcPr>
            <w:tcW w:w="80" w:type="dxa"/>
            <w:vAlign w:val="bottom"/>
            <w:tcBorders>
              <w:bottom w:val="single" w:sz="8" w:color="1F497D"/>
            </w:tcBorders>
          </w:tcPr>
          <w:p>
            <w:pPr>
              <w:spacing w:after="0" w:line="20" w:lineRule="exact"/>
              <w:rPr>
                <w:sz w:val="1"/>
                <w:szCs w:val="1"/>
                <w:color w:val="auto"/>
              </w:rPr>
            </w:pPr>
          </w:p>
        </w:tc>
        <w:tc>
          <w:tcPr>
            <w:tcW w:w="20" w:type="dxa"/>
            <w:vAlign w:val="bottom"/>
            <w:tcBorders>
              <w:bottom w:val="single" w:sz="8" w:color="1F497D"/>
            </w:tcBorders>
          </w:tcPr>
          <w:p>
            <w:pPr>
              <w:spacing w:after="0" w:line="20" w:lineRule="exact"/>
              <w:rPr>
                <w:sz w:val="1"/>
                <w:szCs w:val="1"/>
                <w:color w:val="auto"/>
              </w:rPr>
            </w:pPr>
          </w:p>
        </w:tc>
        <w:tc>
          <w:tcPr>
            <w:tcW w:w="60" w:type="dxa"/>
            <w:vAlign w:val="bottom"/>
            <w:tcBorders>
              <w:bottom w:val="single" w:sz="8" w:color="1F497D"/>
            </w:tcBorders>
          </w:tcPr>
          <w:p>
            <w:pPr>
              <w:spacing w:after="0" w:line="20" w:lineRule="exact"/>
              <w:rPr>
                <w:sz w:val="1"/>
                <w:szCs w:val="1"/>
                <w:color w:val="auto"/>
              </w:rPr>
            </w:pPr>
          </w:p>
        </w:tc>
        <w:tc>
          <w:tcPr>
            <w:tcW w:w="20" w:type="dxa"/>
            <w:vAlign w:val="bottom"/>
            <w:tcBorders>
              <w:bottom w:val="single" w:sz="8" w:color="1F497D"/>
            </w:tcBorders>
          </w:tcPr>
          <w:p>
            <w:pPr>
              <w:spacing w:after="0" w:line="20" w:lineRule="exact"/>
              <w:rPr>
                <w:sz w:val="1"/>
                <w:szCs w:val="1"/>
                <w:color w:val="auto"/>
              </w:rPr>
            </w:pPr>
          </w:p>
        </w:tc>
      </w:tr>
      <w:tr>
        <w:trPr>
          <w:trHeight w:val="183"/>
        </w:trPr>
        <w:tc>
          <w:tcPr>
            <w:tcW w:w="11040" w:type="dxa"/>
            <w:vAlign w:val="bottom"/>
          </w:tcPr>
          <w:p>
            <w:pPr>
              <w:ind w:left="20"/>
              <w:spacing w:after="0" w:line="169" w:lineRule="exact"/>
              <w:rPr>
                <w:sz w:val="20"/>
                <w:szCs w:val="20"/>
                <w:color w:val="auto"/>
              </w:rPr>
            </w:pPr>
            <w:r>
              <w:rPr>
                <w:rFonts w:ascii="Arial" w:cs="Arial" w:eastAsia="Arial" w:hAnsi="Arial"/>
                <w:sz w:val="18"/>
                <w:szCs w:val="18"/>
                <w:b w:val="1"/>
                <w:bCs w:val="1"/>
                <w:color w:val="1F497D"/>
              </w:rPr>
              <w:t>CERTAIN RELATIONSHIPS AND RELATED PERSON TRANSACTIONS</w:t>
            </w:r>
          </w:p>
        </w:tc>
        <w:tc>
          <w:tcPr>
            <w:tcW w:w="180" w:type="dxa"/>
            <w:vAlign w:val="bottom"/>
            <w:tcBorders>
              <w:bottom w:val="single" w:sz="8" w:color="1F497D"/>
            </w:tcBorders>
            <w:gridSpan w:val="4"/>
          </w:tcPr>
          <w:p>
            <w:pPr>
              <w:jc w:val="right"/>
              <w:spacing w:after="0" w:line="169" w:lineRule="exact"/>
              <w:rPr>
                <w:sz w:val="20"/>
                <w:szCs w:val="20"/>
                <w:color w:val="auto"/>
              </w:rPr>
            </w:pPr>
            <w:r>
              <w:rPr>
                <w:rFonts w:ascii="Arial" w:cs="Arial" w:eastAsia="Arial" w:hAnsi="Arial"/>
                <w:sz w:val="18"/>
                <w:szCs w:val="18"/>
                <w:b w:val="1"/>
                <w:bCs w:val="1"/>
                <w:color w:val="1F497D"/>
                <w:w w:val="79"/>
              </w:rPr>
              <w:t>55</w:t>
            </w:r>
          </w:p>
        </w:tc>
        <w:tc>
          <w:tcPr>
            <w:tcW w:w="20" w:type="dxa"/>
            <w:vAlign w:val="bottom"/>
          </w:tcPr>
          <w:p>
            <w:pPr>
              <w:spacing w:after="0"/>
              <w:rPr>
                <w:sz w:val="15"/>
                <w:szCs w:val="15"/>
                <w:color w:val="auto"/>
              </w:rPr>
            </w:pPr>
          </w:p>
        </w:tc>
      </w:tr>
      <w:tr>
        <w:trPr>
          <w:trHeight w:val="48"/>
        </w:trPr>
        <w:tc>
          <w:tcPr>
            <w:tcW w:w="11040" w:type="dxa"/>
            <w:vAlign w:val="bottom"/>
            <w:tcBorders>
              <w:bottom w:val="single" w:sz="8" w:color="1F497D"/>
            </w:tcBorders>
          </w:tcPr>
          <w:p>
            <w:pPr>
              <w:spacing w:after="0"/>
              <w:rPr>
                <w:sz w:val="4"/>
                <w:szCs w:val="4"/>
                <w:color w:val="auto"/>
              </w:rPr>
            </w:pPr>
          </w:p>
        </w:tc>
        <w:tc>
          <w:tcPr>
            <w:tcW w:w="20" w:type="dxa"/>
            <w:vAlign w:val="bottom"/>
            <w:tcBorders>
              <w:bottom w:val="single" w:sz="8" w:color="1F497D"/>
            </w:tcBorders>
          </w:tcPr>
          <w:p>
            <w:pPr>
              <w:spacing w:after="0"/>
              <w:rPr>
                <w:sz w:val="4"/>
                <w:szCs w:val="4"/>
                <w:color w:val="auto"/>
              </w:rPr>
            </w:pPr>
          </w:p>
        </w:tc>
        <w:tc>
          <w:tcPr>
            <w:tcW w:w="80" w:type="dxa"/>
            <w:vAlign w:val="bottom"/>
            <w:tcBorders>
              <w:bottom w:val="single" w:sz="8" w:color="1F497D"/>
            </w:tcBorders>
          </w:tcPr>
          <w:p>
            <w:pPr>
              <w:spacing w:after="0"/>
              <w:rPr>
                <w:sz w:val="4"/>
                <w:szCs w:val="4"/>
                <w:color w:val="auto"/>
              </w:rPr>
            </w:pPr>
          </w:p>
        </w:tc>
        <w:tc>
          <w:tcPr>
            <w:tcW w:w="20" w:type="dxa"/>
            <w:vAlign w:val="bottom"/>
            <w:tcBorders>
              <w:bottom w:val="single" w:sz="8" w:color="1F497D"/>
            </w:tcBorders>
          </w:tcPr>
          <w:p>
            <w:pPr>
              <w:spacing w:after="0"/>
              <w:rPr>
                <w:sz w:val="4"/>
                <w:szCs w:val="4"/>
                <w:color w:val="auto"/>
              </w:rPr>
            </w:pPr>
          </w:p>
        </w:tc>
        <w:tc>
          <w:tcPr>
            <w:tcW w:w="60" w:type="dxa"/>
            <w:vAlign w:val="bottom"/>
            <w:tcBorders>
              <w:bottom w:val="single" w:sz="8" w:color="1F497D"/>
            </w:tcBorders>
          </w:tcPr>
          <w:p>
            <w:pPr>
              <w:spacing w:after="0"/>
              <w:rPr>
                <w:sz w:val="4"/>
                <w:szCs w:val="4"/>
                <w:color w:val="auto"/>
              </w:rPr>
            </w:pPr>
          </w:p>
        </w:tc>
        <w:tc>
          <w:tcPr>
            <w:tcW w:w="20" w:type="dxa"/>
            <w:vAlign w:val="bottom"/>
            <w:tcBorders>
              <w:bottom w:val="single" w:sz="8" w:color="1F497D"/>
            </w:tcBorders>
          </w:tcPr>
          <w:p>
            <w:pPr>
              <w:spacing w:after="0"/>
              <w:rPr>
                <w:sz w:val="4"/>
                <w:szCs w:val="4"/>
                <w:color w:val="auto"/>
              </w:rPr>
            </w:pPr>
          </w:p>
        </w:tc>
      </w:tr>
      <w:tr>
        <w:trPr>
          <w:trHeight w:val="183"/>
        </w:trPr>
        <w:tc>
          <w:tcPr>
            <w:tcW w:w="11040" w:type="dxa"/>
            <w:vAlign w:val="bottom"/>
          </w:tcPr>
          <w:p>
            <w:pPr>
              <w:ind w:left="20"/>
              <w:spacing w:after="0" w:line="169" w:lineRule="exact"/>
              <w:rPr>
                <w:sz w:val="20"/>
                <w:szCs w:val="20"/>
                <w:color w:val="auto"/>
              </w:rPr>
            </w:pPr>
            <w:r>
              <w:rPr>
                <w:rFonts w:ascii="Arial" w:cs="Arial" w:eastAsia="Arial" w:hAnsi="Arial"/>
                <w:sz w:val="18"/>
                <w:szCs w:val="18"/>
                <w:b w:val="1"/>
                <w:bCs w:val="1"/>
                <w:color w:val="1F497D"/>
              </w:rPr>
              <w:t>QUESTIONS AND ANSWERS ABOUT THE ANNUAL MEETING</w:t>
            </w:r>
          </w:p>
        </w:tc>
        <w:tc>
          <w:tcPr>
            <w:tcW w:w="180" w:type="dxa"/>
            <w:vAlign w:val="bottom"/>
            <w:tcBorders>
              <w:bottom w:val="single" w:sz="8" w:color="1F497D"/>
            </w:tcBorders>
            <w:gridSpan w:val="4"/>
          </w:tcPr>
          <w:p>
            <w:pPr>
              <w:jc w:val="right"/>
              <w:spacing w:after="0" w:line="169" w:lineRule="exact"/>
              <w:rPr>
                <w:sz w:val="20"/>
                <w:szCs w:val="20"/>
                <w:color w:val="auto"/>
              </w:rPr>
            </w:pPr>
            <w:r>
              <w:rPr>
                <w:rFonts w:ascii="Arial" w:cs="Arial" w:eastAsia="Arial" w:hAnsi="Arial"/>
                <w:sz w:val="18"/>
                <w:szCs w:val="18"/>
                <w:b w:val="1"/>
                <w:bCs w:val="1"/>
                <w:color w:val="1F497D"/>
                <w:w w:val="79"/>
              </w:rPr>
              <w:t>57</w:t>
            </w:r>
          </w:p>
        </w:tc>
        <w:tc>
          <w:tcPr>
            <w:tcW w:w="20" w:type="dxa"/>
            <w:vAlign w:val="bottom"/>
          </w:tcPr>
          <w:p>
            <w:pPr>
              <w:spacing w:after="0"/>
              <w:rPr>
                <w:sz w:val="15"/>
                <w:szCs w:val="15"/>
                <w:color w:val="auto"/>
              </w:rPr>
            </w:pPr>
          </w:p>
        </w:tc>
      </w:tr>
      <w:tr>
        <w:trPr>
          <w:trHeight w:val="48"/>
        </w:trPr>
        <w:tc>
          <w:tcPr>
            <w:tcW w:w="11040" w:type="dxa"/>
            <w:vAlign w:val="bottom"/>
            <w:tcBorders>
              <w:bottom w:val="single" w:sz="8" w:color="1F497D"/>
            </w:tcBorders>
          </w:tcPr>
          <w:p>
            <w:pPr>
              <w:spacing w:after="0"/>
              <w:rPr>
                <w:sz w:val="4"/>
                <w:szCs w:val="4"/>
                <w:color w:val="auto"/>
              </w:rPr>
            </w:pPr>
          </w:p>
        </w:tc>
        <w:tc>
          <w:tcPr>
            <w:tcW w:w="20" w:type="dxa"/>
            <w:vAlign w:val="bottom"/>
            <w:tcBorders>
              <w:bottom w:val="single" w:sz="8" w:color="1F497D"/>
            </w:tcBorders>
          </w:tcPr>
          <w:p>
            <w:pPr>
              <w:spacing w:after="0"/>
              <w:rPr>
                <w:sz w:val="4"/>
                <w:szCs w:val="4"/>
                <w:color w:val="auto"/>
              </w:rPr>
            </w:pPr>
          </w:p>
        </w:tc>
        <w:tc>
          <w:tcPr>
            <w:tcW w:w="80" w:type="dxa"/>
            <w:vAlign w:val="bottom"/>
            <w:tcBorders>
              <w:bottom w:val="single" w:sz="8" w:color="1F497D"/>
            </w:tcBorders>
          </w:tcPr>
          <w:p>
            <w:pPr>
              <w:spacing w:after="0"/>
              <w:rPr>
                <w:sz w:val="4"/>
                <w:szCs w:val="4"/>
                <w:color w:val="auto"/>
              </w:rPr>
            </w:pPr>
          </w:p>
        </w:tc>
        <w:tc>
          <w:tcPr>
            <w:tcW w:w="20" w:type="dxa"/>
            <w:vAlign w:val="bottom"/>
            <w:tcBorders>
              <w:bottom w:val="single" w:sz="8" w:color="1F497D"/>
            </w:tcBorders>
          </w:tcPr>
          <w:p>
            <w:pPr>
              <w:spacing w:after="0"/>
              <w:rPr>
                <w:sz w:val="4"/>
                <w:szCs w:val="4"/>
                <w:color w:val="auto"/>
              </w:rPr>
            </w:pPr>
          </w:p>
        </w:tc>
        <w:tc>
          <w:tcPr>
            <w:tcW w:w="60" w:type="dxa"/>
            <w:vAlign w:val="bottom"/>
            <w:tcBorders>
              <w:bottom w:val="single" w:sz="8" w:color="1F497D"/>
            </w:tcBorders>
          </w:tcPr>
          <w:p>
            <w:pPr>
              <w:spacing w:after="0"/>
              <w:rPr>
                <w:sz w:val="4"/>
                <w:szCs w:val="4"/>
                <w:color w:val="auto"/>
              </w:rPr>
            </w:pPr>
          </w:p>
        </w:tc>
        <w:tc>
          <w:tcPr>
            <w:tcW w:w="20" w:type="dxa"/>
            <w:vAlign w:val="bottom"/>
            <w:tcBorders>
              <w:bottom w:val="single" w:sz="8" w:color="1F497D"/>
            </w:tcBorders>
          </w:tcPr>
          <w:p>
            <w:pPr>
              <w:spacing w:after="0"/>
              <w:rPr>
                <w:sz w:val="4"/>
                <w:szCs w:val="4"/>
                <w:color w:val="auto"/>
              </w:rPr>
            </w:pPr>
          </w:p>
        </w:tc>
      </w:tr>
      <w:tr>
        <w:trPr>
          <w:trHeight w:val="183"/>
        </w:trPr>
        <w:tc>
          <w:tcPr>
            <w:tcW w:w="11040" w:type="dxa"/>
            <w:vAlign w:val="bottom"/>
          </w:tcPr>
          <w:p>
            <w:pPr>
              <w:ind w:left="20"/>
              <w:spacing w:after="0" w:line="169" w:lineRule="exact"/>
              <w:rPr>
                <w:sz w:val="20"/>
                <w:szCs w:val="20"/>
                <w:color w:val="auto"/>
              </w:rPr>
            </w:pPr>
            <w:r>
              <w:rPr>
                <w:rFonts w:ascii="Arial" w:cs="Arial" w:eastAsia="Arial" w:hAnsi="Arial"/>
                <w:sz w:val="18"/>
                <w:szCs w:val="18"/>
                <w:color w:val="auto"/>
              </w:rPr>
              <w:t>Availability of Form 10-K</w:t>
            </w:r>
          </w:p>
        </w:tc>
        <w:tc>
          <w:tcPr>
            <w:tcW w:w="180" w:type="dxa"/>
            <w:vAlign w:val="bottom"/>
            <w:tcBorders>
              <w:bottom w:val="single" w:sz="8" w:color="auto"/>
            </w:tcBorders>
            <w:gridSpan w:val="4"/>
          </w:tcPr>
          <w:p>
            <w:pPr>
              <w:jc w:val="right"/>
              <w:spacing w:after="0" w:line="169" w:lineRule="exact"/>
              <w:rPr>
                <w:sz w:val="20"/>
                <w:szCs w:val="20"/>
                <w:color w:val="auto"/>
              </w:rPr>
            </w:pPr>
            <w:r>
              <w:rPr>
                <w:rFonts w:ascii="Arial" w:cs="Arial" w:eastAsia="Arial" w:hAnsi="Arial"/>
                <w:sz w:val="18"/>
                <w:szCs w:val="18"/>
                <w:color w:val="auto"/>
                <w:w w:val="79"/>
              </w:rPr>
              <w:t>61</w:t>
            </w:r>
          </w:p>
        </w:tc>
        <w:tc>
          <w:tcPr>
            <w:tcW w:w="20" w:type="dxa"/>
            <w:vAlign w:val="bottom"/>
          </w:tcPr>
          <w:p>
            <w:pPr>
              <w:spacing w:after="0"/>
              <w:rPr>
                <w:sz w:val="15"/>
                <w:szCs w:val="15"/>
                <w:color w:val="auto"/>
              </w:rPr>
            </w:pPr>
          </w:p>
        </w:tc>
      </w:tr>
      <w:tr>
        <w:trPr>
          <w:trHeight w:val="48"/>
        </w:trPr>
        <w:tc>
          <w:tcPr>
            <w:tcW w:w="11040" w:type="dxa"/>
            <w:vAlign w:val="bottom"/>
            <w:tcBorders>
              <w:bottom w:val="single" w:sz="8" w:color="1F497D"/>
            </w:tcBorders>
          </w:tcPr>
          <w:p>
            <w:pPr>
              <w:spacing w:after="0"/>
              <w:rPr>
                <w:sz w:val="4"/>
                <w:szCs w:val="4"/>
                <w:color w:val="auto"/>
              </w:rPr>
            </w:pPr>
          </w:p>
        </w:tc>
        <w:tc>
          <w:tcPr>
            <w:tcW w:w="20" w:type="dxa"/>
            <w:vAlign w:val="bottom"/>
            <w:tcBorders>
              <w:bottom w:val="single" w:sz="8" w:color="1F497D"/>
            </w:tcBorders>
          </w:tcPr>
          <w:p>
            <w:pPr>
              <w:spacing w:after="0"/>
              <w:rPr>
                <w:sz w:val="4"/>
                <w:szCs w:val="4"/>
                <w:color w:val="auto"/>
              </w:rPr>
            </w:pPr>
          </w:p>
        </w:tc>
        <w:tc>
          <w:tcPr>
            <w:tcW w:w="80" w:type="dxa"/>
            <w:vAlign w:val="bottom"/>
            <w:tcBorders>
              <w:bottom w:val="single" w:sz="8" w:color="1F497D"/>
            </w:tcBorders>
          </w:tcPr>
          <w:p>
            <w:pPr>
              <w:spacing w:after="0"/>
              <w:rPr>
                <w:sz w:val="4"/>
                <w:szCs w:val="4"/>
                <w:color w:val="auto"/>
              </w:rPr>
            </w:pPr>
          </w:p>
        </w:tc>
        <w:tc>
          <w:tcPr>
            <w:tcW w:w="20" w:type="dxa"/>
            <w:vAlign w:val="bottom"/>
            <w:tcBorders>
              <w:bottom w:val="single" w:sz="8" w:color="1F497D"/>
            </w:tcBorders>
          </w:tcPr>
          <w:p>
            <w:pPr>
              <w:spacing w:after="0"/>
              <w:rPr>
                <w:sz w:val="4"/>
                <w:szCs w:val="4"/>
                <w:color w:val="auto"/>
              </w:rPr>
            </w:pPr>
          </w:p>
        </w:tc>
        <w:tc>
          <w:tcPr>
            <w:tcW w:w="60" w:type="dxa"/>
            <w:vAlign w:val="bottom"/>
            <w:tcBorders>
              <w:bottom w:val="single" w:sz="8" w:color="1F497D"/>
            </w:tcBorders>
          </w:tcPr>
          <w:p>
            <w:pPr>
              <w:spacing w:after="0"/>
              <w:rPr>
                <w:sz w:val="4"/>
                <w:szCs w:val="4"/>
                <w:color w:val="auto"/>
              </w:rPr>
            </w:pPr>
          </w:p>
        </w:tc>
        <w:tc>
          <w:tcPr>
            <w:tcW w:w="20" w:type="dxa"/>
            <w:vAlign w:val="bottom"/>
            <w:tcBorders>
              <w:bottom w:val="single" w:sz="8" w:color="1F497D"/>
            </w:tcBorders>
          </w:tcPr>
          <w:p>
            <w:pPr>
              <w:spacing w:after="0"/>
              <w:rPr>
                <w:sz w:val="4"/>
                <w:szCs w:val="4"/>
                <w:color w:val="auto"/>
              </w:rPr>
            </w:pPr>
          </w:p>
        </w:tc>
      </w:tr>
      <w:tr>
        <w:trPr>
          <w:trHeight w:val="182"/>
        </w:trPr>
        <w:tc>
          <w:tcPr>
            <w:tcW w:w="11040" w:type="dxa"/>
            <w:vAlign w:val="bottom"/>
          </w:tcPr>
          <w:p>
            <w:pPr>
              <w:ind w:left="20"/>
              <w:spacing w:after="0" w:line="169" w:lineRule="exact"/>
              <w:rPr>
                <w:sz w:val="20"/>
                <w:szCs w:val="20"/>
                <w:color w:val="auto"/>
              </w:rPr>
            </w:pPr>
            <w:r>
              <w:rPr>
                <w:rFonts w:ascii="Arial" w:cs="Arial" w:eastAsia="Arial" w:hAnsi="Arial"/>
                <w:sz w:val="18"/>
                <w:szCs w:val="18"/>
                <w:color w:val="auto"/>
              </w:rPr>
              <w:t>Incorporation by Reference</w:t>
            </w:r>
          </w:p>
        </w:tc>
        <w:tc>
          <w:tcPr>
            <w:tcW w:w="180" w:type="dxa"/>
            <w:vAlign w:val="bottom"/>
            <w:tcBorders>
              <w:bottom w:val="single" w:sz="8" w:color="auto"/>
            </w:tcBorders>
            <w:gridSpan w:val="4"/>
          </w:tcPr>
          <w:p>
            <w:pPr>
              <w:jc w:val="right"/>
              <w:spacing w:after="0" w:line="169" w:lineRule="exact"/>
              <w:rPr>
                <w:sz w:val="20"/>
                <w:szCs w:val="20"/>
                <w:color w:val="auto"/>
              </w:rPr>
            </w:pPr>
            <w:r>
              <w:rPr>
                <w:rFonts w:ascii="Arial" w:cs="Arial" w:eastAsia="Arial" w:hAnsi="Arial"/>
                <w:sz w:val="18"/>
                <w:szCs w:val="18"/>
                <w:color w:val="auto"/>
                <w:w w:val="79"/>
              </w:rPr>
              <w:t>61</w:t>
            </w:r>
          </w:p>
        </w:tc>
        <w:tc>
          <w:tcPr>
            <w:tcW w:w="20" w:type="dxa"/>
            <w:vAlign w:val="bottom"/>
          </w:tcPr>
          <w:p>
            <w:pPr>
              <w:spacing w:after="0"/>
              <w:rPr>
                <w:sz w:val="15"/>
                <w:szCs w:val="15"/>
                <w:color w:val="auto"/>
              </w:rPr>
            </w:pPr>
          </w:p>
        </w:tc>
      </w:tr>
      <w:tr>
        <w:trPr>
          <w:trHeight w:val="48"/>
        </w:trPr>
        <w:tc>
          <w:tcPr>
            <w:tcW w:w="11040" w:type="dxa"/>
            <w:vAlign w:val="bottom"/>
            <w:tcBorders>
              <w:bottom w:val="single" w:sz="8" w:color="1F497D"/>
            </w:tcBorders>
          </w:tcPr>
          <w:p>
            <w:pPr>
              <w:spacing w:after="0"/>
              <w:rPr>
                <w:sz w:val="4"/>
                <w:szCs w:val="4"/>
                <w:color w:val="auto"/>
              </w:rPr>
            </w:pPr>
          </w:p>
        </w:tc>
        <w:tc>
          <w:tcPr>
            <w:tcW w:w="20" w:type="dxa"/>
            <w:vAlign w:val="bottom"/>
            <w:tcBorders>
              <w:bottom w:val="single" w:sz="8" w:color="1F497D"/>
            </w:tcBorders>
          </w:tcPr>
          <w:p>
            <w:pPr>
              <w:spacing w:after="0"/>
              <w:rPr>
                <w:sz w:val="4"/>
                <w:szCs w:val="4"/>
                <w:color w:val="auto"/>
              </w:rPr>
            </w:pPr>
          </w:p>
        </w:tc>
        <w:tc>
          <w:tcPr>
            <w:tcW w:w="80" w:type="dxa"/>
            <w:vAlign w:val="bottom"/>
            <w:tcBorders>
              <w:bottom w:val="single" w:sz="8" w:color="1F497D"/>
            </w:tcBorders>
          </w:tcPr>
          <w:p>
            <w:pPr>
              <w:spacing w:after="0"/>
              <w:rPr>
                <w:sz w:val="4"/>
                <w:szCs w:val="4"/>
                <w:color w:val="auto"/>
              </w:rPr>
            </w:pPr>
          </w:p>
        </w:tc>
        <w:tc>
          <w:tcPr>
            <w:tcW w:w="20" w:type="dxa"/>
            <w:vAlign w:val="bottom"/>
            <w:tcBorders>
              <w:bottom w:val="single" w:sz="8" w:color="1F497D"/>
            </w:tcBorders>
          </w:tcPr>
          <w:p>
            <w:pPr>
              <w:spacing w:after="0"/>
              <w:rPr>
                <w:sz w:val="4"/>
                <w:szCs w:val="4"/>
                <w:color w:val="auto"/>
              </w:rPr>
            </w:pPr>
          </w:p>
        </w:tc>
        <w:tc>
          <w:tcPr>
            <w:tcW w:w="60" w:type="dxa"/>
            <w:vAlign w:val="bottom"/>
            <w:tcBorders>
              <w:bottom w:val="single" w:sz="8" w:color="1F497D"/>
            </w:tcBorders>
          </w:tcPr>
          <w:p>
            <w:pPr>
              <w:spacing w:after="0"/>
              <w:rPr>
                <w:sz w:val="4"/>
                <w:szCs w:val="4"/>
                <w:color w:val="auto"/>
              </w:rPr>
            </w:pPr>
          </w:p>
        </w:tc>
        <w:tc>
          <w:tcPr>
            <w:tcW w:w="20" w:type="dxa"/>
            <w:vAlign w:val="bottom"/>
            <w:tcBorders>
              <w:bottom w:val="single" w:sz="8" w:color="1F497D"/>
            </w:tcBorders>
          </w:tcPr>
          <w:p>
            <w:pPr>
              <w:spacing w:after="0"/>
              <w:rPr>
                <w:sz w:val="4"/>
                <w:szCs w:val="4"/>
                <w:color w:val="auto"/>
              </w:rPr>
            </w:pPr>
          </w:p>
        </w:tc>
      </w:tr>
      <w:tr>
        <w:trPr>
          <w:trHeight w:val="183"/>
        </w:trPr>
        <w:tc>
          <w:tcPr>
            <w:tcW w:w="11040" w:type="dxa"/>
            <w:vAlign w:val="bottom"/>
          </w:tcPr>
          <w:p>
            <w:pPr>
              <w:ind w:left="20"/>
              <w:spacing w:after="0" w:line="169" w:lineRule="exact"/>
              <w:rPr>
                <w:sz w:val="20"/>
                <w:szCs w:val="20"/>
                <w:color w:val="auto"/>
              </w:rPr>
            </w:pPr>
            <w:r>
              <w:rPr>
                <w:rFonts w:ascii="Arial" w:cs="Arial" w:eastAsia="Arial" w:hAnsi="Arial"/>
                <w:sz w:val="18"/>
                <w:szCs w:val="18"/>
                <w:b w:val="1"/>
                <w:bCs w:val="1"/>
                <w:color w:val="1F497D"/>
              </w:rPr>
              <w:t>APPENDIX A - RECONCILIATION OF NON-GAAP FINANCIAL MEASURE</w:t>
            </w:r>
          </w:p>
        </w:tc>
        <w:tc>
          <w:tcPr>
            <w:tcW w:w="180" w:type="dxa"/>
            <w:vAlign w:val="bottom"/>
            <w:tcBorders>
              <w:bottom w:val="single" w:sz="8" w:color="1F497D"/>
            </w:tcBorders>
            <w:gridSpan w:val="4"/>
          </w:tcPr>
          <w:p>
            <w:pPr>
              <w:jc w:val="right"/>
              <w:spacing w:after="0" w:line="169" w:lineRule="exact"/>
              <w:rPr>
                <w:sz w:val="20"/>
                <w:szCs w:val="20"/>
                <w:color w:val="auto"/>
              </w:rPr>
            </w:pPr>
            <w:r>
              <w:rPr>
                <w:rFonts w:ascii="Arial" w:cs="Arial" w:eastAsia="Arial" w:hAnsi="Arial"/>
                <w:sz w:val="18"/>
                <w:szCs w:val="18"/>
                <w:b w:val="1"/>
                <w:bCs w:val="1"/>
                <w:color w:val="1F497D"/>
                <w:w w:val="79"/>
              </w:rPr>
              <w:t>62</w:t>
            </w:r>
          </w:p>
        </w:tc>
        <w:tc>
          <w:tcPr>
            <w:tcW w:w="20" w:type="dxa"/>
            <w:vAlign w:val="bottom"/>
          </w:tcPr>
          <w:p>
            <w:pPr>
              <w:spacing w:after="0"/>
              <w:rPr>
                <w:sz w:val="15"/>
                <w:szCs w:val="15"/>
                <w:color w:val="auto"/>
              </w:rPr>
            </w:pPr>
          </w:p>
        </w:tc>
      </w:tr>
      <w:tr>
        <w:trPr>
          <w:trHeight w:val="48"/>
        </w:trPr>
        <w:tc>
          <w:tcPr>
            <w:tcW w:w="11040" w:type="dxa"/>
            <w:vAlign w:val="bottom"/>
            <w:tcBorders>
              <w:bottom w:val="single" w:sz="8" w:color="1F497D"/>
            </w:tcBorders>
          </w:tcPr>
          <w:p>
            <w:pPr>
              <w:spacing w:after="0"/>
              <w:rPr>
                <w:sz w:val="4"/>
                <w:szCs w:val="4"/>
                <w:color w:val="auto"/>
              </w:rPr>
            </w:pPr>
          </w:p>
        </w:tc>
        <w:tc>
          <w:tcPr>
            <w:tcW w:w="20" w:type="dxa"/>
            <w:vAlign w:val="bottom"/>
            <w:tcBorders>
              <w:bottom w:val="single" w:sz="8" w:color="1F497D"/>
            </w:tcBorders>
          </w:tcPr>
          <w:p>
            <w:pPr>
              <w:spacing w:after="0"/>
              <w:rPr>
                <w:sz w:val="4"/>
                <w:szCs w:val="4"/>
                <w:color w:val="auto"/>
              </w:rPr>
            </w:pPr>
          </w:p>
        </w:tc>
        <w:tc>
          <w:tcPr>
            <w:tcW w:w="80" w:type="dxa"/>
            <w:vAlign w:val="bottom"/>
            <w:tcBorders>
              <w:bottom w:val="single" w:sz="8" w:color="1F497D"/>
            </w:tcBorders>
          </w:tcPr>
          <w:p>
            <w:pPr>
              <w:spacing w:after="0"/>
              <w:rPr>
                <w:sz w:val="4"/>
                <w:szCs w:val="4"/>
                <w:color w:val="auto"/>
              </w:rPr>
            </w:pPr>
          </w:p>
        </w:tc>
        <w:tc>
          <w:tcPr>
            <w:tcW w:w="20" w:type="dxa"/>
            <w:vAlign w:val="bottom"/>
            <w:tcBorders>
              <w:bottom w:val="single" w:sz="8" w:color="1F497D"/>
            </w:tcBorders>
          </w:tcPr>
          <w:p>
            <w:pPr>
              <w:spacing w:after="0"/>
              <w:rPr>
                <w:sz w:val="4"/>
                <w:szCs w:val="4"/>
                <w:color w:val="auto"/>
              </w:rPr>
            </w:pPr>
          </w:p>
        </w:tc>
        <w:tc>
          <w:tcPr>
            <w:tcW w:w="60" w:type="dxa"/>
            <w:vAlign w:val="bottom"/>
            <w:tcBorders>
              <w:bottom w:val="single" w:sz="8" w:color="1F497D"/>
            </w:tcBorders>
          </w:tcPr>
          <w:p>
            <w:pPr>
              <w:spacing w:after="0"/>
              <w:rPr>
                <w:sz w:val="4"/>
                <w:szCs w:val="4"/>
                <w:color w:val="auto"/>
              </w:rPr>
            </w:pPr>
          </w:p>
        </w:tc>
        <w:tc>
          <w:tcPr>
            <w:tcW w:w="20" w:type="dxa"/>
            <w:vAlign w:val="bottom"/>
            <w:tcBorders>
              <w:bottom w:val="single" w:sz="8" w:color="1F497D"/>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1247140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4F81B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statements included in this Proxy Statement regarding future performance and results, expectations, plans, strategies, priorities, commitments and other statements that are not historical facts are forward-looking statements within the meaning of the federal securities laws. Forward-looking statements are based upon current beliefs, expectations and assumptions and are subject to significant risks, uncertainties and changes in circumstances that could cause actual results to differ materially from the forward-looking statements. A detailed discussion of risks and uncertainties that could cause actual results and events to differ materially from such forward-looking statements is included in the section titled “Risk Factors” in our Annual Report on Form 10-K for the year ended December 31, 2022. Readers of this Proxy Statement are cautioned not to place undue reliance on these forward-looking statements, since there can be no assurance that these forward-looking statements will prove to be accurate. We expressly disclaim any obligation to update or revise any forward-looking statements,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864235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4F81B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36"/>
          <w:szCs w:val="36"/>
          <w:b w:val="1"/>
          <w:bCs w:val="1"/>
          <w:color w:val="1F497D"/>
        </w:rPr>
        <w:t>PROXY STATEMENT SUMMARY</w:t>
      </w:r>
    </w:p>
    <w:p>
      <w:pPr>
        <w:spacing w:after="0" w:line="24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Board of Directors (the “Board of Directors” or “Board”) has made this Proxy Statement and related materials available to you on the internet, or at your request has delivered printed versions to you by mail, in connection with the Board of Directors’ solicitation of proxies for our 2023 Annual Meeting of Stockholders (the “Annual Meeting”), to be held on Wednesday, April 26, 2023, at 5:00 p.m. Central Time, in a virtual meeting format only, and any adjournment of the Annual Meeting. If you requested printed versions of these materials by mail, they will also include a proxy card for the Annual Meeting.</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Pursuant to rules adopted by the Securities and Exchange Commission (the “SEC”), we are providing access to our proxy materials over the internet. Accordingly, we are sending a Notice of Internet Availability of Proxy Materials (the “Notice”) to our stockholders of record and beneficial owners as of the record date identified below. The mailing of the Notice to our stockholders is scheduled to begin on or about March 14, 2023.</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summary highlights information contained elsewhere in this Proxy Statement. It does not contain all of the information you should consider, and we urge you to read the entire Proxy Statement, as well as our 2022 Annual Report, before voting.</w:t>
      </w:r>
    </w:p>
    <w:p>
      <w:pPr>
        <w:spacing w:after="0" w:line="166"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 xml:space="preserve">IMPORTANT NOTICE REGARDING THE INTERNET AVAILABILITY OF PROXY MATERIALS FOR THE ANNUAL STOCKHOLDERS MEETING TO BE HELD ON APRIL 26, 2023: </w:t>
      </w:r>
      <w:r>
        <w:rPr>
          <w:rFonts w:ascii="Arial" w:cs="Arial" w:eastAsia="Arial" w:hAnsi="Arial"/>
          <w:sz w:val="18"/>
          <w:szCs w:val="18"/>
          <w:b w:val="1"/>
          <w:bCs w:val="1"/>
          <w:i w:val="1"/>
          <w:iCs w:val="1"/>
          <w:color w:val="auto"/>
        </w:rPr>
        <w:t>This Proxy Statement and our 2022 Annual Report to Stockholders are available at</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www.proxyvote.com</w:t>
      </w:r>
      <w:r>
        <w:rPr>
          <w:rFonts w:ascii="Arial" w:cs="Arial" w:eastAsia="Arial" w:hAnsi="Arial"/>
          <w:sz w:val="18"/>
          <w:szCs w:val="18"/>
          <w:b w:val="1"/>
          <w:bCs w:val="1"/>
          <w:color w:val="auto"/>
        </w:rPr>
        <w:t>.</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VOTING MATTERS AND BOARD RECOMMENDATION</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Voting Matter</w:t>
            </w:r>
          </w:p>
        </w:tc>
        <w:tc>
          <w:tcPr>
            <w:tcW w:w="2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Board Recommendation</w:t>
            </w:r>
          </w:p>
        </w:tc>
        <w:tc>
          <w:tcPr>
            <w:tcW w:w="0" w:type="dxa"/>
            <w:vAlign w:val="bottom"/>
          </w:tcPr>
          <w:p>
            <w:pPr>
              <w:spacing w:after="0"/>
              <w:rPr>
                <w:sz w:val="1"/>
                <w:szCs w:val="1"/>
                <w:color w:val="auto"/>
              </w:rPr>
            </w:pPr>
          </w:p>
        </w:tc>
      </w:tr>
      <w:tr>
        <w:trPr>
          <w:trHeight w:val="228"/>
        </w:trPr>
        <w:tc>
          <w:tcPr>
            <w:tcW w:w="8500" w:type="dxa"/>
            <w:vAlign w:val="bottom"/>
          </w:tcPr>
          <w:p>
            <w:pPr>
              <w:jc w:val="center"/>
              <w:spacing w:after="0"/>
              <w:rPr>
                <w:sz w:val="20"/>
                <w:szCs w:val="20"/>
                <w:color w:val="auto"/>
              </w:rPr>
            </w:pPr>
            <w:r>
              <w:rPr>
                <w:rFonts w:ascii="Arial" w:cs="Arial" w:eastAsia="Arial" w:hAnsi="Arial"/>
                <w:sz w:val="18"/>
                <w:szCs w:val="18"/>
                <w:color w:val="auto"/>
                <w:w w:val="90"/>
              </w:rPr>
              <w:t>Proposal 1: Election of three directors</w:t>
            </w:r>
          </w:p>
        </w:tc>
        <w:tc>
          <w:tcPr>
            <w:tcW w:w="2740" w:type="dxa"/>
            <w:vAlign w:val="bottom"/>
          </w:tcPr>
          <w:p>
            <w:pPr>
              <w:jc w:val="center"/>
              <w:spacing w:after="0"/>
              <w:rPr>
                <w:sz w:val="20"/>
                <w:szCs w:val="20"/>
                <w:color w:val="auto"/>
              </w:rPr>
            </w:pPr>
            <w:r>
              <w:rPr>
                <w:rFonts w:ascii="Arial" w:cs="Arial" w:eastAsia="Arial" w:hAnsi="Arial"/>
                <w:sz w:val="18"/>
                <w:szCs w:val="18"/>
                <w:b w:val="1"/>
                <w:bCs w:val="1"/>
                <w:color w:val="auto"/>
                <w:w w:val="90"/>
              </w:rPr>
              <w:t>FOR each nominee</w:t>
            </w:r>
          </w:p>
        </w:tc>
        <w:tc>
          <w:tcPr>
            <w:tcW w:w="0" w:type="dxa"/>
            <w:vAlign w:val="bottom"/>
          </w:tcPr>
          <w:p>
            <w:pPr>
              <w:spacing w:after="0"/>
              <w:rPr>
                <w:sz w:val="1"/>
                <w:szCs w:val="1"/>
                <w:color w:val="auto"/>
              </w:rPr>
            </w:pPr>
          </w:p>
        </w:tc>
      </w:tr>
      <w:tr>
        <w:trPr>
          <w:trHeight w:val="117"/>
        </w:trPr>
        <w:tc>
          <w:tcPr>
            <w:tcW w:w="850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850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0"/>
              </w:rPr>
              <w:t>Proposal 2: To ratify the appointment of PricewaterhouseCoopers LLP as our independent registered public</w:t>
            </w:r>
          </w:p>
        </w:tc>
        <w:tc>
          <w:tcPr>
            <w:tcW w:w="2740" w:type="dxa"/>
            <w:vAlign w:val="bottom"/>
            <w:vMerge w:val="restart"/>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FOR</w:t>
            </w:r>
          </w:p>
        </w:tc>
        <w:tc>
          <w:tcPr>
            <w:tcW w:w="0" w:type="dxa"/>
            <w:vAlign w:val="bottom"/>
          </w:tcPr>
          <w:p>
            <w:pPr>
              <w:spacing w:after="0"/>
              <w:rPr>
                <w:sz w:val="1"/>
                <w:szCs w:val="1"/>
                <w:color w:val="auto"/>
              </w:rPr>
            </w:pPr>
          </w:p>
        </w:tc>
      </w:tr>
      <w:tr>
        <w:trPr>
          <w:trHeight w:val="136"/>
        </w:trPr>
        <w:tc>
          <w:tcPr>
            <w:tcW w:w="85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accounting firm for the year ending December 31, 2023</w:t>
            </w:r>
          </w:p>
        </w:tc>
        <w:tc>
          <w:tcPr>
            <w:tcW w:w="274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8500" w:type="dxa"/>
            <w:vAlign w:val="bottom"/>
            <w:vMerge w:val="continue"/>
            <w:shd w:val="clear" w:color="auto" w:fill="CCEEFF"/>
          </w:tcPr>
          <w:p>
            <w:pPr>
              <w:spacing w:after="0"/>
              <w:rPr>
                <w:sz w:val="8"/>
                <w:szCs w:val="8"/>
                <w:color w:val="auto"/>
              </w:rPr>
            </w:pPr>
          </w:p>
        </w:tc>
        <w:tc>
          <w:tcPr>
            <w:tcW w:w="27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365"/>
        </w:trPr>
        <w:tc>
          <w:tcPr>
            <w:tcW w:w="8500" w:type="dxa"/>
            <w:vAlign w:val="bottom"/>
          </w:tcPr>
          <w:p>
            <w:pPr>
              <w:jc w:val="center"/>
              <w:spacing w:after="0"/>
              <w:rPr>
                <w:sz w:val="20"/>
                <w:szCs w:val="20"/>
                <w:color w:val="auto"/>
              </w:rPr>
            </w:pPr>
            <w:r>
              <w:rPr>
                <w:rFonts w:ascii="Arial" w:cs="Arial" w:eastAsia="Arial" w:hAnsi="Arial"/>
                <w:sz w:val="18"/>
                <w:szCs w:val="18"/>
                <w:color w:val="auto"/>
                <w:w w:val="89"/>
              </w:rPr>
              <w:t>Proposal 3: To approve, on an advisory basis, the 2022 compensation of our named executive officers</w:t>
            </w:r>
          </w:p>
        </w:tc>
        <w:tc>
          <w:tcPr>
            <w:tcW w:w="2740" w:type="dxa"/>
            <w:vAlign w:val="bottom"/>
          </w:tcPr>
          <w:p>
            <w:pPr>
              <w:jc w:val="center"/>
              <w:spacing w:after="0"/>
              <w:rPr>
                <w:sz w:val="20"/>
                <w:szCs w:val="20"/>
                <w:color w:val="auto"/>
              </w:rPr>
            </w:pPr>
            <w:r>
              <w:rPr>
                <w:rFonts w:ascii="Arial" w:cs="Arial" w:eastAsia="Arial" w:hAnsi="Arial"/>
                <w:sz w:val="18"/>
                <w:szCs w:val="18"/>
                <w:b w:val="1"/>
                <w:bCs w:val="1"/>
                <w:color w:val="auto"/>
                <w:w w:val="99"/>
              </w:rPr>
              <w:t>FOR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4F81B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DIRECTOR NOMINEES AND CONTINUING DIRECTORS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Director</w:t>
            </w:r>
          </w:p>
        </w:tc>
        <w:tc>
          <w:tcPr>
            <w:tcW w:w="7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Age</w:t>
            </w: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Director</w:t>
            </w:r>
          </w:p>
        </w:tc>
        <w:tc>
          <w:tcPr>
            <w:tcW w:w="4360" w:type="dxa"/>
            <w:vAlign w:val="bottom"/>
            <w:gridSpan w:val="2"/>
            <w:vMerge w:val="restart"/>
          </w:tcPr>
          <w:p>
            <w:pPr>
              <w:ind w:left="1440"/>
              <w:spacing w:after="0"/>
              <w:rPr>
                <w:sz w:val="20"/>
                <w:szCs w:val="20"/>
                <w:color w:val="auto"/>
              </w:rPr>
            </w:pPr>
            <w:r>
              <w:rPr>
                <w:rFonts w:ascii="Arial" w:cs="Arial" w:eastAsia="Arial" w:hAnsi="Arial"/>
                <w:sz w:val="14"/>
                <w:szCs w:val="14"/>
                <w:b w:val="1"/>
                <w:bCs w:val="1"/>
                <w:color w:val="auto"/>
              </w:rPr>
              <w:t>Principal Occupation</w:t>
            </w:r>
          </w:p>
        </w:tc>
        <w:tc>
          <w:tcPr>
            <w:tcW w:w="13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1"/>
              </w:rPr>
              <w:t>Independent</w:t>
            </w:r>
          </w:p>
        </w:tc>
        <w:tc>
          <w:tcPr>
            <w:tcW w:w="12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6"/>
              </w:rPr>
              <w:t>Audit Committee</w:t>
            </w: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CNG Committee</w:t>
            </w:r>
          </w:p>
        </w:tc>
        <w:tc>
          <w:tcPr>
            <w:tcW w:w="0" w:type="dxa"/>
            <w:vAlign w:val="bottom"/>
          </w:tcPr>
          <w:p>
            <w:pPr>
              <w:spacing w:after="0"/>
              <w:rPr>
                <w:sz w:val="1"/>
                <w:szCs w:val="1"/>
                <w:color w:val="auto"/>
              </w:rPr>
            </w:pPr>
          </w:p>
        </w:tc>
      </w:tr>
      <w:tr>
        <w:trPr>
          <w:trHeight w:val="192"/>
        </w:trPr>
        <w:tc>
          <w:tcPr>
            <w:tcW w:w="142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Since</w:t>
            </w:r>
          </w:p>
        </w:tc>
        <w:tc>
          <w:tcPr>
            <w:tcW w:w="4360" w:type="dxa"/>
            <w:vAlign w:val="bottom"/>
            <w:gridSpan w:val="2"/>
            <w:vMerge w:val="continue"/>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12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Greg Cole</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5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240" w:type="dxa"/>
            <w:vAlign w:val="bottom"/>
            <w:tcBorders>
              <w:top w:val="single" w:sz="8" w:color="CCEEFF"/>
              <w:bottom w:val="single" w:sz="8" w:color="CCEEFF"/>
            </w:tcBorders>
            <w:shd w:val="clear" w:color="auto" w:fill="CCEEFF"/>
          </w:tcPr>
          <w:p>
            <w:pPr>
              <w:spacing w:after="0"/>
              <w:rPr>
                <w:sz w:val="15"/>
                <w:szCs w:val="15"/>
                <w:color w:val="auto"/>
              </w:rPr>
            </w:pP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2019</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42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Senior Executive, Rank</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160" w:type="dxa"/>
            <w:vAlign w:val="bottom"/>
            <w:tcBorders>
              <w:top w:val="single" w:sz="8" w:color="auto"/>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120" w:type="dxa"/>
            <w:vAlign w:val="bottom"/>
            <w:tcBorders>
              <w:top w:val="single" w:sz="8" w:color="auto"/>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14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5"/>
              </w:rPr>
              <w:t>Chair</w:t>
            </w:r>
          </w:p>
        </w:tc>
        <w:tc>
          <w:tcPr>
            <w:tcW w:w="0" w:type="dxa"/>
            <w:vAlign w:val="bottom"/>
          </w:tcPr>
          <w:p>
            <w:pPr>
              <w:spacing w:after="0"/>
              <w:rPr>
                <w:sz w:val="1"/>
                <w:szCs w:val="1"/>
                <w:color w:val="auto"/>
              </w:rPr>
            </w:pPr>
          </w:p>
        </w:tc>
      </w:tr>
      <w:tr>
        <w:trPr>
          <w:trHeight w:val="203"/>
        </w:trPr>
        <w:tc>
          <w:tcPr>
            <w:tcW w:w="1420" w:type="dxa"/>
            <w:vAlign w:val="bottom"/>
            <w:gridSpan w:val="2"/>
          </w:tcPr>
          <w:p>
            <w:pPr>
              <w:ind w:left="20"/>
              <w:spacing w:after="0"/>
              <w:rPr>
                <w:sz w:val="20"/>
                <w:szCs w:val="20"/>
                <w:color w:val="auto"/>
              </w:rPr>
            </w:pPr>
            <w:r>
              <w:rPr>
                <w:rFonts w:ascii="Arial" w:cs="Arial" w:eastAsia="Arial" w:hAnsi="Arial"/>
                <w:sz w:val="14"/>
                <w:szCs w:val="14"/>
                <w:color w:val="auto"/>
              </w:rPr>
              <w:t>Helen Golding</w:t>
            </w:r>
          </w:p>
        </w:tc>
        <w:tc>
          <w:tcPr>
            <w:tcW w:w="500" w:type="dxa"/>
            <w:vAlign w:val="bottom"/>
          </w:tcPr>
          <w:p>
            <w:pPr>
              <w:jc w:val="right"/>
              <w:spacing w:after="0"/>
              <w:rPr>
                <w:sz w:val="20"/>
                <w:szCs w:val="20"/>
                <w:color w:val="auto"/>
              </w:rPr>
            </w:pPr>
            <w:r>
              <w:rPr>
                <w:rFonts w:ascii="Arial" w:cs="Arial" w:eastAsia="Arial" w:hAnsi="Arial"/>
                <w:sz w:val="14"/>
                <w:szCs w:val="14"/>
                <w:color w:val="auto"/>
              </w:rPr>
              <w:t>60</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2019</w:t>
            </w:r>
          </w:p>
        </w:tc>
        <w:tc>
          <w:tcPr>
            <w:tcW w:w="160" w:type="dxa"/>
            <w:vAlign w:val="bottom"/>
          </w:tcPr>
          <w:p>
            <w:pPr>
              <w:spacing w:after="0"/>
              <w:rPr>
                <w:sz w:val="17"/>
                <w:szCs w:val="17"/>
                <w:color w:val="auto"/>
              </w:rPr>
            </w:pPr>
          </w:p>
        </w:tc>
        <w:tc>
          <w:tcPr>
            <w:tcW w:w="4360" w:type="dxa"/>
            <w:vAlign w:val="bottom"/>
            <w:gridSpan w:val="2"/>
          </w:tcPr>
          <w:p>
            <w:pPr>
              <w:ind w:left="20"/>
              <w:spacing w:after="0"/>
              <w:rPr>
                <w:sz w:val="20"/>
                <w:szCs w:val="20"/>
                <w:color w:val="auto"/>
              </w:rPr>
            </w:pPr>
            <w:r>
              <w:rPr>
                <w:rFonts w:ascii="Arial" w:cs="Arial" w:eastAsia="Arial" w:hAnsi="Arial"/>
                <w:sz w:val="14"/>
                <w:szCs w:val="14"/>
                <w:color w:val="auto"/>
              </w:rPr>
              <w:t>Group Legal Counsel, Rank</w:t>
            </w: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203"/>
        </w:trPr>
        <w:tc>
          <w:tcPr>
            <w:tcW w:w="14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Marla Gottschalk</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2020</w:t>
            </w:r>
          </w:p>
        </w:tc>
        <w:tc>
          <w:tcPr>
            <w:tcW w:w="160" w:type="dxa"/>
            <w:vAlign w:val="bottom"/>
            <w:shd w:val="clear" w:color="auto" w:fill="CCEEFF"/>
          </w:tcPr>
          <w:p>
            <w:pPr>
              <w:spacing w:after="0"/>
              <w:rPr>
                <w:sz w:val="17"/>
                <w:szCs w:val="17"/>
                <w:color w:val="auto"/>
              </w:rPr>
            </w:pPr>
          </w:p>
        </w:tc>
        <w:tc>
          <w:tcPr>
            <w:tcW w:w="4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Former Chief Executive Officer, The Pampered Chef</w:t>
            </w:r>
          </w:p>
        </w:tc>
        <w:tc>
          <w:tcPr>
            <w:tcW w:w="1320" w:type="dxa"/>
            <w:vAlign w:val="bottom"/>
            <w:gridSpan w:val="2"/>
            <w:shd w:val="clear" w:color="auto" w:fill="CCEEFF"/>
          </w:tcPr>
          <w:p>
            <w:pPr>
              <w:jc w:val="center"/>
              <w:ind w:right="160"/>
              <w:spacing w:after="0" w:line="141" w:lineRule="exact"/>
              <w:rPr>
                <w:sz w:val="20"/>
                <w:szCs w:val="20"/>
                <w:color w:val="auto"/>
              </w:rPr>
            </w:pPr>
            <w:r>
              <w:rPr>
                <w:rFonts w:ascii="MS PGothic" w:cs="MS PGothic" w:eastAsia="MS PGothic" w:hAnsi="MS PGothic"/>
                <w:sz w:val="14"/>
                <w:szCs w:val="14"/>
                <w:color w:val="auto"/>
                <w:w w:val="85"/>
              </w:rPr>
              <w:t>✓</w:t>
            </w:r>
          </w:p>
        </w:tc>
        <w:tc>
          <w:tcPr>
            <w:tcW w:w="126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5"/>
              </w:rPr>
              <w:t>Chair</w:t>
            </w: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1420" w:type="dxa"/>
            <w:vAlign w:val="bottom"/>
            <w:gridSpan w:val="2"/>
          </w:tcPr>
          <w:p>
            <w:pPr>
              <w:ind w:left="20"/>
              <w:spacing w:after="0"/>
              <w:rPr>
                <w:sz w:val="20"/>
                <w:szCs w:val="20"/>
                <w:color w:val="auto"/>
              </w:rPr>
            </w:pPr>
            <w:r>
              <w:rPr>
                <w:rFonts w:ascii="Arial" w:cs="Arial" w:eastAsia="Arial" w:hAnsi="Arial"/>
                <w:sz w:val="14"/>
                <w:szCs w:val="14"/>
                <w:color w:val="auto"/>
              </w:rPr>
              <w:t>Allen Hugli</w:t>
            </w:r>
          </w:p>
        </w:tc>
        <w:tc>
          <w:tcPr>
            <w:tcW w:w="500" w:type="dxa"/>
            <w:vAlign w:val="bottom"/>
          </w:tcPr>
          <w:p>
            <w:pPr>
              <w:jc w:val="right"/>
              <w:spacing w:after="0"/>
              <w:rPr>
                <w:sz w:val="20"/>
                <w:szCs w:val="20"/>
                <w:color w:val="auto"/>
              </w:rPr>
            </w:pPr>
            <w:r>
              <w:rPr>
                <w:rFonts w:ascii="Arial" w:cs="Arial" w:eastAsia="Arial" w:hAnsi="Arial"/>
                <w:sz w:val="14"/>
                <w:szCs w:val="14"/>
                <w:color w:val="auto"/>
              </w:rPr>
              <w:t>60</w:t>
            </w: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2021</w:t>
            </w:r>
          </w:p>
        </w:tc>
        <w:tc>
          <w:tcPr>
            <w:tcW w:w="160" w:type="dxa"/>
            <w:vAlign w:val="bottom"/>
          </w:tcPr>
          <w:p>
            <w:pPr>
              <w:spacing w:after="0"/>
              <w:rPr>
                <w:sz w:val="15"/>
                <w:szCs w:val="15"/>
                <w:color w:val="auto"/>
              </w:rPr>
            </w:pPr>
          </w:p>
        </w:tc>
        <w:tc>
          <w:tcPr>
            <w:tcW w:w="4360" w:type="dxa"/>
            <w:vAlign w:val="bottom"/>
            <w:gridSpan w:val="2"/>
          </w:tcPr>
          <w:p>
            <w:pPr>
              <w:ind w:left="20"/>
              <w:spacing w:after="0"/>
              <w:rPr>
                <w:sz w:val="20"/>
                <w:szCs w:val="20"/>
                <w:color w:val="auto"/>
              </w:rPr>
            </w:pPr>
            <w:r>
              <w:rPr>
                <w:rFonts w:ascii="Arial" w:cs="Arial" w:eastAsia="Arial" w:hAnsi="Arial"/>
                <w:sz w:val="14"/>
                <w:szCs w:val="14"/>
                <w:color w:val="auto"/>
              </w:rPr>
              <w:t>Chief Financial Officer, Rank</w:t>
            </w:r>
          </w:p>
        </w:tc>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Lance Mitchell</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2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2019</w:t>
            </w:r>
          </w:p>
        </w:tc>
        <w:tc>
          <w:tcPr>
            <w:tcW w:w="160" w:type="dxa"/>
            <w:vAlign w:val="bottom"/>
            <w:tcBorders>
              <w:bottom w:val="single" w:sz="8" w:color="CCEEFF"/>
            </w:tcBorders>
            <w:shd w:val="clear" w:color="auto" w:fill="CCEEFF"/>
          </w:tcPr>
          <w:p>
            <w:pPr>
              <w:spacing w:after="0"/>
              <w:rPr>
                <w:sz w:val="15"/>
                <w:szCs w:val="15"/>
                <w:color w:val="auto"/>
              </w:rPr>
            </w:pPr>
          </w:p>
        </w:tc>
        <w:tc>
          <w:tcPr>
            <w:tcW w:w="4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Chief Executive Officer, Reynolds Consumer Products</w:t>
            </w:r>
          </w:p>
        </w:tc>
        <w:tc>
          <w:tcPr>
            <w:tcW w:w="11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420" w:type="dxa"/>
            <w:vAlign w:val="bottom"/>
            <w:gridSpan w:val="2"/>
          </w:tcPr>
          <w:p>
            <w:pPr>
              <w:ind w:left="20"/>
              <w:spacing w:after="0" w:line="161" w:lineRule="exact"/>
              <w:rPr>
                <w:sz w:val="20"/>
                <w:szCs w:val="20"/>
                <w:color w:val="auto"/>
              </w:rPr>
            </w:pPr>
            <w:r>
              <w:rPr>
                <w:rFonts w:ascii="Arial" w:cs="Arial" w:eastAsia="Arial" w:hAnsi="Arial"/>
                <w:sz w:val="14"/>
                <w:szCs w:val="14"/>
                <w:color w:val="auto"/>
              </w:rPr>
              <w:t>Richard Noll</w:t>
            </w:r>
            <w:r>
              <w:rPr>
                <w:rFonts w:ascii="MS PGothic" w:cs="MS PGothic" w:eastAsia="MS PGothic" w:hAnsi="MS PGothic"/>
                <w:sz w:val="14"/>
                <w:szCs w:val="14"/>
                <w:color w:val="auto"/>
              </w:rPr>
              <w:t>⁽</w:t>
            </w:r>
            <w:r>
              <w:rPr>
                <w:rFonts w:ascii="Arial" w:cs="Arial" w:eastAsia="Arial" w:hAnsi="Arial"/>
                <w:sz w:val="14"/>
                <w:szCs w:val="14"/>
                <w:color w:val="auto"/>
              </w:rPr>
              <w:t>¹</w:t>
            </w:r>
            <w:r>
              <w:rPr>
                <w:rFonts w:ascii="MS PGothic" w:cs="MS PGothic" w:eastAsia="MS PGothic" w:hAnsi="MS PGothic"/>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65</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2020</w:t>
            </w:r>
          </w:p>
        </w:tc>
        <w:tc>
          <w:tcPr>
            <w:tcW w:w="160" w:type="dxa"/>
            <w:vAlign w:val="bottom"/>
          </w:tcPr>
          <w:p>
            <w:pPr>
              <w:spacing w:after="0"/>
              <w:rPr>
                <w:sz w:val="17"/>
                <w:szCs w:val="17"/>
                <w:color w:val="auto"/>
              </w:rPr>
            </w:pPr>
          </w:p>
        </w:tc>
        <w:tc>
          <w:tcPr>
            <w:tcW w:w="4360" w:type="dxa"/>
            <w:vAlign w:val="bottom"/>
            <w:gridSpan w:val="2"/>
          </w:tcPr>
          <w:p>
            <w:pPr>
              <w:ind w:left="20"/>
              <w:spacing w:after="0"/>
              <w:rPr>
                <w:sz w:val="20"/>
                <w:szCs w:val="20"/>
                <w:color w:val="auto"/>
              </w:rPr>
            </w:pPr>
            <w:r>
              <w:rPr>
                <w:rFonts w:ascii="Arial" w:cs="Arial" w:eastAsia="Arial" w:hAnsi="Arial"/>
                <w:sz w:val="14"/>
                <w:szCs w:val="14"/>
                <w:color w:val="auto"/>
              </w:rPr>
              <w:t>Former Chief Executive Officer, Hanesbrands Inc.</w:t>
            </w:r>
          </w:p>
        </w:tc>
        <w:tc>
          <w:tcPr>
            <w:tcW w:w="1320" w:type="dxa"/>
            <w:vAlign w:val="bottom"/>
            <w:gridSpan w:val="2"/>
          </w:tcPr>
          <w:p>
            <w:pPr>
              <w:jc w:val="center"/>
              <w:ind w:right="160"/>
              <w:spacing w:after="0" w:line="141" w:lineRule="exact"/>
              <w:rPr>
                <w:sz w:val="20"/>
                <w:szCs w:val="20"/>
                <w:color w:val="auto"/>
              </w:rPr>
            </w:pPr>
            <w:r>
              <w:rPr>
                <w:rFonts w:ascii="MS PGothic" w:cs="MS PGothic" w:eastAsia="MS PGothic" w:hAnsi="MS PGothic"/>
                <w:sz w:val="14"/>
                <w:szCs w:val="14"/>
                <w:color w:val="auto"/>
                <w:w w:val="85"/>
              </w:rPr>
              <w:t>✓</w:t>
            </w:r>
          </w:p>
        </w:tc>
        <w:tc>
          <w:tcPr>
            <w:tcW w:w="1260" w:type="dxa"/>
            <w:vAlign w:val="bottom"/>
            <w:gridSpan w:val="2"/>
          </w:tcPr>
          <w:p>
            <w:pPr>
              <w:jc w:val="center"/>
              <w:ind w:right="140"/>
              <w:spacing w:after="0" w:line="141" w:lineRule="exact"/>
              <w:rPr>
                <w:sz w:val="20"/>
                <w:szCs w:val="20"/>
                <w:color w:val="auto"/>
              </w:rPr>
            </w:pPr>
            <w:r>
              <w:rPr>
                <w:rFonts w:ascii="MS PGothic" w:cs="MS PGothic" w:eastAsia="MS PGothic" w:hAnsi="MS PGothic"/>
                <w:sz w:val="14"/>
                <w:szCs w:val="14"/>
                <w:color w:val="auto"/>
                <w:w w:val="85"/>
              </w:rPr>
              <w:t>✓</w:t>
            </w:r>
          </w:p>
        </w:tc>
        <w:tc>
          <w:tcPr>
            <w:tcW w:w="11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203"/>
        </w:trPr>
        <w:tc>
          <w:tcPr>
            <w:tcW w:w="14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Ann Ziegler</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2020</w:t>
            </w:r>
          </w:p>
        </w:tc>
        <w:tc>
          <w:tcPr>
            <w:tcW w:w="160" w:type="dxa"/>
            <w:vAlign w:val="bottom"/>
            <w:shd w:val="clear" w:color="auto" w:fill="CCEEFF"/>
          </w:tcPr>
          <w:p>
            <w:pPr>
              <w:spacing w:after="0"/>
              <w:rPr>
                <w:sz w:val="17"/>
                <w:szCs w:val="17"/>
                <w:color w:val="auto"/>
              </w:rPr>
            </w:pPr>
          </w:p>
        </w:tc>
        <w:tc>
          <w:tcPr>
            <w:tcW w:w="4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Former Senior Vice President and Chief Financial Officer, CDW</w:t>
            </w:r>
          </w:p>
        </w:tc>
        <w:tc>
          <w:tcPr>
            <w:tcW w:w="1320" w:type="dxa"/>
            <w:vAlign w:val="bottom"/>
            <w:gridSpan w:val="2"/>
            <w:shd w:val="clear" w:color="auto" w:fill="CCEEFF"/>
          </w:tcPr>
          <w:p>
            <w:pPr>
              <w:jc w:val="center"/>
              <w:ind w:right="160"/>
              <w:spacing w:after="0" w:line="141" w:lineRule="exact"/>
              <w:rPr>
                <w:sz w:val="20"/>
                <w:szCs w:val="20"/>
                <w:color w:val="auto"/>
              </w:rPr>
            </w:pPr>
            <w:r>
              <w:rPr>
                <w:rFonts w:ascii="MS PGothic" w:cs="MS PGothic" w:eastAsia="MS PGothic" w:hAnsi="MS PGothic"/>
                <w:sz w:val="14"/>
                <w:szCs w:val="14"/>
                <w:color w:val="auto"/>
                <w:w w:val="85"/>
              </w:rPr>
              <w:t>✓</w:t>
            </w:r>
          </w:p>
        </w:tc>
        <w:tc>
          <w:tcPr>
            <w:tcW w:w="1260" w:type="dxa"/>
            <w:vAlign w:val="bottom"/>
            <w:gridSpan w:val="2"/>
            <w:shd w:val="clear" w:color="auto" w:fill="CCEEFF"/>
          </w:tcPr>
          <w:p>
            <w:pPr>
              <w:jc w:val="center"/>
              <w:ind w:right="140"/>
              <w:spacing w:after="0" w:line="141" w:lineRule="exact"/>
              <w:rPr>
                <w:sz w:val="20"/>
                <w:szCs w:val="20"/>
                <w:color w:val="auto"/>
              </w:rPr>
            </w:pPr>
            <w:r>
              <w:rPr>
                <w:rFonts w:ascii="MS PGothic" w:cs="MS PGothic" w:eastAsia="MS PGothic" w:hAnsi="MS PGothic"/>
                <w:sz w:val="14"/>
                <w:szCs w:val="14"/>
                <w:color w:val="auto"/>
                <w:w w:val="85"/>
              </w:rPr>
              <w:t>✓</w:t>
            </w: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1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36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4"/>
                <w:szCs w:val="14"/>
                <w:color w:val="auto"/>
              </w:rPr>
              <w:t>Corporation</w:t>
            </w:r>
          </w:p>
        </w:tc>
        <w:tc>
          <w:tcPr>
            <w:tcW w:w="1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328"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4"/>
          <w:szCs w:val="14"/>
          <w:color w:val="auto"/>
        </w:rPr>
        <w:t>Chairman of the Board</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Diversity Matrix (as of March 14, 2023)</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table summarizes certain self-identified characteristics of our directors, utilizing the categories and terms set forth in applicable Nasdaq rules and related guidance.</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1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Number of Directors</w:t>
            </w:r>
          </w:p>
        </w:tc>
        <w:tc>
          <w:tcPr>
            <w:tcW w:w="13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r>
      <w:tr>
        <w:trPr>
          <w:trHeight w:val="223"/>
        </w:trPr>
        <w:tc>
          <w:tcPr>
            <w:tcW w:w="79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Borders>
              <w:top w:val="single" w:sz="8" w:color="auto"/>
            </w:tcBorders>
          </w:tcPr>
          <w:p>
            <w:pPr>
              <w:jc w:val="center"/>
              <w:ind w:left="270"/>
              <w:spacing w:after="0"/>
              <w:rPr>
                <w:sz w:val="20"/>
                <w:szCs w:val="20"/>
                <w:color w:val="auto"/>
              </w:rPr>
            </w:pPr>
            <w:r>
              <w:rPr>
                <w:rFonts w:ascii="Arial" w:cs="Arial" w:eastAsia="Arial" w:hAnsi="Arial"/>
                <w:sz w:val="18"/>
                <w:szCs w:val="18"/>
                <w:color w:val="auto"/>
                <w:w w:val="89"/>
              </w:rPr>
              <w:t>Female</w:t>
            </w:r>
          </w:p>
        </w:tc>
        <w:tc>
          <w:tcPr>
            <w:tcW w:w="36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gridSpan w:val="2"/>
          </w:tcPr>
          <w:p>
            <w:pPr>
              <w:jc w:val="center"/>
              <w:ind w:right="160"/>
              <w:spacing w:after="0"/>
              <w:rPr>
                <w:sz w:val="20"/>
                <w:szCs w:val="20"/>
                <w:color w:val="auto"/>
              </w:rPr>
            </w:pPr>
            <w:r>
              <w:rPr>
                <w:rFonts w:ascii="Arial" w:cs="Arial" w:eastAsia="Arial" w:hAnsi="Arial"/>
                <w:sz w:val="18"/>
                <w:szCs w:val="18"/>
                <w:color w:val="auto"/>
                <w:w w:val="92"/>
              </w:rPr>
              <w:t>Male</w:t>
            </w:r>
          </w:p>
        </w:tc>
      </w:tr>
      <w:tr>
        <w:trPr>
          <w:trHeight w:val="210"/>
        </w:trPr>
        <w:tc>
          <w:tcPr>
            <w:tcW w:w="81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Part I: Gender Identity</w:t>
            </w:r>
          </w:p>
        </w:tc>
        <w:tc>
          <w:tcPr>
            <w:tcW w:w="13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r>
      <w:tr>
        <w:trPr>
          <w:trHeight w:val="229"/>
        </w:trPr>
        <w:tc>
          <w:tcPr>
            <w:tcW w:w="8100" w:type="dxa"/>
            <w:vAlign w:val="bottom"/>
            <w:gridSpan w:val="2"/>
          </w:tcPr>
          <w:p>
            <w:pPr>
              <w:ind w:left="220"/>
              <w:spacing w:after="0"/>
              <w:rPr>
                <w:sz w:val="20"/>
                <w:szCs w:val="20"/>
                <w:color w:val="auto"/>
              </w:rPr>
            </w:pPr>
            <w:r>
              <w:rPr>
                <w:rFonts w:ascii="Arial" w:cs="Arial" w:eastAsia="Arial" w:hAnsi="Arial"/>
                <w:sz w:val="18"/>
                <w:szCs w:val="18"/>
                <w:color w:val="auto"/>
              </w:rPr>
              <w:t>Directors</w:t>
            </w:r>
          </w:p>
        </w:tc>
        <w:tc>
          <w:tcPr>
            <w:tcW w:w="1300" w:type="dxa"/>
            <w:vAlign w:val="bottom"/>
          </w:tcPr>
          <w:p>
            <w:pPr>
              <w:jc w:val="center"/>
              <w:ind w:left="270"/>
              <w:spacing w:after="0"/>
              <w:rPr>
                <w:sz w:val="20"/>
                <w:szCs w:val="20"/>
                <w:color w:val="auto"/>
              </w:rPr>
            </w:pPr>
            <w:r>
              <w:rPr>
                <w:rFonts w:ascii="Arial" w:cs="Arial" w:eastAsia="Arial" w:hAnsi="Arial"/>
                <w:sz w:val="18"/>
                <w:szCs w:val="18"/>
                <w:color w:val="auto"/>
                <w:w w:val="99"/>
              </w:rPr>
              <w:t>3</w:t>
            </w:r>
          </w:p>
        </w:tc>
        <w:tc>
          <w:tcPr>
            <w:tcW w:w="1700" w:type="dxa"/>
            <w:vAlign w:val="bottom"/>
            <w:gridSpan w:val="3"/>
          </w:tcPr>
          <w:p>
            <w:pPr>
              <w:jc w:val="center"/>
              <w:ind w:left="410"/>
              <w:spacing w:after="0"/>
              <w:rPr>
                <w:sz w:val="20"/>
                <w:szCs w:val="20"/>
                <w:color w:val="auto"/>
              </w:rPr>
            </w:pPr>
            <w:r>
              <w:rPr>
                <w:rFonts w:ascii="Arial" w:cs="Arial" w:eastAsia="Arial" w:hAnsi="Arial"/>
                <w:sz w:val="18"/>
                <w:szCs w:val="18"/>
                <w:color w:val="auto"/>
                <w:w w:val="79"/>
              </w:rPr>
              <w:t>4</w:t>
            </w:r>
          </w:p>
        </w:tc>
        <w:tc>
          <w:tcPr>
            <w:tcW w:w="140" w:type="dxa"/>
            <w:vAlign w:val="bottom"/>
          </w:tcPr>
          <w:p>
            <w:pPr>
              <w:spacing w:after="0"/>
              <w:rPr>
                <w:sz w:val="19"/>
                <w:szCs w:val="19"/>
                <w:color w:val="auto"/>
              </w:rPr>
            </w:pPr>
          </w:p>
        </w:tc>
      </w:tr>
      <w:tr>
        <w:trPr>
          <w:trHeight w:val="230"/>
        </w:trPr>
        <w:tc>
          <w:tcPr>
            <w:tcW w:w="81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Part II: Demographic Background</w:t>
            </w:r>
          </w:p>
        </w:tc>
        <w:tc>
          <w:tcPr>
            <w:tcW w:w="13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r>
      <w:tr>
        <w:trPr>
          <w:trHeight w:val="230"/>
        </w:trPr>
        <w:tc>
          <w:tcPr>
            <w:tcW w:w="8100" w:type="dxa"/>
            <w:vAlign w:val="bottom"/>
            <w:gridSpan w:val="2"/>
          </w:tcPr>
          <w:p>
            <w:pPr>
              <w:ind w:left="220"/>
              <w:spacing w:after="0"/>
              <w:rPr>
                <w:sz w:val="20"/>
                <w:szCs w:val="20"/>
                <w:color w:val="auto"/>
              </w:rPr>
            </w:pPr>
            <w:r>
              <w:rPr>
                <w:rFonts w:ascii="Arial" w:cs="Arial" w:eastAsia="Arial" w:hAnsi="Arial"/>
                <w:sz w:val="18"/>
                <w:szCs w:val="18"/>
                <w:color w:val="auto"/>
              </w:rPr>
              <w:t>White</w:t>
            </w:r>
          </w:p>
        </w:tc>
        <w:tc>
          <w:tcPr>
            <w:tcW w:w="1300" w:type="dxa"/>
            <w:vAlign w:val="bottom"/>
          </w:tcPr>
          <w:p>
            <w:pPr>
              <w:jc w:val="center"/>
              <w:ind w:left="270"/>
              <w:spacing w:after="0"/>
              <w:rPr>
                <w:sz w:val="20"/>
                <w:szCs w:val="20"/>
                <w:color w:val="auto"/>
              </w:rPr>
            </w:pPr>
            <w:r>
              <w:rPr>
                <w:rFonts w:ascii="Arial" w:cs="Arial" w:eastAsia="Arial" w:hAnsi="Arial"/>
                <w:sz w:val="18"/>
                <w:szCs w:val="18"/>
                <w:color w:val="auto"/>
                <w:w w:val="99"/>
              </w:rPr>
              <w:t>3</w:t>
            </w:r>
          </w:p>
        </w:tc>
        <w:tc>
          <w:tcPr>
            <w:tcW w:w="1700" w:type="dxa"/>
            <w:vAlign w:val="bottom"/>
            <w:gridSpan w:val="3"/>
          </w:tcPr>
          <w:p>
            <w:pPr>
              <w:jc w:val="center"/>
              <w:ind w:left="410"/>
              <w:spacing w:after="0"/>
              <w:rPr>
                <w:sz w:val="20"/>
                <w:szCs w:val="20"/>
                <w:color w:val="auto"/>
              </w:rPr>
            </w:pPr>
            <w:r>
              <w:rPr>
                <w:rFonts w:ascii="Arial" w:cs="Arial" w:eastAsia="Arial" w:hAnsi="Arial"/>
                <w:sz w:val="18"/>
                <w:szCs w:val="18"/>
                <w:color w:val="auto"/>
                <w:w w:val="79"/>
              </w:rPr>
              <w:t>4</w:t>
            </w:r>
          </w:p>
        </w:tc>
        <w:tc>
          <w:tcPr>
            <w:tcW w:w="140" w:type="dxa"/>
            <w:vAlign w:val="bottom"/>
          </w:tcPr>
          <w:p>
            <w:pPr>
              <w:spacing w:after="0"/>
              <w:rPr>
                <w:sz w:val="20"/>
                <w:szCs w:val="20"/>
                <w:color w:val="auto"/>
              </w:rPr>
            </w:pPr>
          </w:p>
        </w:tc>
      </w:tr>
    </w:tbl>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CORPORATE GOVERNANCE HIGHLIGHTS</w:t>
      </w:r>
    </w:p>
    <w:p>
      <w:pPr>
        <w:spacing w:after="0" w:line="219"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Independent Chairman of the Board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Diverse Board with effective mix of skills, experiences and perspectives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3 of 7 Board members are female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Independent directors hold executive sessions without management present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Single class voting structure (one share, one vote)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Code of business conduct applicable to all employees, officers and directors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Extensive Board oversight of cybersecurity and other risk management matters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Board oversight of environmental, social and governance matters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Board oversight of health and safety matters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Extensive management engagement with potential and existing shareholders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u w:val="single" w:color="auto"/>
          <w:color w:val="4F81B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EXECUTIVE COMPENSATION BEST PRACTICES</w:t>
      </w:r>
    </w:p>
    <w:p>
      <w:pPr>
        <w:spacing w:after="0" w:line="21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annually evaluate all elements of executive officers’ pay to ensure alignment with performance objectives, market best practices and stockholder interests. The following summarizes our compensation practices.</w:t>
      </w:r>
    </w:p>
    <w:p>
      <w:pPr>
        <w:spacing w:after="0" w:line="200" w:lineRule="exact"/>
        <w:rPr>
          <w:sz w:val="20"/>
          <w:szCs w:val="20"/>
          <w:color w:val="auto"/>
        </w:rPr>
      </w:pPr>
    </w:p>
    <w:p>
      <w:pPr>
        <w:spacing w:after="0" w:line="25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What 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2743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0" w:lineRule="exact"/>
        <w:rPr>
          <w:sz w:val="20"/>
          <w:szCs w:val="20"/>
          <w:color w:val="auto"/>
        </w:rPr>
      </w:pPr>
    </w:p>
    <w:p>
      <w:pPr>
        <w:ind w:left="940" w:right="300" w:hanging="676"/>
        <w:spacing w:after="0" w:line="180" w:lineRule="auto"/>
        <w:tabs>
          <w:tab w:leader="none" w:pos="940" w:val="left"/>
        </w:tabs>
        <w:numPr>
          <w:ilvl w:val="0"/>
          <w:numId w:val="6"/>
        </w:numPr>
        <w:rPr>
          <w:rFonts w:ascii="MS PGothic" w:cs="MS PGothic" w:eastAsia="MS PGothic" w:hAnsi="MS PGothic"/>
          <w:sz w:val="35"/>
          <w:szCs w:val="35"/>
          <w:color w:val="auto"/>
          <w:vertAlign w:val="subscript"/>
        </w:rPr>
      </w:pPr>
      <w:r>
        <w:rPr>
          <w:rFonts w:ascii="Arial" w:cs="Arial" w:eastAsia="Arial" w:hAnsi="Arial"/>
          <w:sz w:val="18"/>
          <w:szCs w:val="18"/>
          <w:color w:val="auto"/>
        </w:rPr>
        <w:t>Pay for performance by providing the majority of senior executive compensation in the form of variable cash incentives and equity awards tied to meeting performance goals and increasing our share price</w:t>
      </w:r>
    </w:p>
    <w:p>
      <w:pPr>
        <w:spacing w:after="0" w:line="1" w:lineRule="exact"/>
        <w:rPr>
          <w:rFonts w:ascii="MS PGothic" w:cs="MS PGothic" w:eastAsia="MS PGothic" w:hAnsi="MS PGothic"/>
          <w:sz w:val="35"/>
          <w:szCs w:val="35"/>
          <w:color w:val="auto"/>
          <w:vertAlign w:val="subscript"/>
        </w:rPr>
      </w:pPr>
    </w:p>
    <w:p>
      <w:pPr>
        <w:ind w:left="940" w:hanging="676"/>
        <w:spacing w:after="0"/>
        <w:tabs>
          <w:tab w:leader="none" w:pos="940"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Establish challenging performance goals in incentive plans</w:t>
      </w:r>
    </w:p>
    <w:p>
      <w:pPr>
        <w:spacing w:after="0" w:line="37" w:lineRule="exact"/>
        <w:rPr>
          <w:rFonts w:ascii="MS PGothic" w:cs="MS PGothic" w:eastAsia="MS PGothic" w:hAnsi="MS PGothic"/>
          <w:sz w:val="18"/>
          <w:szCs w:val="18"/>
          <w:color w:val="auto"/>
        </w:rPr>
      </w:pPr>
    </w:p>
    <w:p>
      <w:pPr>
        <w:ind w:left="940" w:hanging="676"/>
        <w:spacing w:after="0"/>
        <w:tabs>
          <w:tab w:leader="none" w:pos="940"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Require non-competition agreement for equity award eligibility</w:t>
      </w:r>
    </w:p>
    <w:p>
      <w:pPr>
        <w:spacing w:after="0" w:line="22" w:lineRule="exact"/>
        <w:rPr>
          <w:rFonts w:ascii="MS PGothic" w:cs="MS PGothic" w:eastAsia="MS PGothic" w:hAnsi="MS PGothic"/>
          <w:sz w:val="18"/>
          <w:szCs w:val="18"/>
          <w:color w:val="auto"/>
        </w:rPr>
      </w:pPr>
    </w:p>
    <w:p>
      <w:pPr>
        <w:ind w:left="940" w:hanging="676"/>
        <w:spacing w:after="0"/>
        <w:tabs>
          <w:tab w:leader="none" w:pos="940"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Provide limited executive perquisites</w:t>
      </w:r>
    </w:p>
    <w:p>
      <w:pPr>
        <w:spacing w:after="0" w:line="22" w:lineRule="exact"/>
        <w:rPr>
          <w:rFonts w:ascii="MS PGothic" w:cs="MS PGothic" w:eastAsia="MS PGothic" w:hAnsi="MS PGothic"/>
          <w:sz w:val="18"/>
          <w:szCs w:val="18"/>
          <w:color w:val="auto"/>
        </w:rPr>
      </w:pPr>
    </w:p>
    <w:p>
      <w:pPr>
        <w:ind w:left="940" w:right="120" w:hanging="676"/>
        <w:spacing w:after="0" w:line="180" w:lineRule="auto"/>
        <w:tabs>
          <w:tab w:leader="none" w:pos="940" w:val="left"/>
        </w:tabs>
        <w:numPr>
          <w:ilvl w:val="0"/>
          <w:numId w:val="6"/>
        </w:numPr>
        <w:rPr>
          <w:rFonts w:ascii="MS PGothic" w:cs="MS PGothic" w:eastAsia="MS PGothic" w:hAnsi="MS PGothic"/>
          <w:sz w:val="34"/>
          <w:szCs w:val="34"/>
          <w:color w:val="auto"/>
          <w:vertAlign w:val="subscript"/>
        </w:rPr>
      </w:pPr>
      <w:r>
        <w:rPr>
          <w:rFonts w:ascii="Arial" w:cs="Arial" w:eastAsia="Arial" w:hAnsi="Arial"/>
          <w:sz w:val="17"/>
          <w:szCs w:val="17"/>
          <w:color w:val="auto"/>
        </w:rPr>
        <w:t>Discourage excessive risk-taking and encourage long-term decision-making with our compensation programs, in alignment with the interests of our shareholders</w:t>
      </w:r>
    </w:p>
    <w:p>
      <w:pPr>
        <w:spacing w:after="0" w:line="1" w:lineRule="exact"/>
        <w:rPr>
          <w:rFonts w:ascii="MS PGothic" w:cs="MS PGothic" w:eastAsia="MS PGothic" w:hAnsi="MS PGothic"/>
          <w:sz w:val="34"/>
          <w:szCs w:val="34"/>
          <w:color w:val="auto"/>
          <w:vertAlign w:val="subscript"/>
        </w:rPr>
      </w:pPr>
    </w:p>
    <w:p>
      <w:pPr>
        <w:ind w:left="940" w:hanging="676"/>
        <w:spacing w:after="0"/>
        <w:tabs>
          <w:tab w:leader="none" w:pos="940"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Review executive compensation levels and practices relative to our peer group and relevant survey data</w:t>
      </w:r>
    </w:p>
    <w:p>
      <w:pPr>
        <w:spacing w:after="0" w:line="37" w:lineRule="exact"/>
        <w:rPr>
          <w:rFonts w:ascii="MS PGothic" w:cs="MS PGothic" w:eastAsia="MS PGothic" w:hAnsi="MS PGothic"/>
          <w:sz w:val="18"/>
          <w:szCs w:val="18"/>
          <w:color w:val="auto"/>
        </w:rPr>
      </w:pPr>
    </w:p>
    <w:p>
      <w:pPr>
        <w:ind w:left="940" w:hanging="676"/>
        <w:spacing w:after="0"/>
        <w:tabs>
          <w:tab w:leader="none" w:pos="940" w:val="left"/>
        </w:tabs>
        <w:numPr>
          <w:ilvl w:val="0"/>
          <w:numId w:val="6"/>
        </w:numPr>
        <w:rPr>
          <w:rFonts w:ascii="MS PGothic" w:cs="MS PGothic" w:eastAsia="MS PGothic" w:hAnsi="MS PGothic"/>
          <w:sz w:val="16"/>
          <w:szCs w:val="16"/>
          <w:color w:val="auto"/>
        </w:rPr>
      </w:pPr>
      <w:r>
        <w:rPr>
          <w:rFonts w:ascii="Arial" w:cs="Arial" w:eastAsia="Arial" w:hAnsi="Arial"/>
          <w:sz w:val="16"/>
          <w:szCs w:val="16"/>
          <w:color w:val="auto"/>
        </w:rPr>
        <w:t>Use an outside independent compensation consultant engaged directly by the CNG Committee to advise on executive compensation matters</w:t>
      </w:r>
    </w:p>
    <w:p>
      <w:pPr>
        <w:spacing w:after="0" w:line="45" w:lineRule="exact"/>
        <w:rPr>
          <w:rFonts w:ascii="MS PGothic" w:cs="MS PGothic" w:eastAsia="MS PGothic" w:hAnsi="MS PGothic"/>
          <w:sz w:val="16"/>
          <w:szCs w:val="16"/>
          <w:color w:val="auto"/>
        </w:rPr>
      </w:pPr>
    </w:p>
    <w:p>
      <w:pPr>
        <w:ind w:left="940" w:hanging="676"/>
        <w:spacing w:after="0"/>
        <w:tabs>
          <w:tab w:leader="none" w:pos="940"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Subject executives’ cash and equity-based incentive compensation to clawback</w:t>
      </w:r>
    </w:p>
    <w:p>
      <w:pPr>
        <w:spacing w:after="0" w:line="22" w:lineRule="exact"/>
        <w:rPr>
          <w:rFonts w:ascii="MS PGothic" w:cs="MS PGothic" w:eastAsia="MS PGothic" w:hAnsi="MS PGothic"/>
          <w:sz w:val="18"/>
          <w:szCs w:val="18"/>
          <w:color w:val="auto"/>
        </w:rPr>
      </w:pPr>
    </w:p>
    <w:p>
      <w:pPr>
        <w:ind w:left="940" w:hanging="676"/>
        <w:spacing w:after="0"/>
        <w:tabs>
          <w:tab w:leader="none" w:pos="940"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Maintain stock ownership guidelines for executive officers and directors (beginning July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-1134745</wp:posOffset>
            </wp:positionV>
            <wp:extent cx="7132320"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-843280</wp:posOffset>
            </wp:positionV>
            <wp:extent cx="7132320" cy="2654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-431800</wp:posOffset>
            </wp:positionV>
            <wp:extent cx="7132320" cy="145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pacing w:after="0" w:line="36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ind w:left="940" w:hanging="666"/>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Provide automatic salary increases for our executives in their employment agreements</w:t>
      </w:r>
    </w:p>
    <w:p>
      <w:pPr>
        <w:spacing w:after="0" w:line="23" w:lineRule="exact"/>
        <w:rPr>
          <w:rFonts w:ascii="Arial" w:cs="Arial" w:eastAsia="Arial" w:hAnsi="Arial"/>
          <w:sz w:val="18"/>
          <w:szCs w:val="18"/>
          <w:color w:val="auto"/>
        </w:rPr>
      </w:pPr>
    </w:p>
    <w:p>
      <w:pPr>
        <w:ind w:left="940" w:hanging="666"/>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Maintain supplemental executive retirement plans for our executives</w:t>
      </w:r>
    </w:p>
    <w:p>
      <w:pPr>
        <w:spacing w:after="0" w:line="22" w:lineRule="exact"/>
        <w:rPr>
          <w:rFonts w:ascii="Arial" w:cs="Arial" w:eastAsia="Arial" w:hAnsi="Arial"/>
          <w:sz w:val="18"/>
          <w:szCs w:val="18"/>
          <w:color w:val="auto"/>
        </w:rPr>
      </w:pPr>
    </w:p>
    <w:p>
      <w:pPr>
        <w:ind w:left="940" w:hanging="666"/>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Pay dividends on unearned performance-based equity awards</w:t>
      </w:r>
    </w:p>
    <w:p>
      <w:pPr>
        <w:spacing w:after="0" w:line="22" w:lineRule="exact"/>
        <w:rPr>
          <w:rFonts w:ascii="Arial" w:cs="Arial" w:eastAsia="Arial" w:hAnsi="Arial"/>
          <w:sz w:val="18"/>
          <w:szCs w:val="18"/>
          <w:color w:val="auto"/>
        </w:rPr>
      </w:pPr>
    </w:p>
    <w:p>
      <w:pPr>
        <w:ind w:left="940" w:hanging="666"/>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Provide excise tax gross-ups</w:t>
      </w:r>
    </w:p>
    <w:p>
      <w:pPr>
        <w:spacing w:after="0" w:line="22" w:lineRule="exact"/>
        <w:rPr>
          <w:rFonts w:ascii="Arial" w:cs="Arial" w:eastAsia="Arial" w:hAnsi="Arial"/>
          <w:sz w:val="18"/>
          <w:szCs w:val="18"/>
          <w:color w:val="auto"/>
        </w:rPr>
      </w:pPr>
    </w:p>
    <w:p>
      <w:pPr>
        <w:ind w:left="940" w:hanging="666"/>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Allow hedging or pledging of company securities</w:t>
      </w:r>
    </w:p>
    <w:p>
      <w:pPr>
        <w:spacing w:after="0" w:line="22" w:lineRule="exact"/>
        <w:rPr>
          <w:rFonts w:ascii="Arial" w:cs="Arial" w:eastAsia="Arial" w:hAnsi="Arial"/>
          <w:sz w:val="18"/>
          <w:szCs w:val="18"/>
          <w:color w:val="auto"/>
        </w:rPr>
      </w:pPr>
    </w:p>
    <w:p>
      <w:pPr>
        <w:ind w:left="940" w:hanging="666"/>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Reprice or exchange underwater stock options without shareholder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-567690</wp:posOffset>
            </wp:positionV>
            <wp:extent cx="7132320"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-276225</wp:posOffset>
            </wp:positionV>
            <wp:extent cx="7132320"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4F81B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36"/>
          <w:szCs w:val="36"/>
          <w:b w:val="1"/>
          <w:bCs w:val="1"/>
          <w:color w:val="1F497D"/>
        </w:rPr>
        <w:t>PROPOSAL 1: ELECTION OF DIRECTORS</w:t>
      </w:r>
    </w:p>
    <w:p>
      <w:pPr>
        <w:spacing w:after="0" w:line="27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Board of Directors is presently comprised of seven directors, divided into three classes serving staggered three-year terms. The term of the Class I directors expires at our 2024 Annual Meeting of Stockholders, the term of the Class II directors expires at our 2025 Annual Meeting of Stockholders, and the term of the Class III directors expires at our 2023 Annual Meeting of Stockholders. The current members of each class of directors is as follows:</w:t>
      </w:r>
    </w:p>
    <w:p>
      <w:pPr>
        <w:spacing w:after="0" w:line="167" w:lineRule="exact"/>
        <w:rPr>
          <w:sz w:val="20"/>
          <w:szCs w:val="20"/>
          <w:color w:val="auto"/>
        </w:rPr>
      </w:pPr>
    </w:p>
    <w:p>
      <w:pPr>
        <w:ind w:left="1300" w:hanging="644"/>
        <w:spacing w:after="0"/>
        <w:tabs>
          <w:tab w:leader="none" w:pos="1300" w:val="left"/>
        </w:tabs>
        <w:numPr>
          <w:ilvl w:val="0"/>
          <w:numId w:val="8"/>
        </w:numPr>
        <w:rPr>
          <w:rFonts w:ascii="Arial" w:cs="Arial" w:eastAsia="Arial" w:hAnsi="Arial"/>
          <w:sz w:val="22"/>
          <w:szCs w:val="22"/>
          <w:color w:val="auto"/>
        </w:rPr>
      </w:pPr>
      <w:r>
        <w:rPr>
          <w:rFonts w:ascii="Arial" w:cs="Arial" w:eastAsia="Arial" w:hAnsi="Arial"/>
          <w:sz w:val="18"/>
          <w:szCs w:val="18"/>
          <w:color w:val="auto"/>
        </w:rPr>
        <w:t>Class I directors: Helen Golding and Allen Hugli</w:t>
      </w:r>
    </w:p>
    <w:p>
      <w:pPr>
        <w:spacing w:after="0" w:line="219" w:lineRule="exact"/>
        <w:rPr>
          <w:rFonts w:ascii="Arial" w:cs="Arial" w:eastAsia="Arial" w:hAnsi="Arial"/>
          <w:sz w:val="22"/>
          <w:szCs w:val="22"/>
          <w:color w:val="auto"/>
        </w:rPr>
      </w:pPr>
    </w:p>
    <w:p>
      <w:pPr>
        <w:ind w:left="1300" w:hanging="644"/>
        <w:spacing w:after="0"/>
        <w:tabs>
          <w:tab w:leader="none" w:pos="1300" w:val="left"/>
        </w:tabs>
        <w:numPr>
          <w:ilvl w:val="0"/>
          <w:numId w:val="8"/>
        </w:numPr>
        <w:rPr>
          <w:rFonts w:ascii="Arial" w:cs="Arial" w:eastAsia="Arial" w:hAnsi="Arial"/>
          <w:sz w:val="22"/>
          <w:szCs w:val="22"/>
          <w:color w:val="auto"/>
        </w:rPr>
      </w:pPr>
      <w:r>
        <w:rPr>
          <w:rFonts w:ascii="Arial" w:cs="Arial" w:eastAsia="Arial" w:hAnsi="Arial"/>
          <w:sz w:val="18"/>
          <w:szCs w:val="18"/>
          <w:color w:val="auto"/>
        </w:rPr>
        <w:t>Class II directors: Gregory Cole and Ann Ziegler</w:t>
      </w:r>
    </w:p>
    <w:p>
      <w:pPr>
        <w:spacing w:after="0" w:line="219" w:lineRule="exact"/>
        <w:rPr>
          <w:rFonts w:ascii="Arial" w:cs="Arial" w:eastAsia="Arial" w:hAnsi="Arial"/>
          <w:sz w:val="22"/>
          <w:szCs w:val="22"/>
          <w:color w:val="auto"/>
        </w:rPr>
      </w:pPr>
    </w:p>
    <w:p>
      <w:pPr>
        <w:ind w:left="1300" w:hanging="644"/>
        <w:spacing w:after="0"/>
        <w:tabs>
          <w:tab w:leader="none" w:pos="1300" w:val="left"/>
        </w:tabs>
        <w:numPr>
          <w:ilvl w:val="0"/>
          <w:numId w:val="8"/>
        </w:numPr>
        <w:rPr>
          <w:rFonts w:ascii="Arial" w:cs="Arial" w:eastAsia="Arial" w:hAnsi="Arial"/>
          <w:sz w:val="22"/>
          <w:szCs w:val="22"/>
          <w:color w:val="auto"/>
        </w:rPr>
      </w:pPr>
      <w:r>
        <w:rPr>
          <w:rFonts w:ascii="Arial" w:cs="Arial" w:eastAsia="Arial" w:hAnsi="Arial"/>
          <w:sz w:val="18"/>
          <w:szCs w:val="18"/>
          <w:color w:val="auto"/>
        </w:rPr>
        <w:t>Class III directors: Marla Gottschalk, Lance Mitchell and Richard Noll</w:t>
      </w:r>
    </w:p>
    <w:p>
      <w:pPr>
        <w:spacing w:after="0" w:line="21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have entered into a Stockholders Agreement (the “Stockholders Agreement”) with Packaging Finance Limited (“PFL”) which, among other things, provides that PFL has the right to nominate all of our directors so long as the Hart Entities (as defined in the Stockholders Agreement) beneficially own at least 50% of the outstanding shares of our common stock; a majority of our directors so long as they own at least 40% of our stock; and at least one director so long as they own at least 10% of our stock. Currently, PFL has the right to nominate all of our directors, and all of our directors were nominated by, and may be removed by, PFL. Based on the recommendation of the Compensation, Nominating and Corporate Governance Committee (the “CNG Committee”) and designated by PFL, the Board has nominated Marla Gottschalk, Lance Mitchell and Richard Noll for election as directors at the 2023 Annual Meeting, to serve until the 2026 annual meeting of stockholders.</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Proxies cannot be voted for a greater number of persons than three, the number of nominees named in this Proxy Statement. We expect each nominee for election as a director will be able to serve if elected. If any nominee is not able to serve, proxies will be voted in favor of the remainder of those nominated and may be voted for substitute nominees.</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Set forth below is biographical information as of March 14, 2023, for the nominees and each person whose term of office as a director will continue after the Annual Meeting. There are no family relationships among our executive officers or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4F81B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0070C0"/>
        </w:rPr>
        <w:t>Gregory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4" w:lineRule="exact"/>
        <w:rPr>
          <w:sz w:val="20"/>
          <w:szCs w:val="20"/>
          <w:color w:val="auto"/>
        </w:rPr>
      </w:pPr>
    </w:p>
    <w:p>
      <w:pPr>
        <w:ind w:left="2760"/>
        <w:spacing w:after="0"/>
        <w:rPr>
          <w:sz w:val="20"/>
          <w:szCs w:val="20"/>
          <w:color w:val="auto"/>
        </w:rPr>
      </w:pPr>
      <w:r>
        <w:rPr>
          <w:rFonts w:ascii="Arial" w:cs="Arial" w:eastAsia="Arial" w:hAnsi="Arial"/>
          <w:sz w:val="18"/>
          <w:szCs w:val="18"/>
          <w:color w:val="0070C0"/>
        </w:rPr>
        <w:t xml:space="preserve">Age: </w:t>
      </w:r>
      <w:r>
        <w:rPr>
          <w:rFonts w:ascii="Arial" w:cs="Arial" w:eastAsia="Arial" w:hAnsi="Arial"/>
          <w:sz w:val="18"/>
          <w:szCs w:val="18"/>
          <w:color w:val="000000"/>
        </w:rPr>
        <w:t>60</w:t>
      </w:r>
    </w:p>
    <w:p>
      <w:pPr>
        <w:spacing w:after="0" w:line="50" w:lineRule="exact"/>
        <w:rPr>
          <w:sz w:val="20"/>
          <w:szCs w:val="20"/>
          <w:color w:val="auto"/>
        </w:rPr>
      </w:pPr>
    </w:p>
    <w:p>
      <w:pPr>
        <w:ind w:left="2760"/>
        <w:spacing w:after="0"/>
        <w:rPr>
          <w:sz w:val="20"/>
          <w:szCs w:val="20"/>
          <w:color w:val="auto"/>
        </w:rPr>
      </w:pPr>
      <w:r>
        <w:rPr>
          <w:rFonts w:ascii="Arial" w:cs="Arial" w:eastAsia="Arial" w:hAnsi="Arial"/>
          <w:sz w:val="18"/>
          <w:szCs w:val="18"/>
          <w:color w:val="0070C0"/>
        </w:rPr>
        <w:t xml:space="preserve">Director Since: </w:t>
      </w:r>
      <w:r>
        <w:rPr>
          <w:rFonts w:ascii="Arial" w:cs="Arial" w:eastAsia="Arial" w:hAnsi="Arial"/>
          <w:sz w:val="18"/>
          <w:szCs w:val="18"/>
          <w:color w:val="000000"/>
        </w:rPr>
        <w:t>October 2019</w:t>
      </w:r>
    </w:p>
    <w:p>
      <w:pPr>
        <w:spacing w:after="0" w:line="63" w:lineRule="exact"/>
        <w:rPr>
          <w:sz w:val="20"/>
          <w:szCs w:val="20"/>
          <w:color w:val="auto"/>
        </w:rPr>
      </w:pPr>
    </w:p>
    <w:p>
      <w:pPr>
        <w:ind w:left="2760"/>
        <w:spacing w:after="0"/>
        <w:rPr>
          <w:sz w:val="20"/>
          <w:szCs w:val="20"/>
          <w:color w:val="auto"/>
        </w:rPr>
      </w:pPr>
      <w:r>
        <w:rPr>
          <w:rFonts w:ascii="Arial" w:cs="Arial" w:eastAsia="Arial" w:hAnsi="Arial"/>
          <w:sz w:val="18"/>
          <w:szCs w:val="18"/>
          <w:color w:val="0070C0"/>
        </w:rPr>
        <w:t>Class II</w:t>
      </w:r>
    </w:p>
    <w:p>
      <w:pPr>
        <w:spacing w:after="0" w:line="63" w:lineRule="exact"/>
        <w:rPr>
          <w:sz w:val="20"/>
          <w:szCs w:val="20"/>
          <w:color w:val="auto"/>
        </w:rPr>
      </w:pPr>
    </w:p>
    <w:p>
      <w:pPr>
        <w:ind w:left="2760"/>
        <w:spacing w:after="0"/>
        <w:rPr>
          <w:sz w:val="20"/>
          <w:szCs w:val="20"/>
          <w:color w:val="auto"/>
        </w:rPr>
      </w:pPr>
      <w:r>
        <w:rPr>
          <w:rFonts w:ascii="Arial" w:cs="Arial" w:eastAsia="Arial" w:hAnsi="Arial"/>
          <w:sz w:val="18"/>
          <w:szCs w:val="18"/>
          <w:color w:val="0070C0"/>
        </w:rPr>
        <w:t>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-10160</wp:posOffset>
            </wp:positionV>
            <wp:extent cx="1200150" cy="6254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00150" cy="625475"/>
                    </a:xfrm>
                    <a:prstGeom prst="rect">
                      <a:avLst/>
                    </a:prstGeom>
                    <a:noFill/>
                  </pic:spPr>
                </pic:pic>
              </a:graphicData>
            </a:graphic>
          </wp:anchor>
        </w:drawing>
      </w:r>
    </w:p>
    <w:p>
      <w:pPr>
        <w:spacing w:after="0" w:line="30" w:lineRule="exact"/>
        <w:rPr>
          <w:sz w:val="20"/>
          <w:szCs w:val="20"/>
          <w:color w:val="auto"/>
        </w:rPr>
      </w:pPr>
    </w:p>
    <w:p>
      <w:pPr>
        <w:ind w:left="3360" w:hanging="310"/>
        <w:spacing w:after="0"/>
        <w:tabs>
          <w:tab w:leader="none" w:pos="33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Compensation, Nominating and Corporate Governance Committee (Chair)</w:t>
      </w:r>
    </w:p>
    <w:p>
      <w:pPr>
        <w:spacing w:after="0" w:line="306" w:lineRule="exact"/>
        <w:rPr>
          <w:sz w:val="20"/>
          <w:szCs w:val="20"/>
          <w:color w:val="auto"/>
        </w:rPr>
      </w:pPr>
    </w:p>
    <w:p>
      <w:pPr>
        <w:jc w:val="both"/>
        <w:ind w:left="2720"/>
        <w:spacing w:after="0" w:line="279" w:lineRule="auto"/>
        <w:rPr>
          <w:sz w:val="20"/>
          <w:szCs w:val="20"/>
          <w:color w:val="auto"/>
        </w:rPr>
      </w:pPr>
      <w:r>
        <w:rPr>
          <w:rFonts w:ascii="Arial" w:cs="Arial" w:eastAsia="Arial" w:hAnsi="Arial"/>
          <w:sz w:val="17"/>
          <w:szCs w:val="17"/>
          <w:color w:val="auto"/>
        </w:rPr>
        <w:t>Mr. Cole currently serves as a senior executive and a director of Rank Group Limited (“Rank”) and a director of other entities owned by Mr. Hart. He has been a senior executive of Rank since 2004. He is a director of our controlling shareholder, PFL. From 1994 to 2004, Mr. Cole was a partner with Deloitte Touche Tohmatsu, which he joined in 1986. Mr. Cole received a Bachelor of Commerce from the University of Auckland.</w:t>
      </w:r>
    </w:p>
    <w:p>
      <w:pPr>
        <w:spacing w:after="0" w:line="171" w:lineRule="exact"/>
        <w:rPr>
          <w:sz w:val="20"/>
          <w:szCs w:val="20"/>
          <w:color w:val="auto"/>
        </w:rPr>
      </w:pPr>
    </w:p>
    <w:p>
      <w:pPr>
        <w:jc w:val="both"/>
        <w:ind w:left="2720"/>
        <w:spacing w:after="0" w:line="308" w:lineRule="auto"/>
        <w:rPr>
          <w:sz w:val="20"/>
          <w:szCs w:val="20"/>
          <w:color w:val="auto"/>
        </w:rPr>
      </w:pPr>
      <w:r>
        <w:rPr>
          <w:rFonts w:ascii="Arial" w:cs="Arial" w:eastAsia="Arial" w:hAnsi="Arial"/>
          <w:sz w:val="17"/>
          <w:szCs w:val="17"/>
          <w:color w:val="auto"/>
        </w:rPr>
        <w:t>Mr. Cole brings to the Board valuable perspective and insight with respect to the Company’s business, industry, challenges, and opportunities as a result of his years serving in a variety of senior executive positions for Rank.</w:t>
      </w:r>
    </w:p>
    <w:p>
      <w:pPr>
        <w:spacing w:after="0" w:line="268"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0070C0"/>
        </w:rPr>
        <w:t>Helen Golding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4" w:lineRule="exact"/>
        <w:rPr>
          <w:sz w:val="20"/>
          <w:szCs w:val="20"/>
          <w:color w:val="auto"/>
        </w:rPr>
      </w:pPr>
    </w:p>
    <w:p>
      <w:pPr>
        <w:ind w:left="2760"/>
        <w:spacing w:after="0"/>
        <w:rPr>
          <w:sz w:val="20"/>
          <w:szCs w:val="20"/>
          <w:color w:val="auto"/>
        </w:rPr>
      </w:pPr>
      <w:r>
        <w:rPr>
          <w:rFonts w:ascii="Arial" w:cs="Arial" w:eastAsia="Arial" w:hAnsi="Arial"/>
          <w:sz w:val="18"/>
          <w:szCs w:val="18"/>
          <w:color w:val="0070C0"/>
        </w:rPr>
        <w:t xml:space="preserve">Age: </w:t>
      </w:r>
      <w:r>
        <w:rPr>
          <w:rFonts w:ascii="Arial" w:cs="Arial" w:eastAsia="Arial" w:hAnsi="Arial"/>
          <w:sz w:val="18"/>
          <w:szCs w:val="18"/>
          <w:color w:val="000000"/>
        </w:rPr>
        <w:t>60</w:t>
      </w:r>
    </w:p>
    <w:p>
      <w:pPr>
        <w:spacing w:after="0" w:line="50" w:lineRule="exact"/>
        <w:rPr>
          <w:sz w:val="20"/>
          <w:szCs w:val="20"/>
          <w:color w:val="auto"/>
        </w:rPr>
      </w:pPr>
    </w:p>
    <w:p>
      <w:pPr>
        <w:ind w:left="2760"/>
        <w:spacing w:after="0"/>
        <w:rPr>
          <w:sz w:val="20"/>
          <w:szCs w:val="20"/>
          <w:color w:val="auto"/>
        </w:rPr>
      </w:pPr>
      <w:r>
        <w:rPr>
          <w:rFonts w:ascii="Arial" w:cs="Arial" w:eastAsia="Arial" w:hAnsi="Arial"/>
          <w:sz w:val="18"/>
          <w:szCs w:val="18"/>
          <w:color w:val="0070C0"/>
        </w:rPr>
        <w:t xml:space="preserve">Director Since: </w:t>
      </w:r>
      <w:r>
        <w:rPr>
          <w:rFonts w:ascii="Arial" w:cs="Arial" w:eastAsia="Arial" w:hAnsi="Arial"/>
          <w:sz w:val="18"/>
          <w:szCs w:val="18"/>
          <w:color w:val="000000"/>
        </w:rPr>
        <w:t>October 2019</w:t>
      </w:r>
    </w:p>
    <w:p>
      <w:pPr>
        <w:spacing w:after="0" w:line="63" w:lineRule="exact"/>
        <w:rPr>
          <w:sz w:val="20"/>
          <w:szCs w:val="20"/>
          <w:color w:val="auto"/>
        </w:rPr>
      </w:pPr>
    </w:p>
    <w:p>
      <w:pPr>
        <w:ind w:left="2760"/>
        <w:spacing w:after="0"/>
        <w:rPr>
          <w:sz w:val="20"/>
          <w:szCs w:val="20"/>
          <w:color w:val="auto"/>
        </w:rPr>
      </w:pPr>
      <w:r>
        <w:rPr>
          <w:rFonts w:ascii="Arial" w:cs="Arial" w:eastAsia="Arial" w:hAnsi="Arial"/>
          <w:sz w:val="18"/>
          <w:szCs w:val="18"/>
          <w:color w:val="0070C0"/>
        </w:rPr>
        <w:t>Class I</w:t>
      </w:r>
    </w:p>
    <w:p>
      <w:pPr>
        <w:spacing w:after="0" w:line="63" w:lineRule="exact"/>
        <w:rPr>
          <w:sz w:val="20"/>
          <w:szCs w:val="20"/>
          <w:color w:val="auto"/>
        </w:rPr>
      </w:pPr>
    </w:p>
    <w:p>
      <w:pPr>
        <w:ind w:left="2760"/>
        <w:spacing w:after="0"/>
        <w:rPr>
          <w:sz w:val="20"/>
          <w:szCs w:val="20"/>
          <w:color w:val="auto"/>
        </w:rPr>
      </w:pPr>
      <w:r>
        <w:rPr>
          <w:rFonts w:ascii="Arial" w:cs="Arial" w:eastAsia="Arial" w:hAnsi="Arial"/>
          <w:sz w:val="18"/>
          <w:szCs w:val="18"/>
          <w:color w:val="0070C0"/>
        </w:rPr>
        <w:t>Committees:</w:t>
      </w:r>
    </w:p>
    <w:p>
      <w:pPr>
        <w:spacing w:after="0" w:line="50" w:lineRule="exact"/>
        <w:rPr>
          <w:sz w:val="20"/>
          <w:szCs w:val="20"/>
          <w:color w:val="auto"/>
        </w:rPr>
      </w:pPr>
    </w:p>
    <w:p>
      <w:pPr>
        <w:ind w:left="3360" w:hanging="310"/>
        <w:spacing w:after="0"/>
        <w:tabs>
          <w:tab w:leader="none" w:pos="33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Compensation, Nominating and Corporate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-36195</wp:posOffset>
            </wp:positionV>
            <wp:extent cx="1200150" cy="6254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00150" cy="625475"/>
                    </a:xfrm>
                    <a:prstGeom prst="rect">
                      <a:avLst/>
                    </a:prstGeom>
                    <a:noFill/>
                  </pic:spPr>
                </pic:pic>
              </a:graphicData>
            </a:graphic>
          </wp:anchor>
        </w:drawing>
      </w:r>
    </w:p>
    <w:p>
      <w:pPr>
        <w:spacing w:after="0" w:line="286" w:lineRule="exact"/>
        <w:rPr>
          <w:sz w:val="20"/>
          <w:szCs w:val="20"/>
          <w:color w:val="auto"/>
        </w:rPr>
      </w:pPr>
    </w:p>
    <w:p>
      <w:pPr>
        <w:jc w:val="both"/>
        <w:ind w:left="2720"/>
        <w:spacing w:after="0" w:line="296" w:lineRule="auto"/>
        <w:rPr>
          <w:sz w:val="20"/>
          <w:szCs w:val="20"/>
          <w:color w:val="auto"/>
        </w:rPr>
      </w:pPr>
      <w:r>
        <w:rPr>
          <w:rFonts w:ascii="Arial" w:cs="Arial" w:eastAsia="Arial" w:hAnsi="Arial"/>
          <w:sz w:val="16"/>
          <w:szCs w:val="16"/>
          <w:color w:val="auto"/>
        </w:rPr>
        <w:t>Ms. Golding is a director of our controlling shareholder, PFL, and currently serves as Group Legal Counsel and a director of Rank and a director of other entities owned by Mr. Hart. She has been a senior executive of Rank since 2006. Ms. Golding joined Rank from Burns, Philp &amp; Company Pty Limited where she served as Company Secretary and Group Legal Counsel from 1998 to 2006. Prior to that, she was a private practitioner in a Sydney-based law firm. Ms. Golding received a Bachelor of Economics and Master of Laws from the University of Sydney.</w:t>
      </w:r>
    </w:p>
    <w:p>
      <w:pPr>
        <w:spacing w:after="0" w:line="161" w:lineRule="exact"/>
        <w:rPr>
          <w:sz w:val="20"/>
          <w:szCs w:val="20"/>
          <w:color w:val="auto"/>
        </w:rPr>
      </w:pPr>
    </w:p>
    <w:p>
      <w:pPr>
        <w:jc w:val="both"/>
        <w:ind w:left="2720"/>
        <w:spacing w:after="0" w:line="308" w:lineRule="auto"/>
        <w:rPr>
          <w:sz w:val="20"/>
          <w:szCs w:val="20"/>
          <w:color w:val="auto"/>
        </w:rPr>
      </w:pPr>
      <w:r>
        <w:rPr>
          <w:rFonts w:ascii="Arial" w:cs="Arial" w:eastAsia="Arial" w:hAnsi="Arial"/>
          <w:sz w:val="17"/>
          <w:szCs w:val="17"/>
          <w:color w:val="auto"/>
        </w:rPr>
        <w:t>Ms. Golding brings to the Board valuable perspective and insight with respect to the Company’s business, industry, challenges, and opportunities as a result of her years serving as Group Legal Counsel for Rank.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4F81B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0070C0"/>
        </w:rPr>
        <w:t>Marla Gottschalk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24" w:lineRule="exact"/>
        <w:rPr>
          <w:sz w:val="20"/>
          <w:szCs w:val="20"/>
          <w:color w:val="auto"/>
        </w:rPr>
      </w:pPr>
    </w:p>
    <w:p>
      <w:pPr>
        <w:ind w:left="2780"/>
        <w:spacing w:after="0"/>
        <w:rPr>
          <w:sz w:val="20"/>
          <w:szCs w:val="20"/>
          <w:color w:val="auto"/>
        </w:rPr>
      </w:pPr>
      <w:r>
        <w:rPr>
          <w:rFonts w:ascii="Arial" w:cs="Arial" w:eastAsia="Arial" w:hAnsi="Arial"/>
          <w:sz w:val="18"/>
          <w:szCs w:val="18"/>
          <w:color w:val="0070C0"/>
        </w:rPr>
        <w:t xml:space="preserve">Age: </w:t>
      </w:r>
      <w:r>
        <w:rPr>
          <w:rFonts w:ascii="Arial" w:cs="Arial" w:eastAsia="Arial" w:hAnsi="Arial"/>
          <w:sz w:val="18"/>
          <w:szCs w:val="18"/>
          <w:color w:val="000000"/>
        </w:rPr>
        <w:t>62</w:t>
      </w:r>
    </w:p>
    <w:p>
      <w:pPr>
        <w:spacing w:after="0" w:line="50" w:lineRule="exact"/>
        <w:rPr>
          <w:sz w:val="20"/>
          <w:szCs w:val="20"/>
          <w:color w:val="auto"/>
        </w:rPr>
      </w:pPr>
    </w:p>
    <w:p>
      <w:pPr>
        <w:ind w:left="2780"/>
        <w:spacing w:after="0"/>
        <w:rPr>
          <w:sz w:val="20"/>
          <w:szCs w:val="20"/>
          <w:color w:val="auto"/>
        </w:rPr>
      </w:pPr>
      <w:r>
        <w:rPr>
          <w:rFonts w:ascii="Arial" w:cs="Arial" w:eastAsia="Arial" w:hAnsi="Arial"/>
          <w:sz w:val="18"/>
          <w:szCs w:val="18"/>
          <w:color w:val="0070C0"/>
        </w:rPr>
        <w:t xml:space="preserve">Director Since: </w:t>
      </w:r>
      <w:r>
        <w:rPr>
          <w:rFonts w:ascii="Arial" w:cs="Arial" w:eastAsia="Arial" w:hAnsi="Arial"/>
          <w:sz w:val="18"/>
          <w:szCs w:val="18"/>
          <w:color w:val="000000"/>
        </w:rPr>
        <w:t>January 2020</w:t>
      </w:r>
    </w:p>
    <w:p>
      <w:pPr>
        <w:spacing w:after="0" w:line="63" w:lineRule="exact"/>
        <w:rPr>
          <w:sz w:val="20"/>
          <w:szCs w:val="20"/>
          <w:color w:val="auto"/>
        </w:rPr>
      </w:pPr>
    </w:p>
    <w:p>
      <w:pPr>
        <w:ind w:left="2780"/>
        <w:spacing w:after="0"/>
        <w:rPr>
          <w:sz w:val="20"/>
          <w:szCs w:val="20"/>
          <w:color w:val="auto"/>
        </w:rPr>
      </w:pPr>
      <w:r>
        <w:rPr>
          <w:rFonts w:ascii="Arial" w:cs="Arial" w:eastAsia="Arial" w:hAnsi="Arial"/>
          <w:sz w:val="18"/>
          <w:szCs w:val="18"/>
          <w:color w:val="0070C0"/>
        </w:rPr>
        <w:t>Class III</w:t>
      </w:r>
    </w:p>
    <w:p>
      <w:pPr>
        <w:spacing w:after="0" w:line="63" w:lineRule="exact"/>
        <w:rPr>
          <w:sz w:val="20"/>
          <w:szCs w:val="20"/>
          <w:color w:val="auto"/>
        </w:rPr>
      </w:pPr>
    </w:p>
    <w:p>
      <w:pPr>
        <w:ind w:left="2780"/>
        <w:spacing w:after="0"/>
        <w:rPr>
          <w:sz w:val="20"/>
          <w:szCs w:val="20"/>
          <w:color w:val="auto"/>
        </w:rPr>
      </w:pPr>
      <w:r>
        <w:rPr>
          <w:rFonts w:ascii="Arial" w:cs="Arial" w:eastAsia="Arial" w:hAnsi="Arial"/>
          <w:sz w:val="18"/>
          <w:szCs w:val="18"/>
          <w:color w:val="0070C0"/>
        </w:rPr>
        <w:t>Committees:</w:t>
      </w:r>
    </w:p>
    <w:p>
      <w:pPr>
        <w:spacing w:after="0" w:line="50" w:lineRule="exact"/>
        <w:rPr>
          <w:sz w:val="20"/>
          <w:szCs w:val="20"/>
          <w:color w:val="auto"/>
        </w:rPr>
      </w:pPr>
    </w:p>
    <w:p>
      <w:pPr>
        <w:ind w:left="3400" w:hanging="323"/>
        <w:spacing w:after="0"/>
        <w:tabs>
          <w:tab w:leader="none" w:pos="34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Audit Committee (Chair)</w:t>
      </w:r>
    </w:p>
    <w:p>
      <w:pPr>
        <w:spacing w:after="0" w:line="306" w:lineRule="exact"/>
        <w:rPr>
          <w:sz w:val="20"/>
          <w:szCs w:val="20"/>
          <w:color w:val="auto"/>
        </w:rPr>
      </w:pPr>
    </w:p>
    <w:p>
      <w:pPr>
        <w:jc w:val="both"/>
        <w:ind w:left="2760"/>
        <w:spacing w:after="0" w:line="287" w:lineRule="auto"/>
        <w:rPr>
          <w:sz w:val="20"/>
          <w:szCs w:val="20"/>
          <w:color w:val="auto"/>
        </w:rPr>
      </w:pPr>
      <w:r>
        <w:rPr>
          <w:rFonts w:ascii="Arial" w:cs="Arial" w:eastAsia="Arial" w:hAnsi="Arial"/>
          <w:sz w:val="16"/>
          <w:szCs w:val="16"/>
          <w:color w:val="auto"/>
        </w:rPr>
        <w:t>Ms. Gottschalk served as the Chief Executive Officer of The Pampered Chef Ltd. from 2006 to 2013 and as President and Chief Operating Officer from 2003 to 2006. Ms. Gottschalk joined Pampered Chef from Kraft Foods, Inc., where she worked for 14 years in various management positions, including as Senior Vice President of Financial Planning and Investor Relations for Kraft, Executive Vice President and General Manager of Post Cereal Division and Vice President of Marketing and Strategy of the Kraft Cheese Division. Ms. Gottschalk is currently a member of the board of directors of Big Lots, Inc., where she serves as the chair of the audit committee and as a member of the compensation committees. She also serves on the board of directors for US Foods Holding Corp. where she serves on the audit committee and nominating and governance committee. She also serves as a member of the board of directors of UL Inc., where she chairs the human capital and compensation committee and is a member of the nominating and governance committee. Ms. Gottschalk previously served as a director of Potbelly Corporation from 2009 to 2022. Ms. Gottschalk received a B.S. in Business from Indiana University and a Masters in Management Studies from Northwestern University’s J.L. Kellogg Graduate School of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-1495425</wp:posOffset>
            </wp:positionV>
            <wp:extent cx="1200150" cy="6261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00150" cy="626110"/>
                    </a:xfrm>
                    <a:prstGeom prst="rect">
                      <a:avLst/>
                    </a:prstGeom>
                    <a:noFill/>
                  </pic:spPr>
                </pic:pic>
              </a:graphicData>
            </a:graphic>
          </wp:anchor>
        </w:drawing>
      </w:r>
    </w:p>
    <w:p>
      <w:pPr>
        <w:spacing w:after="0" w:line="148" w:lineRule="exact"/>
        <w:rPr>
          <w:sz w:val="20"/>
          <w:szCs w:val="20"/>
          <w:color w:val="auto"/>
        </w:rPr>
      </w:pPr>
    </w:p>
    <w:p>
      <w:pPr>
        <w:jc w:val="both"/>
        <w:ind w:left="2760"/>
        <w:spacing w:after="0" w:line="342" w:lineRule="auto"/>
        <w:rPr>
          <w:sz w:val="20"/>
          <w:szCs w:val="20"/>
          <w:color w:val="auto"/>
        </w:rPr>
      </w:pPr>
      <w:r>
        <w:rPr>
          <w:rFonts w:ascii="Arial" w:cs="Arial" w:eastAsia="Arial" w:hAnsi="Arial"/>
          <w:sz w:val="16"/>
          <w:szCs w:val="16"/>
          <w:color w:val="auto"/>
        </w:rPr>
        <w:t>Ms. Gottschalk brings to the Board qualifications that include her extensive experience with global companies, her expertise in the consumer products industry and her years of experience in operations and strategic management.</w:t>
      </w:r>
    </w:p>
    <w:p>
      <w:pPr>
        <w:spacing w:after="0" w:line="1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0070C0"/>
        </w:rPr>
        <w:t>Allen Hugli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4" w:lineRule="exact"/>
        <w:rPr>
          <w:sz w:val="20"/>
          <w:szCs w:val="20"/>
          <w:color w:val="auto"/>
        </w:rPr>
      </w:pPr>
    </w:p>
    <w:p>
      <w:pPr>
        <w:ind w:left="2780"/>
        <w:spacing w:after="0"/>
        <w:rPr>
          <w:sz w:val="20"/>
          <w:szCs w:val="20"/>
          <w:color w:val="auto"/>
        </w:rPr>
      </w:pPr>
      <w:r>
        <w:rPr>
          <w:rFonts w:ascii="Arial" w:cs="Arial" w:eastAsia="Arial" w:hAnsi="Arial"/>
          <w:sz w:val="18"/>
          <w:szCs w:val="18"/>
          <w:color w:val="0070C0"/>
        </w:rPr>
        <w:t xml:space="preserve">Age: </w:t>
      </w:r>
      <w:r>
        <w:rPr>
          <w:rFonts w:ascii="Arial" w:cs="Arial" w:eastAsia="Arial" w:hAnsi="Arial"/>
          <w:sz w:val="18"/>
          <w:szCs w:val="18"/>
          <w:color w:val="000000"/>
        </w:rPr>
        <w:t>60</w:t>
      </w:r>
    </w:p>
    <w:p>
      <w:pPr>
        <w:spacing w:after="0" w:line="50" w:lineRule="exact"/>
        <w:rPr>
          <w:sz w:val="20"/>
          <w:szCs w:val="20"/>
          <w:color w:val="auto"/>
        </w:rPr>
      </w:pPr>
    </w:p>
    <w:p>
      <w:pPr>
        <w:ind w:left="2780"/>
        <w:spacing w:after="0"/>
        <w:rPr>
          <w:sz w:val="20"/>
          <w:szCs w:val="20"/>
          <w:color w:val="auto"/>
        </w:rPr>
      </w:pPr>
      <w:r>
        <w:rPr>
          <w:rFonts w:ascii="Arial" w:cs="Arial" w:eastAsia="Arial" w:hAnsi="Arial"/>
          <w:sz w:val="18"/>
          <w:szCs w:val="18"/>
          <w:color w:val="0070C0"/>
        </w:rPr>
        <w:t xml:space="preserve">Director Since: </w:t>
      </w:r>
      <w:r>
        <w:rPr>
          <w:rFonts w:ascii="Arial" w:cs="Arial" w:eastAsia="Arial" w:hAnsi="Arial"/>
          <w:sz w:val="18"/>
          <w:szCs w:val="18"/>
          <w:color w:val="000000"/>
        </w:rPr>
        <w:t>March 2021</w:t>
      </w:r>
    </w:p>
    <w:p>
      <w:pPr>
        <w:spacing w:after="0" w:line="63" w:lineRule="exact"/>
        <w:rPr>
          <w:sz w:val="20"/>
          <w:szCs w:val="20"/>
          <w:color w:val="auto"/>
        </w:rPr>
      </w:pPr>
    </w:p>
    <w:p>
      <w:pPr>
        <w:ind w:left="2780"/>
        <w:spacing w:after="0"/>
        <w:rPr>
          <w:sz w:val="20"/>
          <w:szCs w:val="20"/>
          <w:color w:val="auto"/>
        </w:rPr>
      </w:pPr>
      <w:r>
        <w:rPr>
          <w:rFonts w:ascii="Arial" w:cs="Arial" w:eastAsia="Arial" w:hAnsi="Arial"/>
          <w:sz w:val="18"/>
          <w:szCs w:val="18"/>
          <w:color w:val="0070C0"/>
        </w:rPr>
        <w:t>Class I</w:t>
      </w:r>
    </w:p>
    <w:p>
      <w:pPr>
        <w:spacing w:after="0" w:line="63" w:lineRule="exact"/>
        <w:rPr>
          <w:sz w:val="20"/>
          <w:szCs w:val="20"/>
          <w:color w:val="auto"/>
        </w:rPr>
      </w:pPr>
    </w:p>
    <w:p>
      <w:pPr>
        <w:ind w:left="2780"/>
        <w:spacing w:after="0"/>
        <w:rPr>
          <w:sz w:val="20"/>
          <w:szCs w:val="20"/>
          <w:color w:val="auto"/>
        </w:rPr>
      </w:pPr>
      <w:r>
        <w:rPr>
          <w:rFonts w:ascii="Arial" w:cs="Arial" w:eastAsia="Arial" w:hAnsi="Arial"/>
          <w:sz w:val="18"/>
          <w:szCs w:val="18"/>
          <w:color w:val="0070C0"/>
        </w:rPr>
        <w:t xml:space="preserve">Committees: </w:t>
      </w:r>
      <w:r>
        <w:rPr>
          <w:rFonts w:ascii="Arial" w:cs="Arial" w:eastAsia="Arial" w:hAnsi="Arial"/>
          <w:sz w:val="18"/>
          <w:szCs w:val="18"/>
          <w:color w:val="000000"/>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40640</wp:posOffset>
            </wp:positionV>
            <wp:extent cx="1200150" cy="6254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00150" cy="625475"/>
                    </a:xfrm>
                    <a:prstGeom prst="rect">
                      <a:avLst/>
                    </a:prstGeom>
                    <a:noFill/>
                  </pic:spPr>
                </pic:pic>
              </a:graphicData>
            </a:graphic>
          </wp:anchor>
        </w:drawing>
      </w:r>
    </w:p>
    <w:p>
      <w:pPr>
        <w:spacing w:after="0" w:line="273" w:lineRule="exact"/>
        <w:rPr>
          <w:sz w:val="20"/>
          <w:szCs w:val="20"/>
          <w:color w:val="auto"/>
        </w:rPr>
      </w:pPr>
    </w:p>
    <w:p>
      <w:pPr>
        <w:jc w:val="both"/>
        <w:ind w:left="2760"/>
        <w:spacing w:after="0" w:line="273" w:lineRule="auto"/>
        <w:rPr>
          <w:sz w:val="20"/>
          <w:szCs w:val="20"/>
          <w:color w:val="auto"/>
        </w:rPr>
      </w:pPr>
      <w:r>
        <w:rPr>
          <w:rFonts w:ascii="Arial" w:cs="Arial" w:eastAsia="Arial" w:hAnsi="Arial"/>
          <w:sz w:val="17"/>
          <w:szCs w:val="17"/>
          <w:color w:val="auto"/>
        </w:rPr>
        <w:t>Mr. Hugli is a director of our controlling shareholder, PFL, and currently serves as Chief Financial Officer and a director of Rank, a director of Pactiv Evergreen Inc. (“PEI”) where he also served as the Chief Financial Officer from 2009 to 2020, and a director of other entities owned by Mr. Hart. He has been a senior executive of Rank since 1993. Mr. Hugli previously held positions in financial management and audit practices in Australia, Canada and New Zealand. Mr. Hugli received a Bachelor of Commerce (Honours) from Queen’s University at Kingston. Mr. Hugli holds a CPA CA designation from the Chartered Professional Accountants of Canada.</w:t>
      </w:r>
    </w:p>
    <w:p>
      <w:pPr>
        <w:spacing w:after="0" w:line="178" w:lineRule="exact"/>
        <w:rPr>
          <w:sz w:val="20"/>
          <w:szCs w:val="20"/>
          <w:color w:val="auto"/>
        </w:rPr>
      </w:pPr>
    </w:p>
    <w:p>
      <w:pPr>
        <w:jc w:val="both"/>
        <w:ind w:left="2760"/>
        <w:spacing w:after="0" w:line="308" w:lineRule="auto"/>
        <w:rPr>
          <w:sz w:val="20"/>
          <w:szCs w:val="20"/>
          <w:color w:val="auto"/>
        </w:rPr>
      </w:pPr>
      <w:r>
        <w:rPr>
          <w:rFonts w:ascii="Arial" w:cs="Arial" w:eastAsia="Arial" w:hAnsi="Arial"/>
          <w:sz w:val="17"/>
          <w:szCs w:val="17"/>
          <w:color w:val="auto"/>
        </w:rPr>
        <w:t>Mr. Hugli brings to the Board valuable perspective and insight with respect to the Company’s business, industry, challenges, and opportunities as a result of his years serving as Chief Financial Officer and a director of Rank.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4F81B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0070C0"/>
        </w:rPr>
        <w:t>Lance Mitchell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4" w:lineRule="exact"/>
        <w:rPr>
          <w:sz w:val="20"/>
          <w:szCs w:val="20"/>
          <w:color w:val="auto"/>
        </w:rPr>
      </w:pPr>
    </w:p>
    <w:p>
      <w:pPr>
        <w:ind w:left="2780"/>
        <w:spacing w:after="0"/>
        <w:rPr>
          <w:sz w:val="20"/>
          <w:szCs w:val="20"/>
          <w:color w:val="auto"/>
        </w:rPr>
      </w:pPr>
      <w:r>
        <w:rPr>
          <w:rFonts w:ascii="Arial" w:cs="Arial" w:eastAsia="Arial" w:hAnsi="Arial"/>
          <w:sz w:val="18"/>
          <w:szCs w:val="18"/>
          <w:color w:val="0070C0"/>
        </w:rPr>
        <w:t xml:space="preserve">Age: </w:t>
      </w:r>
      <w:r>
        <w:rPr>
          <w:rFonts w:ascii="Arial" w:cs="Arial" w:eastAsia="Arial" w:hAnsi="Arial"/>
          <w:sz w:val="18"/>
          <w:szCs w:val="18"/>
          <w:color w:val="000000"/>
        </w:rPr>
        <w:t>63</w:t>
      </w:r>
    </w:p>
    <w:p>
      <w:pPr>
        <w:spacing w:after="0" w:line="50" w:lineRule="exact"/>
        <w:rPr>
          <w:sz w:val="20"/>
          <w:szCs w:val="20"/>
          <w:color w:val="auto"/>
        </w:rPr>
      </w:pPr>
    </w:p>
    <w:p>
      <w:pPr>
        <w:ind w:left="2780"/>
        <w:spacing w:after="0"/>
        <w:rPr>
          <w:sz w:val="20"/>
          <w:szCs w:val="20"/>
          <w:color w:val="auto"/>
        </w:rPr>
      </w:pPr>
      <w:r>
        <w:rPr>
          <w:rFonts w:ascii="Arial" w:cs="Arial" w:eastAsia="Arial" w:hAnsi="Arial"/>
          <w:sz w:val="18"/>
          <w:szCs w:val="18"/>
          <w:color w:val="0070C0"/>
        </w:rPr>
        <w:t xml:space="preserve">Director Since: </w:t>
      </w:r>
      <w:r>
        <w:rPr>
          <w:rFonts w:ascii="Arial" w:cs="Arial" w:eastAsia="Arial" w:hAnsi="Arial"/>
          <w:sz w:val="18"/>
          <w:szCs w:val="18"/>
          <w:color w:val="000000"/>
        </w:rPr>
        <w:t>October 2019</w:t>
      </w:r>
    </w:p>
    <w:p>
      <w:pPr>
        <w:spacing w:after="0" w:line="63" w:lineRule="exact"/>
        <w:rPr>
          <w:sz w:val="20"/>
          <w:szCs w:val="20"/>
          <w:color w:val="auto"/>
        </w:rPr>
      </w:pPr>
    </w:p>
    <w:p>
      <w:pPr>
        <w:ind w:left="2780"/>
        <w:spacing w:after="0"/>
        <w:rPr>
          <w:sz w:val="20"/>
          <w:szCs w:val="20"/>
          <w:color w:val="auto"/>
        </w:rPr>
      </w:pPr>
      <w:r>
        <w:rPr>
          <w:rFonts w:ascii="Arial" w:cs="Arial" w:eastAsia="Arial" w:hAnsi="Arial"/>
          <w:sz w:val="18"/>
          <w:szCs w:val="18"/>
          <w:color w:val="0070C0"/>
        </w:rPr>
        <w:t>Class III</w:t>
      </w:r>
    </w:p>
    <w:p>
      <w:pPr>
        <w:spacing w:after="0" w:line="63" w:lineRule="exact"/>
        <w:rPr>
          <w:sz w:val="20"/>
          <w:szCs w:val="20"/>
          <w:color w:val="auto"/>
        </w:rPr>
      </w:pPr>
    </w:p>
    <w:p>
      <w:pPr>
        <w:ind w:left="2780"/>
        <w:spacing w:after="0"/>
        <w:rPr>
          <w:sz w:val="20"/>
          <w:szCs w:val="20"/>
          <w:color w:val="auto"/>
        </w:rPr>
      </w:pPr>
      <w:r>
        <w:rPr>
          <w:rFonts w:ascii="Arial" w:cs="Arial" w:eastAsia="Arial" w:hAnsi="Arial"/>
          <w:sz w:val="18"/>
          <w:szCs w:val="18"/>
          <w:color w:val="0070C0"/>
        </w:rPr>
        <w:t xml:space="preserve">Committees: </w:t>
      </w:r>
      <w:r>
        <w:rPr>
          <w:rFonts w:ascii="Arial" w:cs="Arial" w:eastAsia="Arial" w:hAnsi="Arial"/>
          <w:sz w:val="18"/>
          <w:szCs w:val="18"/>
          <w:color w:val="000000"/>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109220</wp:posOffset>
            </wp:positionV>
            <wp:extent cx="1200150" cy="6261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00150" cy="626110"/>
                    </a:xfrm>
                    <a:prstGeom prst="rect">
                      <a:avLst/>
                    </a:prstGeom>
                    <a:noFill/>
                  </pic:spPr>
                </pic:pic>
              </a:graphicData>
            </a:graphic>
          </wp:anchor>
        </w:drawing>
      </w:r>
    </w:p>
    <w:p>
      <w:pPr>
        <w:spacing w:after="0" w:line="273" w:lineRule="exact"/>
        <w:rPr>
          <w:sz w:val="20"/>
          <w:szCs w:val="20"/>
          <w:color w:val="auto"/>
        </w:rPr>
      </w:pPr>
    </w:p>
    <w:p>
      <w:pPr>
        <w:jc w:val="both"/>
        <w:ind w:left="2760"/>
        <w:spacing w:after="0" w:line="273" w:lineRule="auto"/>
        <w:rPr>
          <w:sz w:val="20"/>
          <w:szCs w:val="20"/>
          <w:color w:val="auto"/>
        </w:rPr>
      </w:pPr>
      <w:r>
        <w:rPr>
          <w:rFonts w:ascii="Arial" w:cs="Arial" w:eastAsia="Arial" w:hAnsi="Arial"/>
          <w:sz w:val="17"/>
          <w:szCs w:val="17"/>
          <w:color w:val="auto"/>
        </w:rPr>
        <w:t>Mr. Mitchell has served as the Company’s President and Chief Executive Officer since 2011 and as a member of the Company’s Board of Directors since October 2019. From 2005 to 2011, Mr. Mitchell served as President of Closure Systems International (part of PEI and its subsidiaries (“PEI Group”) from 2008 to 2019). Mr. Mitchell commenced his career in sales and marketing at Owens Corning, progressed to General Management positions at Avery Dennison and Goodrich followed by executive management positions at PolyOne and Alcoa before joining PEI Group in 2008. Mr. Mitchell received a B.S. in Business from Bowling Green State University.</w:t>
      </w:r>
    </w:p>
    <w:p>
      <w:pPr>
        <w:spacing w:after="0" w:line="178" w:lineRule="exact"/>
        <w:rPr>
          <w:sz w:val="20"/>
          <w:szCs w:val="20"/>
          <w:color w:val="auto"/>
        </w:rPr>
      </w:pPr>
    </w:p>
    <w:p>
      <w:pPr>
        <w:jc w:val="both"/>
        <w:ind w:left="2760"/>
        <w:spacing w:after="0" w:line="263" w:lineRule="auto"/>
        <w:rPr>
          <w:sz w:val="20"/>
          <w:szCs w:val="20"/>
          <w:color w:val="auto"/>
        </w:rPr>
      </w:pPr>
      <w:r>
        <w:rPr>
          <w:rFonts w:ascii="Arial" w:cs="Arial" w:eastAsia="Arial" w:hAnsi="Arial"/>
          <w:sz w:val="18"/>
          <w:szCs w:val="18"/>
          <w:color w:val="auto"/>
        </w:rPr>
        <w:t>Mr. Mitchell brings to the Board valuable perspective and insight with respect to the business, industry, challenges, and opportunities as a result of his years serving as the senior executive officer of the Company. Mr. Mitchell also represents management’s perspective on important matters to the Board.</w:t>
      </w:r>
    </w:p>
    <w:p>
      <w:pPr>
        <w:spacing w:after="0" w:line="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0070C0"/>
        </w:rPr>
        <w:t>Richard Noll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24" w:lineRule="exact"/>
        <w:rPr>
          <w:sz w:val="20"/>
          <w:szCs w:val="20"/>
          <w:color w:val="auto"/>
        </w:rPr>
      </w:pPr>
    </w:p>
    <w:p>
      <w:pPr>
        <w:ind w:left="2760"/>
        <w:spacing w:after="0"/>
        <w:rPr>
          <w:sz w:val="20"/>
          <w:szCs w:val="20"/>
          <w:color w:val="auto"/>
        </w:rPr>
      </w:pPr>
      <w:r>
        <w:rPr>
          <w:rFonts w:ascii="Arial" w:cs="Arial" w:eastAsia="Arial" w:hAnsi="Arial"/>
          <w:sz w:val="18"/>
          <w:szCs w:val="18"/>
          <w:color w:val="0070C0"/>
        </w:rPr>
        <w:t xml:space="preserve">Age: </w:t>
      </w:r>
      <w:r>
        <w:rPr>
          <w:rFonts w:ascii="Arial" w:cs="Arial" w:eastAsia="Arial" w:hAnsi="Arial"/>
          <w:sz w:val="18"/>
          <w:szCs w:val="18"/>
          <w:color w:val="000000"/>
        </w:rPr>
        <w:t>65</w:t>
      </w:r>
    </w:p>
    <w:p>
      <w:pPr>
        <w:spacing w:after="0" w:line="50" w:lineRule="exact"/>
        <w:rPr>
          <w:sz w:val="20"/>
          <w:szCs w:val="20"/>
          <w:color w:val="auto"/>
        </w:rPr>
      </w:pPr>
    </w:p>
    <w:p>
      <w:pPr>
        <w:ind w:left="2760"/>
        <w:spacing w:after="0"/>
        <w:rPr>
          <w:sz w:val="20"/>
          <w:szCs w:val="20"/>
          <w:color w:val="auto"/>
        </w:rPr>
      </w:pPr>
      <w:r>
        <w:rPr>
          <w:rFonts w:ascii="Arial" w:cs="Arial" w:eastAsia="Arial" w:hAnsi="Arial"/>
          <w:sz w:val="18"/>
          <w:szCs w:val="18"/>
          <w:color w:val="0070C0"/>
        </w:rPr>
        <w:t xml:space="preserve">Director Since: </w:t>
      </w:r>
      <w:r>
        <w:rPr>
          <w:rFonts w:ascii="Arial" w:cs="Arial" w:eastAsia="Arial" w:hAnsi="Arial"/>
          <w:sz w:val="18"/>
          <w:szCs w:val="18"/>
          <w:color w:val="000000"/>
        </w:rPr>
        <w:t>January 2020</w:t>
      </w:r>
    </w:p>
    <w:p>
      <w:pPr>
        <w:spacing w:after="0" w:line="63" w:lineRule="exact"/>
        <w:rPr>
          <w:sz w:val="20"/>
          <w:szCs w:val="20"/>
          <w:color w:val="auto"/>
        </w:rPr>
      </w:pPr>
    </w:p>
    <w:p>
      <w:pPr>
        <w:ind w:left="2760"/>
        <w:spacing w:after="0"/>
        <w:rPr>
          <w:sz w:val="20"/>
          <w:szCs w:val="20"/>
          <w:color w:val="auto"/>
        </w:rPr>
      </w:pPr>
      <w:r>
        <w:rPr>
          <w:rFonts w:ascii="Arial" w:cs="Arial" w:eastAsia="Arial" w:hAnsi="Arial"/>
          <w:sz w:val="18"/>
          <w:szCs w:val="18"/>
          <w:color w:val="0070C0"/>
        </w:rPr>
        <w:t xml:space="preserve">Non-Executive Chairman of the Board Since: </w:t>
      </w:r>
      <w:r>
        <w:rPr>
          <w:rFonts w:ascii="Arial" w:cs="Arial" w:eastAsia="Arial" w:hAnsi="Arial"/>
          <w:sz w:val="18"/>
          <w:szCs w:val="18"/>
          <w:color w:val="000000"/>
        </w:rPr>
        <w:t>January 2020</w:t>
      </w:r>
    </w:p>
    <w:p>
      <w:pPr>
        <w:spacing w:after="0" w:line="63" w:lineRule="exact"/>
        <w:rPr>
          <w:sz w:val="20"/>
          <w:szCs w:val="20"/>
          <w:color w:val="auto"/>
        </w:rPr>
      </w:pPr>
    </w:p>
    <w:p>
      <w:pPr>
        <w:ind w:left="2760"/>
        <w:spacing w:after="0"/>
        <w:rPr>
          <w:sz w:val="20"/>
          <w:szCs w:val="20"/>
          <w:color w:val="auto"/>
        </w:rPr>
      </w:pPr>
      <w:r>
        <w:rPr>
          <w:rFonts w:ascii="Arial" w:cs="Arial" w:eastAsia="Arial" w:hAnsi="Arial"/>
          <w:sz w:val="18"/>
          <w:szCs w:val="18"/>
          <w:color w:val="0070C0"/>
        </w:rPr>
        <w:t>Class III</w:t>
      </w:r>
    </w:p>
    <w:p>
      <w:pPr>
        <w:spacing w:after="0" w:line="50" w:lineRule="exact"/>
        <w:rPr>
          <w:sz w:val="20"/>
          <w:szCs w:val="20"/>
          <w:color w:val="auto"/>
        </w:rPr>
      </w:pPr>
    </w:p>
    <w:p>
      <w:pPr>
        <w:ind w:left="2760"/>
        <w:spacing w:after="0"/>
        <w:rPr>
          <w:sz w:val="20"/>
          <w:szCs w:val="20"/>
          <w:color w:val="auto"/>
        </w:rPr>
      </w:pPr>
      <w:r>
        <w:rPr>
          <w:rFonts w:ascii="Arial" w:cs="Arial" w:eastAsia="Arial" w:hAnsi="Arial"/>
          <w:sz w:val="18"/>
          <w:szCs w:val="18"/>
          <w:color w:val="0070C0"/>
        </w:rPr>
        <w:t>Committees:</w:t>
      </w:r>
    </w:p>
    <w:p>
      <w:pPr>
        <w:spacing w:after="0" w:line="63" w:lineRule="exact"/>
        <w:rPr>
          <w:sz w:val="20"/>
          <w:szCs w:val="20"/>
          <w:color w:val="auto"/>
        </w:rPr>
      </w:pPr>
    </w:p>
    <w:p>
      <w:pPr>
        <w:ind w:left="3400" w:hanging="323"/>
        <w:spacing w:after="0"/>
        <w:tabs>
          <w:tab w:leader="none" w:pos="34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Audit Committee</w:t>
      </w:r>
    </w:p>
    <w:p>
      <w:pPr>
        <w:spacing w:after="0" w:line="63" w:lineRule="exact"/>
        <w:rPr>
          <w:rFonts w:ascii="Arial" w:cs="Arial" w:eastAsia="Arial" w:hAnsi="Arial"/>
          <w:sz w:val="18"/>
          <w:szCs w:val="18"/>
          <w:color w:val="auto"/>
        </w:rPr>
      </w:pPr>
    </w:p>
    <w:p>
      <w:pPr>
        <w:ind w:left="3400" w:hanging="323"/>
        <w:spacing w:after="0"/>
        <w:tabs>
          <w:tab w:leader="none" w:pos="34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Compensation, Nominating and Corporate Governance Committee</w:t>
      </w:r>
    </w:p>
    <w:p>
      <w:pPr>
        <w:spacing w:after="0" w:line="293" w:lineRule="exact"/>
        <w:rPr>
          <w:sz w:val="20"/>
          <w:szCs w:val="20"/>
          <w:color w:val="auto"/>
        </w:rPr>
      </w:pPr>
    </w:p>
    <w:p>
      <w:pPr>
        <w:jc w:val="both"/>
        <w:ind w:left="2760"/>
        <w:spacing w:after="0" w:line="269" w:lineRule="auto"/>
        <w:rPr>
          <w:sz w:val="20"/>
          <w:szCs w:val="20"/>
          <w:color w:val="auto"/>
        </w:rPr>
      </w:pPr>
      <w:r>
        <w:rPr>
          <w:rFonts w:ascii="Arial" w:cs="Arial" w:eastAsia="Arial" w:hAnsi="Arial"/>
          <w:sz w:val="17"/>
          <w:szCs w:val="17"/>
          <w:color w:val="auto"/>
        </w:rPr>
        <w:t>Mr. Noll served as Chairman of the Board of Directors of Hanesbrands Inc. from 2009 to 2019 and Chief Executive Officer from 2006 to 2016. Mr. Noll joined Hanesbrands Inc. from Sara Lee Corporation where he worked for 14 years in various management positions, including President and Chief Operating Officer of Branded Apparel and Chief Executive Officer and Chief Operating Officer of Sara Lee Bakery Group, and led the turnarounds of several Sara Lee Corporation bakery and apparel businesses. Within the past five years, Mr. Noll served as a member of the board of directors of Carter’s Inc., where he served as a member of its compensation committee from 2019 to 2021 and as a member of the board of directors of Jack Creek Investment Corp. from 2021 to January 2023, where he served as a member of its audit committee, which he chaired beginning in 2022. Mr. Noll serves as a member of the board of directors of Neighbor Inc. Mr. Noll previously served as a director of Fresh Market Inc. from 2011 to 2016. Mr. Noll received a B.A. in Business Administration from Pennsylvania State University and an M.B.A. from Carnegie Mellon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-1520825</wp:posOffset>
            </wp:positionV>
            <wp:extent cx="1200150" cy="6254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00150" cy="625475"/>
                    </a:xfrm>
                    <a:prstGeom prst="rect">
                      <a:avLst/>
                    </a:prstGeom>
                    <a:noFill/>
                  </pic:spPr>
                </pic:pic>
              </a:graphicData>
            </a:graphic>
          </wp:anchor>
        </w:drawing>
      </w:r>
    </w:p>
    <w:p>
      <w:pPr>
        <w:spacing w:after="0" w:line="162" w:lineRule="exact"/>
        <w:rPr>
          <w:sz w:val="20"/>
          <w:szCs w:val="20"/>
          <w:color w:val="auto"/>
        </w:rPr>
      </w:pPr>
    </w:p>
    <w:p>
      <w:pPr>
        <w:jc w:val="both"/>
        <w:ind w:left="2760"/>
        <w:spacing w:after="0" w:line="263" w:lineRule="auto"/>
        <w:rPr>
          <w:sz w:val="20"/>
          <w:szCs w:val="20"/>
          <w:color w:val="auto"/>
        </w:rPr>
      </w:pPr>
      <w:r>
        <w:rPr>
          <w:rFonts w:ascii="Arial" w:cs="Arial" w:eastAsia="Arial" w:hAnsi="Arial"/>
          <w:sz w:val="18"/>
          <w:szCs w:val="18"/>
          <w:color w:val="auto"/>
        </w:rPr>
        <w:t>Mr. Noll brings to the Board broad experience with business issues applicable to the success of a publicly-traded company, including a controlled company, and the consumer packaged goods industry after his experience and holding senior leadership positions at Hanesbrands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4F81B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0070C0"/>
        </w:rPr>
        <w:t>Ann Ziegler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1" w:lineRule="exact"/>
        <w:rPr>
          <w:sz w:val="20"/>
          <w:szCs w:val="20"/>
          <w:color w:val="auto"/>
        </w:rPr>
      </w:pPr>
    </w:p>
    <w:p>
      <w:pPr>
        <w:ind w:left="2760"/>
        <w:spacing w:after="0"/>
        <w:rPr>
          <w:sz w:val="20"/>
          <w:szCs w:val="20"/>
          <w:color w:val="auto"/>
        </w:rPr>
      </w:pPr>
      <w:r>
        <w:rPr>
          <w:rFonts w:ascii="Arial" w:cs="Arial" w:eastAsia="Arial" w:hAnsi="Arial"/>
          <w:sz w:val="18"/>
          <w:szCs w:val="18"/>
          <w:color w:val="0070C0"/>
        </w:rPr>
        <w:t xml:space="preserve">Age: </w:t>
      </w:r>
      <w:r>
        <w:rPr>
          <w:rFonts w:ascii="Arial" w:cs="Arial" w:eastAsia="Arial" w:hAnsi="Arial"/>
          <w:sz w:val="18"/>
          <w:szCs w:val="18"/>
          <w:color w:val="000000"/>
        </w:rPr>
        <w:t>64</w:t>
      </w:r>
    </w:p>
    <w:p>
      <w:pPr>
        <w:spacing w:after="0" w:line="50" w:lineRule="exact"/>
        <w:rPr>
          <w:sz w:val="20"/>
          <w:szCs w:val="20"/>
          <w:color w:val="auto"/>
        </w:rPr>
      </w:pPr>
    </w:p>
    <w:p>
      <w:pPr>
        <w:ind w:left="2780"/>
        <w:spacing w:after="0"/>
        <w:rPr>
          <w:sz w:val="20"/>
          <w:szCs w:val="20"/>
          <w:color w:val="auto"/>
        </w:rPr>
      </w:pPr>
      <w:r>
        <w:rPr>
          <w:rFonts w:ascii="Arial" w:cs="Arial" w:eastAsia="Arial" w:hAnsi="Arial"/>
          <w:sz w:val="18"/>
          <w:szCs w:val="18"/>
          <w:color w:val="0070C0"/>
        </w:rPr>
        <w:t xml:space="preserve">Director Since: </w:t>
      </w:r>
      <w:r>
        <w:rPr>
          <w:rFonts w:ascii="Arial" w:cs="Arial" w:eastAsia="Arial" w:hAnsi="Arial"/>
          <w:sz w:val="18"/>
          <w:szCs w:val="18"/>
          <w:color w:val="000000"/>
        </w:rPr>
        <w:t>September 2020</w:t>
      </w:r>
    </w:p>
    <w:p>
      <w:pPr>
        <w:spacing w:after="0" w:line="63" w:lineRule="exact"/>
        <w:rPr>
          <w:sz w:val="20"/>
          <w:szCs w:val="20"/>
          <w:color w:val="auto"/>
        </w:rPr>
      </w:pPr>
    </w:p>
    <w:p>
      <w:pPr>
        <w:ind w:left="2780"/>
        <w:spacing w:after="0"/>
        <w:rPr>
          <w:sz w:val="20"/>
          <w:szCs w:val="20"/>
          <w:color w:val="auto"/>
        </w:rPr>
      </w:pPr>
      <w:r>
        <w:rPr>
          <w:rFonts w:ascii="Arial" w:cs="Arial" w:eastAsia="Arial" w:hAnsi="Arial"/>
          <w:sz w:val="18"/>
          <w:szCs w:val="18"/>
          <w:color w:val="0070C0"/>
        </w:rPr>
        <w:t>Class II</w:t>
      </w:r>
    </w:p>
    <w:p>
      <w:pPr>
        <w:spacing w:after="0" w:line="63" w:lineRule="exact"/>
        <w:rPr>
          <w:sz w:val="20"/>
          <w:szCs w:val="20"/>
          <w:color w:val="auto"/>
        </w:rPr>
      </w:pPr>
    </w:p>
    <w:p>
      <w:pPr>
        <w:ind w:left="2780"/>
        <w:spacing w:after="0"/>
        <w:rPr>
          <w:sz w:val="20"/>
          <w:szCs w:val="20"/>
          <w:color w:val="auto"/>
        </w:rPr>
      </w:pPr>
      <w:r>
        <w:rPr>
          <w:rFonts w:ascii="Arial" w:cs="Arial" w:eastAsia="Arial" w:hAnsi="Arial"/>
          <w:sz w:val="18"/>
          <w:szCs w:val="18"/>
          <w:color w:val="0070C0"/>
        </w:rPr>
        <w:t>Committees:</w:t>
      </w:r>
    </w:p>
    <w:p>
      <w:pPr>
        <w:spacing w:after="0" w:line="50" w:lineRule="exact"/>
        <w:rPr>
          <w:sz w:val="20"/>
          <w:szCs w:val="20"/>
          <w:color w:val="auto"/>
        </w:rPr>
      </w:pPr>
    </w:p>
    <w:p>
      <w:pPr>
        <w:ind w:left="3400" w:hanging="323"/>
        <w:spacing w:after="0"/>
        <w:tabs>
          <w:tab w:leader="none" w:pos="34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Audit Committee</w:t>
      </w:r>
    </w:p>
    <w:p>
      <w:pPr>
        <w:spacing w:after="0" w:line="306" w:lineRule="exact"/>
        <w:rPr>
          <w:sz w:val="20"/>
          <w:szCs w:val="20"/>
          <w:color w:val="auto"/>
        </w:rPr>
      </w:pPr>
    </w:p>
    <w:p>
      <w:pPr>
        <w:jc w:val="both"/>
        <w:ind w:left="2760"/>
        <w:spacing w:after="0" w:line="269" w:lineRule="auto"/>
        <w:rPr>
          <w:sz w:val="20"/>
          <w:szCs w:val="20"/>
          <w:color w:val="auto"/>
        </w:rPr>
      </w:pPr>
      <w:r>
        <w:rPr>
          <w:rFonts w:ascii="Arial" w:cs="Arial" w:eastAsia="Arial" w:hAnsi="Arial"/>
          <w:sz w:val="17"/>
          <w:szCs w:val="17"/>
          <w:color w:val="auto"/>
        </w:rPr>
        <w:t>Ms. Ziegler served as Senior Vice President and Chief Financial Officer of CDW Corporation, a technology solutions provider, from 2008 to 2017. From 2005 to 2008, Ms. Ziegler served as Chief Financial Officer and Senior Vice President, Administration of Sara Lee Food &amp; Beverage, a division of Sara Lee Corporation, a global consumer goods company. From 2003 to 2005, Ms. Ziegler served as Chief Financial Officer and Senior Vice President, Administration of Sara Lee Bakery Group. From 1993 to 2003, Ms. Ziegler served in various corporate development and legal positions at Sara Lee. Prior to joining Sara Lee, Ms. Ziegler was a corporate attorney at the law firm of Skadden, Arps, Slate, Meagher &amp; Flom. Ms. Ziegler is currently a member of the board of directors of Hanesbrands Inc., US Foods Holding Corp. and Wolters Kluwer. During the past five years, Ms. Ziegler also served on the board of directors of Groupon, Inc. Ms. Ziegler received a B.A. in Economics and Government from The College of William and Mary and a J.D. from University of Chicago Law School.</w:t>
      </w:r>
    </w:p>
    <w:p>
      <w:pPr>
        <w:spacing w:after="0" w:line="185" w:lineRule="exact"/>
        <w:rPr>
          <w:sz w:val="20"/>
          <w:szCs w:val="20"/>
          <w:color w:val="auto"/>
        </w:rPr>
      </w:pPr>
    </w:p>
    <w:p>
      <w:pPr>
        <w:jc w:val="both"/>
        <w:ind w:left="2760"/>
        <w:spacing w:after="0" w:line="311" w:lineRule="auto"/>
        <w:rPr>
          <w:sz w:val="20"/>
          <w:szCs w:val="20"/>
          <w:color w:val="auto"/>
        </w:rPr>
      </w:pPr>
      <w:r>
        <w:rPr>
          <w:rFonts w:ascii="Arial" w:cs="Arial" w:eastAsia="Arial" w:hAnsi="Arial"/>
          <w:sz w:val="16"/>
          <w:szCs w:val="16"/>
          <w:color w:val="auto"/>
        </w:rPr>
        <w:t>Ms. Ziegler brings to the Board experience in senior leadership positions with companies in the consumer products industry, including with corporate risk management issues, and preparing or overseeing the preparation of financial statements. She has experience in corporate governance through service as a director of other public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Recommendation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proposal for the election of directors relates solely to the election of the directors nominated by the Board of Directors.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The Board of Directors recommends that stockholders vote FOR the election of</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the three director nominees, Marla Gottschalk, Lance Mitchell and Richard Noll.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4F81B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36"/>
          <w:szCs w:val="36"/>
          <w:b w:val="1"/>
          <w:bCs w:val="1"/>
          <w:color w:val="1F497D"/>
        </w:rPr>
        <w:t>CORPORATE GOVERNANCE</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 “controlled company” under the rules of the Nasdaq Stock Market LLC (“Nasdaq”). As a result, we qualify for exemptions from, and have elected not to comply with, certain corporate governance requirements under the rules, including the requirements that we have a Board that is composed of a majority of “independent directors,” as defined under the Nasdaq rules, and a compensation and nominating committee that is composed entirely of independent directors.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Even though we are a controlled company, we are required to comply with the rules of the SEC and Nasdaq relating to the membership, qualifications and operations of the Audit Committee. All members of the Audit Committee are independent directors.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Board of Directors has determined that Ms. Gottschalk, Mr. Noll and Ms. Ziegler are independent directors under Nasdaq rules. In making such independence determination, the Board of Directors considered the relationships that each such non-employee director has with our Company and all other facts and circumstances that the Board of Directors deemed relevant in determining their independence.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positions of our Chairman of the Board and Chief Executive Officer are presently separated. Separating these positions allows our Chief Executive Officer to focus on our day-to-day business, while allowing the Chairman of the Board to lead the Board of Directors in its fundamental role of providing advice to, and oversight of, management. Our Board of Directors recognizes the time, effort and energy that the Chief Executive Officer must devote to his position in the current business environment, as well as the commitment required to serve as our Chairman, particularly as the Board of Directors’ oversight responsibilities continue to grow. Our Board of Directors also believes that this structure ensures a greater role for the non-management directors in the oversight of our Company and active participation of the independent directors in setting agendas and establishing priorities and procedures for the work of our Board of Directors. Although our Bylaws and Corporate Governance Guidelines do not require our Chairman of the Board and Chief Executive Officer positions to be separate, our Board of Directors believes that having separate positions is the appropriate leadership structure for the Company at this time.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Communications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 shareholder or other interested party may submit a written communication to the Board of Directors by sending it to the Board in care of Corporate Secretary at Reynolds Consumer Products, 1900 West Field Court, Lake Forest, IL 60045 Attention: Corporate Secretary. The Corporate Secretary will send copies of all communications to the Chairman and Chief Executive Officer and, when appropriate, to all Board members.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Procedures for Selecting and Nominating Director Candidates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CNG Committee Charter provides:</w:t>
      </w:r>
    </w:p>
    <w:p>
      <w:pPr>
        <w:spacing w:after="0" w:line="225"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CNG Committee shall oversee searches for and identify qualified individuals for membership on the Board.</w:t>
      </w:r>
    </w:p>
    <w:p>
      <w:pPr>
        <w:spacing w:after="0" w:line="225" w:lineRule="exact"/>
        <w:rPr>
          <w:rFonts w:ascii="Arial" w:cs="Arial" w:eastAsia="Arial" w:hAnsi="Arial"/>
          <w:sz w:val="18"/>
          <w:szCs w:val="18"/>
          <w:color w:val="auto"/>
        </w:rPr>
      </w:pPr>
    </w:p>
    <w:p>
      <w:pPr>
        <w:ind w:left="660" w:hanging="328"/>
        <w:spacing w:after="0" w:line="342" w:lineRule="auto"/>
        <w:tabs>
          <w:tab w:leader="none" w:pos="655"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CNG Committee shall recommend to the Board criteria for Board and Board committee membership and shall recommend individuals for membership on the Board and its committees. In making its recommendations for Board and committee membership, the Committee shall:</w:t>
      </w:r>
    </w:p>
    <w:p>
      <w:pPr>
        <w:spacing w:after="0" w:line="69" w:lineRule="exact"/>
        <w:rPr>
          <w:rFonts w:ascii="Arial" w:cs="Arial" w:eastAsia="Arial" w:hAnsi="Arial"/>
          <w:sz w:val="16"/>
          <w:szCs w:val="16"/>
          <w:color w:val="auto"/>
        </w:rPr>
      </w:pPr>
    </w:p>
    <w:p>
      <w:pPr>
        <w:ind w:left="1300" w:hanging="320"/>
        <w:spacing w:after="0" w:line="274" w:lineRule="auto"/>
        <w:tabs>
          <w:tab w:leader="none" w:pos="1300" w:val="left"/>
        </w:tabs>
        <w:numPr>
          <w:ilvl w:val="1"/>
          <w:numId w:val="14"/>
        </w:numPr>
        <w:rPr>
          <w:rFonts w:ascii="Courier New" w:cs="Courier New" w:eastAsia="Courier New" w:hAnsi="Courier New"/>
          <w:sz w:val="18"/>
          <w:szCs w:val="18"/>
          <w:color w:val="auto"/>
        </w:rPr>
      </w:pPr>
      <w:r>
        <w:rPr>
          <w:rFonts w:ascii="Arial" w:cs="Arial" w:eastAsia="Arial" w:hAnsi="Arial"/>
          <w:sz w:val="18"/>
          <w:szCs w:val="18"/>
          <w:color w:val="auto"/>
        </w:rPr>
        <w:t>review candidates’ qualifications for membership on the Board or a committee of the Board (including making a specific determination as to the independence of each candidate) based 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4F81B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00"/>
        <w:spacing w:after="0" w:line="277" w:lineRule="auto"/>
        <w:rPr>
          <w:sz w:val="20"/>
          <w:szCs w:val="20"/>
          <w:color w:val="auto"/>
        </w:rPr>
      </w:pPr>
      <w:r>
        <w:rPr>
          <w:rFonts w:ascii="Arial" w:cs="Arial" w:eastAsia="Arial" w:hAnsi="Arial"/>
          <w:sz w:val="18"/>
          <w:szCs w:val="18"/>
          <w:color w:val="auto"/>
        </w:rPr>
        <w:t>criteria approved by the Board (and taking into account the enhanced independence, financial literacy and financial expertise standards that may be required under law or Nasdaq rules for Audit Committee or other committee membership purposes);</w:t>
      </w:r>
    </w:p>
    <w:p>
      <w:pPr>
        <w:spacing w:after="0" w:line="116" w:lineRule="exact"/>
        <w:rPr>
          <w:sz w:val="20"/>
          <w:szCs w:val="20"/>
          <w:color w:val="auto"/>
        </w:rPr>
      </w:pPr>
    </w:p>
    <w:p>
      <w:pPr>
        <w:ind w:left="1300" w:right="20" w:hanging="320"/>
        <w:spacing w:after="0" w:line="274" w:lineRule="auto"/>
        <w:tabs>
          <w:tab w:leader="none" w:pos="1300" w:val="left"/>
        </w:tabs>
        <w:numPr>
          <w:ilvl w:val="0"/>
          <w:numId w:val="15"/>
        </w:numPr>
        <w:rPr>
          <w:rFonts w:ascii="Courier New" w:cs="Courier New" w:eastAsia="Courier New" w:hAnsi="Courier New"/>
          <w:sz w:val="18"/>
          <w:szCs w:val="18"/>
          <w:color w:val="auto"/>
        </w:rPr>
      </w:pPr>
      <w:r>
        <w:rPr>
          <w:rFonts w:ascii="Arial" w:cs="Arial" w:eastAsia="Arial" w:hAnsi="Arial"/>
          <w:sz w:val="18"/>
          <w:szCs w:val="18"/>
          <w:color w:val="auto"/>
        </w:rPr>
        <w:t>in evaluating current directors for re-nomination to the Board or re-appointment to any Board committees, assess the performance of such directors;</w:t>
      </w:r>
    </w:p>
    <w:p>
      <w:pPr>
        <w:spacing w:after="0" w:line="116" w:lineRule="exact"/>
        <w:rPr>
          <w:rFonts w:ascii="Courier New" w:cs="Courier New" w:eastAsia="Courier New" w:hAnsi="Courier New"/>
          <w:sz w:val="18"/>
          <w:szCs w:val="18"/>
          <w:color w:val="auto"/>
        </w:rPr>
      </w:pPr>
    </w:p>
    <w:p>
      <w:pPr>
        <w:jc w:val="both"/>
        <w:ind w:left="1300" w:hanging="320"/>
        <w:spacing w:after="0" w:line="261" w:lineRule="auto"/>
        <w:tabs>
          <w:tab w:leader="none" w:pos="1327" w:val="left"/>
        </w:tabs>
        <w:numPr>
          <w:ilvl w:val="0"/>
          <w:numId w:val="15"/>
        </w:numPr>
        <w:rPr>
          <w:rFonts w:ascii="Courier New" w:cs="Courier New" w:eastAsia="Courier New" w:hAnsi="Courier New"/>
          <w:sz w:val="18"/>
          <w:szCs w:val="18"/>
          <w:color w:val="auto"/>
        </w:rPr>
      </w:pPr>
      <w:r>
        <w:rPr>
          <w:rFonts w:ascii="Arial" w:cs="Arial" w:eastAsia="Arial" w:hAnsi="Arial"/>
          <w:sz w:val="18"/>
          <w:szCs w:val="18"/>
          <w:color w:val="auto"/>
        </w:rPr>
        <w:t>periodically review the composition of the Board and its committees in light of the current challenges and needs of the Board, the Company and each committee, and determine whether it may be appropriate to add or remove individuals after considering issues of judgment, diversity, age, skills, background and experience;</w:t>
      </w:r>
    </w:p>
    <w:p>
      <w:pPr>
        <w:spacing w:after="0" w:line="130" w:lineRule="exact"/>
        <w:rPr>
          <w:rFonts w:ascii="Courier New" w:cs="Courier New" w:eastAsia="Courier New" w:hAnsi="Courier New"/>
          <w:sz w:val="18"/>
          <w:szCs w:val="18"/>
          <w:color w:val="auto"/>
        </w:rPr>
      </w:pPr>
    </w:p>
    <w:p>
      <w:pPr>
        <w:ind w:left="1300" w:hanging="320"/>
        <w:spacing w:after="0" w:line="306" w:lineRule="auto"/>
        <w:tabs>
          <w:tab w:leader="none" w:pos="1327" w:val="left"/>
        </w:tabs>
        <w:numPr>
          <w:ilvl w:val="0"/>
          <w:numId w:val="15"/>
        </w:numPr>
        <w:rPr>
          <w:rFonts w:ascii="Courier New" w:cs="Courier New" w:eastAsia="Courier New" w:hAnsi="Courier New"/>
          <w:sz w:val="17"/>
          <w:szCs w:val="17"/>
          <w:color w:val="auto"/>
        </w:rPr>
      </w:pPr>
      <w:r>
        <w:rPr>
          <w:rFonts w:ascii="Arial" w:cs="Arial" w:eastAsia="Arial" w:hAnsi="Arial"/>
          <w:sz w:val="17"/>
          <w:szCs w:val="17"/>
          <w:color w:val="auto"/>
        </w:rPr>
        <w:t>periodically review, as appropriate, the service of all directors on the boards of other public companies with consideration to the substantial time commitment required of directors and make such recommendations to the Board as it may deem advisable;</w:t>
      </w:r>
    </w:p>
    <w:p>
      <w:pPr>
        <w:spacing w:after="0" w:line="89" w:lineRule="exact"/>
        <w:rPr>
          <w:rFonts w:ascii="Courier New" w:cs="Courier New" w:eastAsia="Courier New" w:hAnsi="Courier New"/>
          <w:sz w:val="17"/>
          <w:szCs w:val="17"/>
          <w:color w:val="auto"/>
        </w:rPr>
      </w:pPr>
    </w:p>
    <w:p>
      <w:pPr>
        <w:ind w:left="1300" w:hanging="320"/>
        <w:spacing w:after="0"/>
        <w:tabs>
          <w:tab w:leader="none" w:pos="1300" w:val="left"/>
        </w:tabs>
        <w:numPr>
          <w:ilvl w:val="0"/>
          <w:numId w:val="15"/>
        </w:numPr>
        <w:rPr>
          <w:rFonts w:ascii="Courier New" w:cs="Courier New" w:eastAsia="Courier New" w:hAnsi="Courier New"/>
          <w:sz w:val="18"/>
          <w:szCs w:val="18"/>
          <w:color w:val="auto"/>
        </w:rPr>
      </w:pPr>
      <w:r>
        <w:rPr>
          <w:rFonts w:ascii="Arial" w:cs="Arial" w:eastAsia="Arial" w:hAnsi="Arial"/>
          <w:sz w:val="18"/>
          <w:szCs w:val="18"/>
          <w:color w:val="auto"/>
        </w:rPr>
        <w:t>consider rotation of committee members and committee chairs, as appropriate; and</w:t>
      </w:r>
    </w:p>
    <w:p>
      <w:pPr>
        <w:spacing w:after="0" w:line="168" w:lineRule="exact"/>
        <w:rPr>
          <w:rFonts w:ascii="Courier New" w:cs="Courier New" w:eastAsia="Courier New" w:hAnsi="Courier New"/>
          <w:sz w:val="18"/>
          <w:szCs w:val="18"/>
          <w:color w:val="auto"/>
        </w:rPr>
      </w:pPr>
    </w:p>
    <w:p>
      <w:pPr>
        <w:ind w:left="1300" w:hanging="320"/>
        <w:spacing w:after="0" w:line="274" w:lineRule="auto"/>
        <w:tabs>
          <w:tab w:leader="none" w:pos="1300" w:val="left"/>
        </w:tabs>
        <w:numPr>
          <w:ilvl w:val="0"/>
          <w:numId w:val="15"/>
        </w:numPr>
        <w:rPr>
          <w:rFonts w:ascii="Courier New" w:cs="Courier New" w:eastAsia="Courier New" w:hAnsi="Courier New"/>
          <w:sz w:val="18"/>
          <w:szCs w:val="18"/>
          <w:color w:val="auto"/>
        </w:rPr>
      </w:pPr>
      <w:r>
        <w:rPr>
          <w:rFonts w:ascii="Arial" w:cs="Arial" w:eastAsia="Arial" w:hAnsi="Arial"/>
          <w:sz w:val="18"/>
          <w:szCs w:val="18"/>
          <w:color w:val="auto"/>
        </w:rPr>
        <w:t>consider any other factors that are set forth in the Company’s Corporate Governance Guidelines or are deemed appropriate by the CNG Committee or the Board.</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the Stockholders Agreement between the Company and PFL, PFL has the right to nominate all of our directors so long as the Hart Entities (as defined in the Stockholders Agreement) beneficially own at least 50% of the outstanding shares of our common stock; a majority of our directors so long as they own at least 40% of our stock; and at least one director so long as they own at least 10% of our stock. Currently, PFL has the right to nominate all of our directors, and all of our directors were nominated by, and may be removed by, PFL.</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Bylaws include provisions for nomination and election of directors at the annual meeting of stockholders and requirements for director nominees.</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CNG Committee will consider director candidates recommended by stockholders in the same manner that it considers all director candidates. Stockholders who wish to suggest qualified candidates should write to Reynolds Consumer Products, 1900 West Field Court, Lake Forest, IL 60045 Attention: Corporate Secretary. Any such recommendation should include a description of the candidate’s qualifications for board service; the candidate’s written consent to be considered for nomination and to serve if nominated and elected; and addresses and telephone numbers for contacting the stockholder and the candidate for more information.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Meetings and Committees</w:t>
      </w:r>
    </w:p>
    <w:p>
      <w:pPr>
        <w:spacing w:after="0" w:line="12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Board of Directors held six meetings during 2022. The independent directors regularly hold executive sessions at meetings of the Board of Directors. During 2022, each of the directors then in office attended at least 75% of the aggregate of all meetings of the Board of Directors and all meetings of the committees of the Board of Directors on which such director then served. Directors are encouraged to attend the annual meetings of stockholders of the Company, as provided in our Corporate Governance Guidelines. All of our directors attended the 2022 annual meeting of stockholders.</w:t>
      </w:r>
    </w:p>
    <w:p>
      <w:pPr>
        <w:spacing w:after="0" w:line="10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2022, our Board of Directors had two standing committees: the Audit Committee and the CNG Committee. The following sets forth the membership of each of our committees as of March 14,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4F81B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members of our Audit Committee are Ms. Gottschalk (Chair), Mr. Noll and Ms. Ziegler. The composition of our Audit Committee meets the requirements for independence under the current Nasdaq listing standards and SEC rules and regulations. Each member of our Audit Committee is financially literate. In addition, our Board of Directors has determined that Ms. Gottschalk is an “Audit Committee financial expert” as defined in Item 407(d)(5)(ii) of Regulation S-K promulgated under the Securities Act of 1933, as amended (the “Securities Act”). This designation does not impose any duties, obligations or liabilities that are greater than are generally imposed on members of our Audit Committee and our Board of Directors. Our Audit Committee is directly responsible for, among other things:</w:t>
      </w:r>
    </w:p>
    <w:p>
      <w:pPr>
        <w:spacing w:after="0" w:line="192" w:lineRule="exact"/>
        <w:rPr>
          <w:sz w:val="20"/>
          <w:szCs w:val="20"/>
          <w:color w:val="auto"/>
        </w:rPr>
      </w:pPr>
    </w:p>
    <w:p>
      <w:pPr>
        <w:ind w:left="680" w:hanging="312"/>
        <w:spacing w:after="0"/>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selecting a firm to serve as the independent registered public accounting firm to audit our financial statements;</w:t>
      </w:r>
    </w:p>
    <w:p>
      <w:pPr>
        <w:spacing w:after="0" w:line="279" w:lineRule="exact"/>
        <w:rPr>
          <w:rFonts w:ascii="Arial" w:cs="Arial" w:eastAsia="Arial" w:hAnsi="Arial"/>
          <w:sz w:val="18"/>
          <w:szCs w:val="18"/>
          <w:color w:val="auto"/>
        </w:rPr>
      </w:pPr>
    </w:p>
    <w:p>
      <w:pPr>
        <w:ind w:left="680" w:hanging="312"/>
        <w:spacing w:after="0"/>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ensuring the independence of the independent registered public accounting firm;</w:t>
      </w:r>
    </w:p>
    <w:p>
      <w:pPr>
        <w:spacing w:after="0" w:line="279" w:lineRule="exact"/>
        <w:rPr>
          <w:rFonts w:ascii="Arial" w:cs="Arial" w:eastAsia="Arial" w:hAnsi="Arial"/>
          <w:sz w:val="18"/>
          <w:szCs w:val="18"/>
          <w:color w:val="auto"/>
        </w:rPr>
      </w:pPr>
    </w:p>
    <w:p>
      <w:pPr>
        <w:ind w:left="700" w:hanging="332"/>
        <w:spacing w:after="0" w:line="277" w:lineRule="auto"/>
        <w:tabs>
          <w:tab w:leader="none" w:pos="69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approving the planned scope and timing, and discussing the findings, of the audit with the independent registered public accounting firm, and reviewing, with management and that firm, our interim and year-end operating results;</w:t>
      </w:r>
    </w:p>
    <w:p>
      <w:pPr>
        <w:spacing w:after="0" w:line="224" w:lineRule="exact"/>
        <w:rPr>
          <w:rFonts w:ascii="Arial" w:cs="Arial" w:eastAsia="Arial" w:hAnsi="Arial"/>
          <w:sz w:val="18"/>
          <w:szCs w:val="18"/>
          <w:color w:val="auto"/>
        </w:rPr>
      </w:pPr>
    </w:p>
    <w:p>
      <w:pPr>
        <w:ind w:left="680" w:hanging="312"/>
        <w:spacing w:after="0"/>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establishing procedures for employees to anonymously submit concerns about questionable accounting or auditing matters;</w:t>
      </w:r>
    </w:p>
    <w:p>
      <w:pPr>
        <w:spacing w:after="0" w:line="279" w:lineRule="exact"/>
        <w:rPr>
          <w:rFonts w:ascii="Arial" w:cs="Arial" w:eastAsia="Arial" w:hAnsi="Arial"/>
          <w:sz w:val="18"/>
          <w:szCs w:val="18"/>
          <w:color w:val="auto"/>
        </w:rPr>
      </w:pPr>
    </w:p>
    <w:p>
      <w:pPr>
        <w:ind w:left="680" w:hanging="312"/>
        <w:spacing w:after="0"/>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considering the adequacy of our internal controls and internal audit function;</w:t>
      </w:r>
    </w:p>
    <w:p>
      <w:pPr>
        <w:spacing w:after="0" w:line="279" w:lineRule="exact"/>
        <w:rPr>
          <w:rFonts w:ascii="Arial" w:cs="Arial" w:eastAsia="Arial" w:hAnsi="Arial"/>
          <w:sz w:val="18"/>
          <w:szCs w:val="18"/>
          <w:color w:val="auto"/>
        </w:rPr>
      </w:pPr>
    </w:p>
    <w:p>
      <w:pPr>
        <w:ind w:left="680" w:hanging="312"/>
        <w:spacing w:after="0"/>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reviewing and approving related person transactions and those that require disclosure; and</w:t>
      </w:r>
    </w:p>
    <w:p>
      <w:pPr>
        <w:spacing w:after="0" w:line="279" w:lineRule="exact"/>
        <w:rPr>
          <w:rFonts w:ascii="Arial" w:cs="Arial" w:eastAsia="Arial" w:hAnsi="Arial"/>
          <w:sz w:val="18"/>
          <w:szCs w:val="18"/>
          <w:color w:val="auto"/>
        </w:rPr>
      </w:pPr>
    </w:p>
    <w:p>
      <w:pPr>
        <w:ind w:left="680" w:hanging="312"/>
        <w:spacing w:after="0"/>
        <w:tabs>
          <w:tab w:leader="none" w:pos="6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approving or, as permitted, pre-approving all audit and non-audit services to be provided by the independent registered public accounting firm.</w:t>
      </w:r>
    </w:p>
    <w:p>
      <w:pPr>
        <w:spacing w:after="0" w:line="248"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 xml:space="preserve">The Audit Committee held four meetings during 2022. The Audit Committee operates under a written charter approved by the Board, a copy of which is available in the “Investors—Corporate Governance—Documents and Charters” section of our website at </w:t>
      </w:r>
      <w:r>
        <w:rPr>
          <w:rFonts w:ascii="Arial" w:cs="Arial" w:eastAsia="Arial" w:hAnsi="Arial"/>
          <w:sz w:val="17"/>
          <w:szCs w:val="17"/>
          <w:i w:val="1"/>
          <w:iCs w:val="1"/>
          <w:color w:val="auto"/>
        </w:rPr>
        <w:t>www.ReynoldsConsumerProducts.com</w:t>
      </w:r>
      <w:r>
        <w:rPr>
          <w:rFonts w:ascii="Arial" w:cs="Arial" w:eastAsia="Arial" w:hAnsi="Arial"/>
          <w:sz w:val="17"/>
          <w:szCs w:val="17"/>
          <w:color w:val="auto"/>
        </w:rPr>
        <w: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Nominating and Corporate Governance Committee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members of our CNG Committee are Mr. Cole (Chair), Ms. Golding and Mr. Noll. Our CNG Committee is responsible for, among other things:</w:t>
      </w:r>
    </w:p>
    <w:p>
      <w:pPr>
        <w:spacing w:after="0" w:line="237" w:lineRule="exact"/>
        <w:rPr>
          <w:sz w:val="20"/>
          <w:szCs w:val="20"/>
          <w:color w:val="auto"/>
        </w:rPr>
      </w:pPr>
    </w:p>
    <w:p>
      <w:pPr>
        <w:ind w:left="680" w:hanging="312"/>
        <w:spacing w:after="0"/>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determining, or recommending to our Board of Directors for determination, the compensation of our executive officers;</w:t>
      </w:r>
    </w:p>
    <w:p>
      <w:pPr>
        <w:spacing w:after="0" w:line="279" w:lineRule="exact"/>
        <w:rPr>
          <w:rFonts w:ascii="Arial" w:cs="Arial" w:eastAsia="Arial" w:hAnsi="Arial"/>
          <w:sz w:val="18"/>
          <w:szCs w:val="18"/>
          <w:color w:val="auto"/>
        </w:rPr>
      </w:pPr>
    </w:p>
    <w:p>
      <w:pPr>
        <w:ind w:left="680" w:hanging="312"/>
        <w:spacing w:after="0"/>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reviewing and approving the compensation of our directors;</w:t>
      </w:r>
    </w:p>
    <w:p>
      <w:pPr>
        <w:spacing w:after="0" w:line="279" w:lineRule="exact"/>
        <w:rPr>
          <w:rFonts w:ascii="Arial" w:cs="Arial" w:eastAsia="Arial" w:hAnsi="Arial"/>
          <w:sz w:val="18"/>
          <w:szCs w:val="18"/>
          <w:color w:val="auto"/>
        </w:rPr>
      </w:pPr>
    </w:p>
    <w:p>
      <w:pPr>
        <w:ind w:left="680" w:hanging="312"/>
        <w:spacing w:after="0"/>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administering our stock and equity incentive plans;</w:t>
      </w:r>
    </w:p>
    <w:p>
      <w:pPr>
        <w:spacing w:after="0" w:line="279" w:lineRule="exact"/>
        <w:rPr>
          <w:rFonts w:ascii="Arial" w:cs="Arial" w:eastAsia="Arial" w:hAnsi="Arial"/>
          <w:sz w:val="18"/>
          <w:szCs w:val="18"/>
          <w:color w:val="auto"/>
        </w:rPr>
      </w:pPr>
    </w:p>
    <w:p>
      <w:pPr>
        <w:ind w:left="680" w:hanging="312"/>
        <w:spacing w:after="0"/>
        <w:tabs>
          <w:tab w:leader="none" w:pos="6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reviewing and evaluating, or making recommendations to our Board of Directors with respect to, incentive compensation and equity plans;</w:t>
      </w:r>
    </w:p>
    <w:p>
      <w:pPr>
        <w:spacing w:after="0" w:line="290" w:lineRule="exact"/>
        <w:rPr>
          <w:rFonts w:ascii="Arial" w:cs="Arial" w:eastAsia="Arial" w:hAnsi="Arial"/>
          <w:sz w:val="17"/>
          <w:szCs w:val="17"/>
          <w:color w:val="auto"/>
        </w:rPr>
      </w:pPr>
    </w:p>
    <w:p>
      <w:pPr>
        <w:ind w:left="680" w:hanging="312"/>
        <w:spacing w:after="0"/>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reviewing management succession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4F81B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680" w:hanging="312"/>
        <w:spacing w:after="0"/>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reviewing our overall compensation philosophy;</w:t>
      </w:r>
    </w:p>
    <w:p>
      <w:pPr>
        <w:spacing w:after="0" w:line="279" w:lineRule="exact"/>
        <w:rPr>
          <w:rFonts w:ascii="Arial" w:cs="Arial" w:eastAsia="Arial" w:hAnsi="Arial"/>
          <w:sz w:val="18"/>
          <w:szCs w:val="18"/>
          <w:color w:val="auto"/>
        </w:rPr>
      </w:pPr>
    </w:p>
    <w:p>
      <w:pPr>
        <w:ind w:left="680" w:hanging="312"/>
        <w:spacing w:after="0"/>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identifying and recommending candidates for membership on our Board of Directors;</w:t>
      </w:r>
    </w:p>
    <w:p>
      <w:pPr>
        <w:spacing w:after="0" w:line="279" w:lineRule="exact"/>
        <w:rPr>
          <w:rFonts w:ascii="Arial" w:cs="Arial" w:eastAsia="Arial" w:hAnsi="Arial"/>
          <w:sz w:val="18"/>
          <w:szCs w:val="18"/>
          <w:color w:val="auto"/>
        </w:rPr>
      </w:pPr>
    </w:p>
    <w:p>
      <w:pPr>
        <w:ind w:left="680" w:hanging="312"/>
        <w:spacing w:after="0"/>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reviewing and recommending our corporate governance guidelines and policies;</w:t>
      </w:r>
    </w:p>
    <w:p>
      <w:pPr>
        <w:spacing w:after="0" w:line="279" w:lineRule="exact"/>
        <w:rPr>
          <w:rFonts w:ascii="Arial" w:cs="Arial" w:eastAsia="Arial" w:hAnsi="Arial"/>
          <w:sz w:val="18"/>
          <w:szCs w:val="18"/>
          <w:color w:val="auto"/>
        </w:rPr>
      </w:pPr>
    </w:p>
    <w:p>
      <w:pPr>
        <w:ind w:left="700" w:hanging="332"/>
        <w:spacing w:after="0" w:line="277" w:lineRule="auto"/>
        <w:tabs>
          <w:tab w:leader="none" w:pos="695"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reviewing and considering proposed waivers of the code of conduct for directors and executive officers and making recommendations to our Board of Directors;</w:t>
      </w:r>
    </w:p>
    <w:p>
      <w:pPr>
        <w:spacing w:after="0" w:line="224" w:lineRule="exact"/>
        <w:rPr>
          <w:rFonts w:ascii="Arial" w:cs="Arial" w:eastAsia="Arial" w:hAnsi="Arial"/>
          <w:sz w:val="18"/>
          <w:szCs w:val="18"/>
          <w:color w:val="auto"/>
        </w:rPr>
      </w:pPr>
    </w:p>
    <w:p>
      <w:pPr>
        <w:ind w:left="680" w:hanging="312"/>
        <w:spacing w:after="0"/>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overseeing the process of evaluating the performance of our Board of Directors; and</w:t>
      </w:r>
    </w:p>
    <w:p>
      <w:pPr>
        <w:spacing w:after="0" w:line="279" w:lineRule="exact"/>
        <w:rPr>
          <w:rFonts w:ascii="Arial" w:cs="Arial" w:eastAsia="Arial" w:hAnsi="Arial"/>
          <w:sz w:val="18"/>
          <w:szCs w:val="18"/>
          <w:color w:val="auto"/>
        </w:rPr>
      </w:pPr>
    </w:p>
    <w:p>
      <w:pPr>
        <w:ind w:left="680" w:hanging="312"/>
        <w:spacing w:after="0"/>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assisting our Board of Directors on corporate governance matters.</w:t>
      </w:r>
    </w:p>
    <w:p>
      <w:pPr>
        <w:spacing w:after="0" w:line="22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 xml:space="preserve">The CNG Committee held four meetings during 2022. The CNG Committee operates under a written charter approved by the Board, a copy of which is available in the “Investors—Corporate Governance—Documents and Charters” section of our website at </w:t>
      </w:r>
      <w:r>
        <w:rPr>
          <w:rFonts w:ascii="Arial" w:cs="Arial" w:eastAsia="Arial" w:hAnsi="Arial"/>
          <w:sz w:val="17"/>
          <w:szCs w:val="17"/>
          <w:i w:val="1"/>
          <w:iCs w:val="1"/>
          <w:color w:val="auto"/>
        </w:rPr>
        <w:t>www.ReynoldsConsumerProducts.com</w:t>
      </w:r>
      <w:r>
        <w:rPr>
          <w:rFonts w:ascii="Arial" w:cs="Arial" w:eastAsia="Arial" w:hAnsi="Arial"/>
          <w:sz w:val="17"/>
          <w:szCs w:val="17"/>
          <w:color w:val="auto"/>
        </w:rPr>
        <w: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Oversight</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Board of Directors oversees the management of risks inherent in the operation of our business and the implementation of our business strategies. Our Board of Directors performs this oversight role by using several different levels of review. In connection with its reviews of the operations and corporate functions of our Company, our Board of Directors addresses the primary risks associated with those operations and corporate functions. In addition, our Board of Directors reviews the risks associated with our Company’s business strategies periodically throughout the year as part of its consideration of undertaking any such business strategies.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Each of our Board committees also coordinates oversight of the management of our risk that falls within the committee’s areas of responsibility. In performing this function, each committee has full access to management, as well as the ability to engage advisors. Our Chief Financial Officer is responsible for identifying, evaluating and implementing risk management controls and methodologies to address any identified risks. In connection with its risk management role, our Audit Committee meets privately with representatives from our independent registered public accounting firm, and privately with our Chief Financial Officer. In addition, the CNG Committee reviews the Company’s compensation program and risk elements to the Company in connection with the structure of the compensation plan.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Evaluations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implemented a Board of Directors evaluation process in 2021, and continued this procedure in 2022. Per the Board’s direction, the Corporate Secretary prepared self-evaluation questionnaires for each of the Board, the Audit Committee and the CNG Committee. All Board and Committee members completed the evaluations. The Corporate Secretary then compiled the results of the evaluations and provided the compilations to the respective Chairs. During the executive session of their regularly scheduled October 2022 meetings, each Chair reviewed the results of the evaluations and the members discussed.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Social &amp; Governance Matters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Management recognizes the importance of Environmental, Social &amp; Governance matters to all stakeholders and has reviewed and discussed with the Board the Company’s development of its Environmental, Social &amp; Governance framework. Management will continue to provide regular updates to the Board while also providing regular updates to Company stakeholders. Additional information about the Company’s Environmental, Social &amp; Governance actions, goals and initiatives is included in our 2022 Annual Report to Stockholders, which is being provided as part of the proxy materials and is available on our corporate website at </w:t>
      </w:r>
      <w:r>
        <w:rPr>
          <w:rFonts w:ascii="Arial" w:cs="Arial" w:eastAsia="Arial" w:hAnsi="Arial"/>
          <w:sz w:val="18"/>
          <w:szCs w:val="18"/>
          <w:i w:val="1"/>
          <w:iCs w:val="1"/>
          <w:color w:val="auto"/>
        </w:rPr>
        <w:t>www.ReynoldsConsumerProducts.com</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4F81B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36"/>
          <w:szCs w:val="36"/>
          <w:b w:val="1"/>
          <w:bCs w:val="1"/>
          <w:color w:val="1F497D"/>
        </w:rPr>
        <w:t>DIRECTOR COMPENSATION</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During 2022, our directors who are not employees of our company or of Rank Group (the “non-affiliated directors”) (Mr. Noll, Ms. Gottschalk and Ms.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Ziegler) received annual retainers and annual equity compensation grants pursuant to the following program:</w:t>
      </w:r>
    </w:p>
    <w:p>
      <w:pPr>
        <w:spacing w:after="0" w:line="130" w:lineRule="exact"/>
        <w:rPr>
          <w:sz w:val="20"/>
          <w:szCs w:val="20"/>
          <w:color w:val="auto"/>
        </w:rPr>
      </w:pPr>
    </w:p>
    <w:p>
      <w:pPr>
        <w:ind w:left="66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Board member</w:t>
      </w:r>
      <w:r>
        <w:rPr>
          <w:rFonts w:ascii="Arial" w:cs="Arial" w:eastAsia="Arial" w:hAnsi="Arial"/>
          <w:sz w:val="18"/>
          <w:szCs w:val="18"/>
          <w:color w:val="auto"/>
        </w:rPr>
        <w:t>: $230,000, of which $100,000 is an annual cash retainer and $130,000 is in the form of an annual grant of restricted stock units</w:t>
      </w:r>
      <w:r>
        <w:rPr>
          <w:rFonts w:ascii="Arial" w:cs="Arial" w:eastAsia="Arial" w:hAnsi="Arial"/>
          <w:sz w:val="18"/>
          <w:szCs w:val="18"/>
          <w:i w:val="1"/>
          <w:iCs w:val="1"/>
          <w:color w:val="auto"/>
        </w:rPr>
        <w:t xml:space="preserve"> </w:t>
      </w:r>
      <w:r>
        <w:rPr>
          <w:rFonts w:ascii="Arial" w:cs="Arial" w:eastAsia="Arial" w:hAnsi="Arial"/>
          <w:sz w:val="18"/>
          <w:szCs w:val="18"/>
          <w:color w:val="auto"/>
        </w:rPr>
        <w:t>(“RSUs”).</w:t>
      </w:r>
    </w:p>
    <w:p>
      <w:pPr>
        <w:spacing w:after="0" w:line="10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Chairman of the Board</w:t>
      </w:r>
      <w:r>
        <w:rPr>
          <w:rFonts w:ascii="Arial" w:cs="Arial" w:eastAsia="Arial" w:hAnsi="Arial"/>
          <w:sz w:val="18"/>
          <w:szCs w:val="18"/>
          <w:color w:val="auto"/>
        </w:rPr>
        <w:t>: $115,000, of which $50,000 is an annual cash retainer and $65,000 is in the form of an annual grant of RSUs, in addition</w:t>
      </w:r>
      <w:r>
        <w:rPr>
          <w:rFonts w:ascii="Arial" w:cs="Arial" w:eastAsia="Arial" w:hAnsi="Arial"/>
          <w:sz w:val="18"/>
          <w:szCs w:val="18"/>
          <w:i w:val="1"/>
          <w:iCs w:val="1"/>
          <w:color w:val="auto"/>
        </w:rPr>
        <w:t xml:space="preserve"> </w:t>
      </w:r>
      <w:r>
        <w:rPr>
          <w:rFonts w:ascii="Arial" w:cs="Arial" w:eastAsia="Arial" w:hAnsi="Arial"/>
          <w:sz w:val="18"/>
          <w:szCs w:val="18"/>
          <w:color w:val="auto"/>
        </w:rPr>
        <w:t>to the $230,000 in board member payments and grants described above.</w:t>
      </w:r>
    </w:p>
    <w:p>
      <w:pPr>
        <w:spacing w:after="0" w:line="102"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Chair of our Audit Committee</w:t>
      </w:r>
      <w:r>
        <w:rPr>
          <w:rFonts w:ascii="Arial" w:cs="Arial" w:eastAsia="Arial" w:hAnsi="Arial"/>
          <w:sz w:val="18"/>
          <w:szCs w:val="18"/>
          <w:color w:val="auto"/>
        </w:rPr>
        <w:t>: $20,000, as an annual cash retainer.</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Members of our Audit Committee and our CNG Committee</w:t>
      </w:r>
      <w:r>
        <w:rPr>
          <w:rFonts w:ascii="Arial" w:cs="Arial" w:eastAsia="Arial" w:hAnsi="Arial"/>
          <w:sz w:val="18"/>
          <w:szCs w:val="18"/>
          <w:color w:val="auto"/>
        </w:rPr>
        <w:t>: $10,000, as an annual cash retainer.</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RSUs are granted pursuant to the Reynolds Consumer Products Inc. Equity Incentive Plan (the “Equity Incentive Plan”) and the number of RSUs granted is calculated by dividing the applicable dollar value by the closing sale price per share of our common stock on the date of grant. The RSUs granted in 2022 to our non-affiliated directors were granted to Ms. Gottschalk, Mr. Noll, and Ms. Ziegler on April 27, 2022 and vest in full on the first anniversary thereof. For 2023, the annual grant of RSUs will change from $130,000 to $145,000, and the non-affiliated directors will have the option to defer the settlement of their vested RSUs.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For 2022, the cash retainer amounts were paid to non-affiliated directors on April 27, 2022.</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Directors who are also full-time officers or employees of the Company receive no additional compensation for serving as directors. An individual who is a non-employee director may not receive awards, in cash or otherwise, for any calendar year that total more than $750,000 in the aggregate.</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also reimburse all of our directors for their reasonable expenses incurred in attending meetings of our Board of Directors or committees, and have entered into Indemnification Agreements with our directors.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OWNERSHIP GUIDELINES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adopted Stock Ownership Guidelines (the “Guidelines”) applicable to our non-affiliated directors that will become effective on July 1, 2023. Under the Guidelines, each non-affiliated director is expected to own shares of our common stock with a value at least equal to five times the annual Board cash retainer (not including any chair or committee retainers). Shares owned directly and indirectly, as well as full-value equity awards (such as RSUs) with only a time-based vesting condition, count toward the ownership level under the Guidelines. Stock options (if any were to be granted by the Company) do not count toward the ownership level under the Guidelines.</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applicable ownership level is to be achieved by our directors within the later of July 1, 2028 (five years after the effective date of the Guidelines) or five years following when he or she becomes subject to the Guidelines (such date, the “Compliance Date”). Prior to the first applicable Compliance Date, until a non-affiliated director has satisfied the applicable level of ownership, he or she is required to retain not less than 50% of the net shares received (shares received after any shares are withheld to satisfy applicable withholding taxes) from the vesting or settlement of any equity award granted after the effective date of the Guidelines. As of and following the first applicable Compliance Date, if the applicable level of ownership has not been achieved, or if it has been achieved but a non-affiliated director falls below the applicable level of ownership, he or she will be required to retain 100% of the net shares received from the vesting or settlement of any equity award granted until the applicable level of ownership is achieved.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4F81B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2022 Director Compensation Table</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following table presents the compensation for each person who served as a member of our Board of Directors during 2022, other than Mr. Mitchell. Mr. Mitchell, who is also our Chief Executive Officer, receives no compensation for his service as a director. The compensation received by Mr. Mitchell as our Chief Executive Officer during 2022 is presented in the Summary Compensation Table. Mr. Cole, Ms. Golding and Mr. Hugli did not receive any compensation for his or her service as a director of ours in 2022, due to the fact that they were serving as officers of Rank Group at the time of payment or grant.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320" w:type="dxa"/>
            <w:vAlign w:val="bottom"/>
          </w:tcPr>
          <w:p>
            <w:pPr>
              <w:spacing w:after="0"/>
              <w:rPr>
                <w:sz w:val="16"/>
                <w:szCs w:val="16"/>
                <w:color w:val="auto"/>
              </w:rPr>
            </w:pPr>
          </w:p>
        </w:tc>
        <w:tc>
          <w:tcPr>
            <w:tcW w:w="3360" w:type="dxa"/>
            <w:vAlign w:val="bottom"/>
            <w:gridSpan w:val="2"/>
          </w:tcPr>
          <w:p>
            <w:pPr>
              <w:jc w:val="center"/>
              <w:ind w:left="619"/>
              <w:spacing w:after="0"/>
              <w:rPr>
                <w:sz w:val="20"/>
                <w:szCs w:val="20"/>
                <w:color w:val="auto"/>
              </w:rPr>
            </w:pPr>
            <w:r>
              <w:rPr>
                <w:rFonts w:ascii="Arial" w:cs="Arial" w:eastAsia="Arial" w:hAnsi="Arial"/>
                <w:sz w:val="16"/>
                <w:szCs w:val="16"/>
                <w:b w:val="1"/>
                <w:bCs w:val="1"/>
                <w:color w:val="auto"/>
                <w:w w:val="91"/>
              </w:rPr>
              <w:t>Fees Earned or Paid in</w:t>
            </w:r>
          </w:p>
        </w:tc>
        <w:tc>
          <w:tcPr>
            <w:tcW w:w="1600" w:type="dxa"/>
            <w:vAlign w:val="bottom"/>
            <w:vMerge w:val="restart"/>
          </w:tcPr>
          <w:p>
            <w:pPr>
              <w:jc w:val="right"/>
              <w:ind w:right="419"/>
              <w:spacing w:after="0"/>
              <w:rPr>
                <w:sz w:val="20"/>
                <w:szCs w:val="20"/>
                <w:color w:val="auto"/>
              </w:rPr>
            </w:pPr>
            <w:r>
              <w:rPr>
                <w:rFonts w:ascii="Arial" w:cs="Arial" w:eastAsia="Arial" w:hAnsi="Arial"/>
                <w:sz w:val="16"/>
                <w:szCs w:val="16"/>
                <w:b w:val="1"/>
                <w:bCs w:val="1"/>
                <w:color w:val="auto"/>
              </w:rPr>
              <w:t>Stock Awards</w:t>
            </w:r>
          </w:p>
        </w:tc>
        <w:tc>
          <w:tcPr>
            <w:tcW w:w="248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All Other Compensation</w:t>
            </w:r>
          </w:p>
        </w:tc>
        <w:tc>
          <w:tcPr>
            <w:tcW w:w="1360" w:type="dxa"/>
            <w:vAlign w:val="bottom"/>
            <w:vMerge w:val="restart"/>
          </w:tcPr>
          <w:p>
            <w:pPr>
              <w:jc w:val="right"/>
              <w:ind w:right="61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90"/>
        </w:trPr>
        <w:tc>
          <w:tcPr>
            <w:tcW w:w="23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800" w:type="dxa"/>
            <w:vAlign w:val="bottom"/>
          </w:tcPr>
          <w:p>
            <w:pPr>
              <w:jc w:val="center"/>
              <w:ind w:right="779"/>
              <w:spacing w:after="0"/>
              <w:rPr>
                <w:sz w:val="20"/>
                <w:szCs w:val="20"/>
                <w:color w:val="auto"/>
              </w:rPr>
            </w:pPr>
            <w:r>
              <w:rPr>
                <w:rFonts w:ascii="Arial" w:cs="Arial" w:eastAsia="Arial" w:hAnsi="Arial"/>
                <w:sz w:val="16"/>
                <w:szCs w:val="16"/>
                <w:b w:val="1"/>
                <w:bCs w:val="1"/>
                <w:color w:val="auto"/>
                <w:w w:val="86"/>
              </w:rPr>
              <w:t>Cash</w:t>
            </w:r>
          </w:p>
        </w:tc>
        <w:tc>
          <w:tcPr>
            <w:tcW w:w="1600" w:type="dxa"/>
            <w:vAlign w:val="bottom"/>
            <w:vMerge w:val="continue"/>
          </w:tcPr>
          <w:p>
            <w:pPr>
              <w:spacing w:after="0"/>
              <w:rPr>
                <w:sz w:val="16"/>
                <w:szCs w:val="16"/>
                <w:color w:val="auto"/>
              </w:rPr>
            </w:pPr>
          </w:p>
        </w:tc>
        <w:tc>
          <w:tcPr>
            <w:tcW w:w="2480" w:type="dxa"/>
            <w:vAlign w:val="bottom"/>
            <w:gridSpan w:val="2"/>
            <w:vMerge w:val="continue"/>
          </w:tcPr>
          <w:p>
            <w:pPr>
              <w:spacing w:after="0"/>
              <w:rPr>
                <w:sz w:val="16"/>
                <w:szCs w:val="16"/>
                <w:color w:val="auto"/>
              </w:rPr>
            </w:pPr>
          </w:p>
        </w:tc>
        <w:tc>
          <w:tcPr>
            <w:tcW w:w="1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2320" w:type="dxa"/>
            <w:vAlign w:val="bottom"/>
          </w:tcPr>
          <w:p>
            <w:pPr>
              <w:ind w:left="20"/>
              <w:spacing w:after="0"/>
              <w:rPr>
                <w:sz w:val="20"/>
                <w:szCs w:val="20"/>
                <w:color w:val="auto"/>
              </w:rPr>
            </w:pPr>
            <w:r>
              <w:rPr>
                <w:rFonts w:ascii="Arial" w:cs="Arial" w:eastAsia="Arial" w:hAnsi="Arial"/>
                <w:sz w:val="16"/>
                <w:szCs w:val="16"/>
                <w:color w:val="auto"/>
              </w:rPr>
              <w:t>Name</w:t>
            </w:r>
          </w:p>
        </w:tc>
        <w:tc>
          <w:tcPr>
            <w:tcW w:w="1560" w:type="dxa"/>
            <w:vAlign w:val="bottom"/>
          </w:tcPr>
          <w:p>
            <w:pPr>
              <w:spacing w:after="0"/>
              <w:rPr>
                <w:sz w:val="21"/>
                <w:szCs w:val="21"/>
                <w:color w:val="auto"/>
              </w:rPr>
            </w:pPr>
          </w:p>
        </w:tc>
        <w:tc>
          <w:tcPr>
            <w:tcW w:w="1800" w:type="dxa"/>
            <w:vAlign w:val="bottom"/>
          </w:tcPr>
          <w:p>
            <w:pPr>
              <w:jc w:val="center"/>
              <w:ind w:right="779"/>
              <w:spacing w:after="0"/>
              <w:rPr>
                <w:sz w:val="20"/>
                <w:szCs w:val="20"/>
                <w:color w:val="auto"/>
              </w:rPr>
            </w:pPr>
            <w:r>
              <w:rPr>
                <w:rFonts w:ascii="Arial" w:cs="Arial" w:eastAsia="Arial" w:hAnsi="Arial"/>
                <w:sz w:val="16"/>
                <w:szCs w:val="16"/>
                <w:b w:val="1"/>
                <w:bCs w:val="1"/>
                <w:color w:val="auto"/>
                <w:w w:val="91"/>
              </w:rPr>
              <w:t>($)</w:t>
            </w:r>
          </w:p>
        </w:tc>
        <w:tc>
          <w:tcPr>
            <w:tcW w:w="1600" w:type="dxa"/>
            <w:vAlign w:val="bottom"/>
          </w:tcPr>
          <w:p>
            <w:pPr>
              <w:jc w:val="right"/>
              <w:ind w:right="739"/>
              <w:spacing w:after="0" w:line="184" w:lineRule="exact"/>
              <w:rPr>
                <w:sz w:val="20"/>
                <w:szCs w:val="20"/>
                <w:color w:val="auto"/>
              </w:rPr>
            </w:pPr>
            <w:r>
              <w:rPr>
                <w:rFonts w:ascii="Arial" w:cs="Arial" w:eastAsia="Arial" w:hAnsi="Arial"/>
                <w:sz w:val="16"/>
                <w:szCs w:val="16"/>
                <w:b w:val="1"/>
                <w:bCs w:val="1"/>
                <w:color w:val="auto"/>
              </w:rPr>
              <w:t>($)</w:t>
            </w:r>
            <w:r>
              <w:rPr>
                <w:rFonts w:ascii="MS PGothic" w:cs="MS PGothic" w:eastAsia="MS PGothic" w:hAnsi="MS PGothic"/>
                <w:sz w:val="16"/>
                <w:szCs w:val="16"/>
                <w:color w:val="auto"/>
              </w:rPr>
              <w:t>⁽</w:t>
            </w:r>
            <w:r>
              <w:rPr>
                <w:rFonts w:ascii="Arial" w:cs="Arial" w:eastAsia="Arial" w:hAnsi="Arial"/>
                <w:sz w:val="16"/>
                <w:szCs w:val="16"/>
                <w:b w:val="1"/>
                <w:bCs w:val="1"/>
                <w:color w:val="auto"/>
              </w:rPr>
              <w:t>¹</w:t>
            </w:r>
            <w:r>
              <w:rPr>
                <w:rFonts w:ascii="MS PGothic" w:cs="MS PGothic" w:eastAsia="MS PGothic" w:hAnsi="MS PGothic"/>
                <w:sz w:val="16"/>
                <w:szCs w:val="16"/>
                <w:color w:val="auto"/>
              </w:rPr>
              <w:t>⁾</w:t>
            </w:r>
          </w:p>
        </w:tc>
        <w:tc>
          <w:tcPr>
            <w:tcW w:w="520" w:type="dxa"/>
            <w:vAlign w:val="bottom"/>
          </w:tcPr>
          <w:p>
            <w:pPr>
              <w:spacing w:after="0"/>
              <w:rPr>
                <w:sz w:val="21"/>
                <w:szCs w:val="21"/>
                <w:color w:val="auto"/>
              </w:rPr>
            </w:pPr>
          </w:p>
        </w:tc>
        <w:tc>
          <w:tcPr>
            <w:tcW w:w="1960" w:type="dxa"/>
            <w:vAlign w:val="bottom"/>
          </w:tcPr>
          <w:p>
            <w:pPr>
              <w:jc w:val="right"/>
              <w:ind w:right="1259"/>
              <w:spacing w:after="0" w:line="184" w:lineRule="exact"/>
              <w:rPr>
                <w:sz w:val="20"/>
                <w:szCs w:val="20"/>
                <w:color w:val="auto"/>
              </w:rPr>
            </w:pPr>
            <w:r>
              <w:rPr>
                <w:rFonts w:ascii="Arial" w:cs="Arial" w:eastAsia="Arial" w:hAnsi="Arial"/>
                <w:sz w:val="16"/>
                <w:szCs w:val="16"/>
                <w:b w:val="1"/>
                <w:bCs w:val="1"/>
                <w:color w:val="auto"/>
              </w:rPr>
              <w:t>($)</w:t>
            </w:r>
            <w:r>
              <w:rPr>
                <w:rFonts w:ascii="MS PGothic" w:cs="MS PGothic" w:eastAsia="MS PGothic" w:hAnsi="MS PGothic"/>
                <w:sz w:val="16"/>
                <w:szCs w:val="16"/>
                <w:color w:val="auto"/>
              </w:rPr>
              <w:t>⁽</w:t>
            </w:r>
            <w:r>
              <w:rPr>
                <w:rFonts w:ascii="Arial" w:cs="Arial" w:eastAsia="Arial" w:hAnsi="Arial"/>
                <w:sz w:val="16"/>
                <w:szCs w:val="16"/>
                <w:b w:val="1"/>
                <w:bCs w:val="1"/>
                <w:color w:val="auto"/>
              </w:rPr>
              <w:t>²</w:t>
            </w:r>
            <w:r>
              <w:rPr>
                <w:rFonts w:ascii="MS PGothic" w:cs="MS PGothic" w:eastAsia="MS PGothic" w:hAnsi="MS PGothic"/>
                <w:sz w:val="16"/>
                <w:szCs w:val="16"/>
                <w:color w:val="auto"/>
              </w:rPr>
              <w:t>⁾</w:t>
            </w:r>
          </w:p>
        </w:tc>
        <w:tc>
          <w:tcPr>
            <w:tcW w:w="1360" w:type="dxa"/>
            <w:vAlign w:val="bottom"/>
          </w:tcPr>
          <w:p>
            <w:pPr>
              <w:jc w:val="right"/>
              <w:ind w:right="69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Gregory Cole</w:t>
            </w:r>
          </w:p>
        </w:tc>
        <w:tc>
          <w:tcPr>
            <w:tcW w:w="156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8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   $</w:t>
            </w:r>
          </w:p>
        </w:tc>
        <w:tc>
          <w:tcPr>
            <w:tcW w:w="16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96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   $</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320" w:type="dxa"/>
            <w:vAlign w:val="bottom"/>
          </w:tcPr>
          <w:p>
            <w:pPr>
              <w:ind w:left="20"/>
              <w:spacing w:after="0"/>
              <w:rPr>
                <w:sz w:val="20"/>
                <w:szCs w:val="20"/>
                <w:color w:val="auto"/>
              </w:rPr>
            </w:pPr>
            <w:r>
              <w:rPr>
                <w:rFonts w:ascii="Arial" w:cs="Arial" w:eastAsia="Arial" w:hAnsi="Arial"/>
                <w:sz w:val="16"/>
                <w:szCs w:val="16"/>
                <w:color w:val="auto"/>
              </w:rPr>
              <w:t>Helen Golding</w:t>
            </w:r>
          </w:p>
        </w:tc>
        <w:tc>
          <w:tcPr>
            <w:tcW w:w="1560" w:type="dxa"/>
            <w:vAlign w:val="bottom"/>
          </w:tcPr>
          <w:p>
            <w:pPr>
              <w:spacing w:after="0"/>
              <w:rPr>
                <w:sz w:val="18"/>
                <w:szCs w:val="18"/>
                <w:color w:val="auto"/>
              </w:rPr>
            </w:pPr>
          </w:p>
        </w:tc>
        <w:tc>
          <w:tcPr>
            <w:tcW w:w="180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8"/>
                <w:szCs w:val="18"/>
                <w:color w:val="auto"/>
              </w:rPr>
            </w:pPr>
          </w:p>
        </w:tc>
        <w:tc>
          <w:tcPr>
            <w:tcW w:w="1960" w:type="dxa"/>
            <w:vAlign w:val="bottom"/>
          </w:tcPr>
          <w:p>
            <w:pPr>
              <w:jc w:val="right"/>
              <w:ind w:right="559"/>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Marla Gottschalk</w:t>
            </w:r>
          </w:p>
        </w:tc>
        <w:tc>
          <w:tcPr>
            <w:tcW w:w="1560" w:type="dxa"/>
            <w:vAlign w:val="bottom"/>
            <w:shd w:val="clear" w:color="auto" w:fill="CCEEFF"/>
          </w:tcPr>
          <w:p>
            <w:pPr>
              <w:spacing w:after="0"/>
              <w:rPr>
                <w:sz w:val="19"/>
                <w:szCs w:val="19"/>
                <w:color w:val="auto"/>
              </w:rPr>
            </w:pPr>
          </w:p>
        </w:tc>
        <w:tc>
          <w:tcPr>
            <w:tcW w:w="180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120,000</w:t>
            </w:r>
          </w:p>
        </w:tc>
        <w:tc>
          <w:tcPr>
            <w:tcW w:w="16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130,013</w:t>
            </w:r>
          </w:p>
        </w:tc>
        <w:tc>
          <w:tcPr>
            <w:tcW w:w="520" w:type="dxa"/>
            <w:vAlign w:val="bottom"/>
            <w:shd w:val="clear" w:color="auto" w:fill="CCEEFF"/>
          </w:tcPr>
          <w:p>
            <w:pPr>
              <w:spacing w:after="0"/>
              <w:rPr>
                <w:sz w:val="19"/>
                <w:szCs w:val="19"/>
                <w:color w:val="auto"/>
              </w:rPr>
            </w:pPr>
          </w:p>
        </w:tc>
        <w:tc>
          <w:tcPr>
            <w:tcW w:w="1960" w:type="dxa"/>
            <w:vAlign w:val="bottom"/>
            <w:shd w:val="clear" w:color="auto" w:fill="CCEEFF"/>
          </w:tcPr>
          <w:p>
            <w:pPr>
              <w:jc w:val="right"/>
              <w:ind w:right="559"/>
              <w:spacing w:after="0"/>
              <w:rPr>
                <w:sz w:val="20"/>
                <w:szCs w:val="20"/>
                <w:color w:val="auto"/>
              </w:rPr>
            </w:pPr>
            <w:r>
              <w:rPr>
                <w:rFonts w:ascii="Arial" w:cs="Arial" w:eastAsia="Arial" w:hAnsi="Arial"/>
                <w:sz w:val="16"/>
                <w:szCs w:val="16"/>
                <w:color w:val="auto"/>
              </w:rPr>
              <w:t>3,986</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253,999</w:t>
            </w:r>
          </w:p>
        </w:tc>
        <w:tc>
          <w:tcPr>
            <w:tcW w:w="0" w:type="dxa"/>
            <w:vAlign w:val="bottom"/>
          </w:tcPr>
          <w:p>
            <w:pPr>
              <w:spacing w:after="0"/>
              <w:rPr>
                <w:sz w:val="1"/>
                <w:szCs w:val="1"/>
                <w:color w:val="auto"/>
              </w:rPr>
            </w:pPr>
          </w:p>
        </w:tc>
      </w:tr>
      <w:tr>
        <w:trPr>
          <w:trHeight w:val="213"/>
        </w:trPr>
        <w:tc>
          <w:tcPr>
            <w:tcW w:w="2320" w:type="dxa"/>
            <w:vAlign w:val="bottom"/>
          </w:tcPr>
          <w:p>
            <w:pPr>
              <w:ind w:left="20"/>
              <w:spacing w:after="0"/>
              <w:rPr>
                <w:sz w:val="20"/>
                <w:szCs w:val="20"/>
                <w:color w:val="auto"/>
              </w:rPr>
            </w:pPr>
            <w:r>
              <w:rPr>
                <w:rFonts w:ascii="Arial" w:cs="Arial" w:eastAsia="Arial" w:hAnsi="Arial"/>
                <w:sz w:val="16"/>
                <w:szCs w:val="16"/>
                <w:color w:val="auto"/>
              </w:rPr>
              <w:t>Allen Hugli</w:t>
            </w:r>
          </w:p>
        </w:tc>
        <w:tc>
          <w:tcPr>
            <w:tcW w:w="1560" w:type="dxa"/>
            <w:vAlign w:val="bottom"/>
          </w:tcPr>
          <w:p>
            <w:pPr>
              <w:spacing w:after="0"/>
              <w:rPr>
                <w:sz w:val="18"/>
                <w:szCs w:val="18"/>
                <w:color w:val="auto"/>
              </w:rPr>
            </w:pPr>
          </w:p>
        </w:tc>
        <w:tc>
          <w:tcPr>
            <w:tcW w:w="180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8"/>
                <w:szCs w:val="18"/>
                <w:color w:val="auto"/>
              </w:rPr>
            </w:pPr>
          </w:p>
        </w:tc>
        <w:tc>
          <w:tcPr>
            <w:tcW w:w="1960" w:type="dxa"/>
            <w:vAlign w:val="bottom"/>
          </w:tcPr>
          <w:p>
            <w:pPr>
              <w:jc w:val="right"/>
              <w:ind w:right="559"/>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Richard Noll</w:t>
            </w:r>
          </w:p>
        </w:tc>
        <w:tc>
          <w:tcPr>
            <w:tcW w:w="1560" w:type="dxa"/>
            <w:vAlign w:val="bottom"/>
            <w:shd w:val="clear" w:color="auto" w:fill="CCEEFF"/>
          </w:tcPr>
          <w:p>
            <w:pPr>
              <w:spacing w:after="0"/>
              <w:rPr>
                <w:sz w:val="19"/>
                <w:szCs w:val="19"/>
                <w:color w:val="auto"/>
              </w:rPr>
            </w:pPr>
          </w:p>
        </w:tc>
        <w:tc>
          <w:tcPr>
            <w:tcW w:w="180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170,000</w:t>
            </w:r>
          </w:p>
        </w:tc>
        <w:tc>
          <w:tcPr>
            <w:tcW w:w="16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195,004</w:t>
            </w:r>
          </w:p>
        </w:tc>
        <w:tc>
          <w:tcPr>
            <w:tcW w:w="520" w:type="dxa"/>
            <w:vAlign w:val="bottom"/>
            <w:shd w:val="clear" w:color="auto" w:fill="CCEEFF"/>
          </w:tcPr>
          <w:p>
            <w:pPr>
              <w:spacing w:after="0"/>
              <w:rPr>
                <w:sz w:val="19"/>
                <w:szCs w:val="19"/>
                <w:color w:val="auto"/>
              </w:rPr>
            </w:pPr>
          </w:p>
        </w:tc>
        <w:tc>
          <w:tcPr>
            <w:tcW w:w="1960" w:type="dxa"/>
            <w:vAlign w:val="bottom"/>
            <w:shd w:val="clear" w:color="auto" w:fill="CCEEFF"/>
          </w:tcPr>
          <w:p>
            <w:pPr>
              <w:jc w:val="right"/>
              <w:ind w:right="559"/>
              <w:spacing w:after="0"/>
              <w:rPr>
                <w:sz w:val="20"/>
                <w:szCs w:val="20"/>
                <w:color w:val="auto"/>
              </w:rPr>
            </w:pPr>
            <w:r>
              <w:rPr>
                <w:rFonts w:ascii="Arial" w:cs="Arial" w:eastAsia="Arial" w:hAnsi="Arial"/>
                <w:sz w:val="16"/>
                <w:szCs w:val="16"/>
                <w:color w:val="auto"/>
              </w:rPr>
              <w:t>5,980</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370,984</w:t>
            </w:r>
          </w:p>
        </w:tc>
        <w:tc>
          <w:tcPr>
            <w:tcW w:w="0" w:type="dxa"/>
            <w:vAlign w:val="bottom"/>
          </w:tcPr>
          <w:p>
            <w:pPr>
              <w:spacing w:after="0"/>
              <w:rPr>
                <w:sz w:val="1"/>
                <w:szCs w:val="1"/>
                <w:color w:val="auto"/>
              </w:rPr>
            </w:pPr>
          </w:p>
        </w:tc>
      </w:tr>
      <w:tr>
        <w:trPr>
          <w:trHeight w:val="210"/>
        </w:trPr>
        <w:tc>
          <w:tcPr>
            <w:tcW w:w="2320" w:type="dxa"/>
            <w:vAlign w:val="bottom"/>
          </w:tcPr>
          <w:p>
            <w:pPr>
              <w:ind w:left="20"/>
              <w:spacing w:after="0"/>
              <w:rPr>
                <w:sz w:val="20"/>
                <w:szCs w:val="20"/>
                <w:color w:val="auto"/>
              </w:rPr>
            </w:pPr>
            <w:r>
              <w:rPr>
                <w:rFonts w:ascii="Arial" w:cs="Arial" w:eastAsia="Arial" w:hAnsi="Arial"/>
                <w:sz w:val="16"/>
                <w:szCs w:val="16"/>
                <w:color w:val="auto"/>
              </w:rPr>
              <w:t>Ann Ziegler</w:t>
            </w:r>
          </w:p>
        </w:tc>
        <w:tc>
          <w:tcPr>
            <w:tcW w:w="1560" w:type="dxa"/>
            <w:vAlign w:val="bottom"/>
          </w:tcPr>
          <w:p>
            <w:pPr>
              <w:spacing w:after="0"/>
              <w:rPr>
                <w:sz w:val="18"/>
                <w:szCs w:val="18"/>
                <w:color w:val="auto"/>
              </w:rPr>
            </w:pPr>
          </w:p>
        </w:tc>
        <w:tc>
          <w:tcPr>
            <w:tcW w:w="1800" w:type="dxa"/>
            <w:vAlign w:val="bottom"/>
          </w:tcPr>
          <w:p>
            <w:pPr>
              <w:jc w:val="right"/>
              <w:ind w:right="399"/>
              <w:spacing w:after="0"/>
              <w:rPr>
                <w:sz w:val="20"/>
                <w:szCs w:val="20"/>
                <w:color w:val="auto"/>
              </w:rPr>
            </w:pPr>
            <w:r>
              <w:rPr>
                <w:rFonts w:ascii="Arial" w:cs="Arial" w:eastAsia="Arial" w:hAnsi="Arial"/>
                <w:sz w:val="16"/>
                <w:szCs w:val="16"/>
                <w:color w:val="auto"/>
              </w:rPr>
              <w:t>110,000</w:t>
            </w: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130,013</w:t>
            </w:r>
          </w:p>
        </w:tc>
        <w:tc>
          <w:tcPr>
            <w:tcW w:w="520" w:type="dxa"/>
            <w:vAlign w:val="bottom"/>
          </w:tcPr>
          <w:p>
            <w:pPr>
              <w:spacing w:after="0"/>
              <w:rPr>
                <w:sz w:val="18"/>
                <w:szCs w:val="18"/>
                <w:color w:val="auto"/>
              </w:rPr>
            </w:pPr>
          </w:p>
        </w:tc>
        <w:tc>
          <w:tcPr>
            <w:tcW w:w="1960" w:type="dxa"/>
            <w:vAlign w:val="bottom"/>
          </w:tcPr>
          <w:p>
            <w:pPr>
              <w:jc w:val="right"/>
              <w:ind w:right="559"/>
              <w:spacing w:after="0"/>
              <w:rPr>
                <w:sz w:val="20"/>
                <w:szCs w:val="20"/>
                <w:color w:val="auto"/>
              </w:rPr>
            </w:pPr>
            <w:r>
              <w:rPr>
                <w:rFonts w:ascii="Arial" w:cs="Arial" w:eastAsia="Arial" w:hAnsi="Arial"/>
                <w:sz w:val="16"/>
                <w:szCs w:val="16"/>
                <w:color w:val="auto"/>
              </w:rPr>
              <w:t>3,986</w:t>
            </w:r>
          </w:p>
        </w:tc>
        <w:tc>
          <w:tcPr>
            <w:tcW w:w="1360" w:type="dxa"/>
            <w:vAlign w:val="bottom"/>
          </w:tcPr>
          <w:p>
            <w:pPr>
              <w:jc w:val="right"/>
              <w:spacing w:after="0"/>
              <w:rPr>
                <w:sz w:val="20"/>
                <w:szCs w:val="20"/>
                <w:color w:val="auto"/>
              </w:rPr>
            </w:pPr>
            <w:r>
              <w:rPr>
                <w:rFonts w:ascii="Arial" w:cs="Arial" w:eastAsia="Arial" w:hAnsi="Arial"/>
                <w:sz w:val="16"/>
                <w:szCs w:val="16"/>
                <w:color w:val="auto"/>
              </w:rPr>
              <w:t>243,999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4015740</wp:posOffset>
            </wp:positionH>
            <wp:positionV relativeFrom="paragraph">
              <wp:posOffset>-946785</wp:posOffset>
            </wp:positionV>
            <wp:extent cx="100330" cy="806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00330" cy="80645"/>
                    </a:xfrm>
                    <a:prstGeom prst="rect">
                      <a:avLst/>
                    </a:prstGeom>
                    <a:noFill/>
                  </pic:spPr>
                </pic:pic>
              </a:graphicData>
            </a:graphic>
          </wp:anchor>
        </w:drawing>
        <w:drawing>
          <wp:anchor simplePos="0" relativeHeight="251657728" behindDoc="1" locked="0" layoutInCell="0" allowOverlap="1">
            <wp:simplePos x="0" y="0"/>
            <wp:positionH relativeFrom="column">
              <wp:posOffset>5262880</wp:posOffset>
            </wp:positionH>
            <wp:positionV relativeFrom="paragraph">
              <wp:posOffset>-946785</wp:posOffset>
            </wp:positionV>
            <wp:extent cx="100330" cy="806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00330" cy="80645"/>
                    </a:xfrm>
                    <a:prstGeom prst="rect">
                      <a:avLst/>
                    </a:prstGeom>
                    <a:noFill/>
                  </pic:spPr>
                </pic:pic>
              </a:graphicData>
            </a:graphic>
          </wp:anchor>
        </w:drawing>
      </w:r>
    </w:p>
    <w:p>
      <w:pPr>
        <w:spacing w:after="0" w:line="314"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5"/>
          <w:szCs w:val="15"/>
          <w:color w:val="auto"/>
        </w:rPr>
      </w:pPr>
      <w:r>
        <w:rPr>
          <w:rFonts w:ascii="Arial" w:cs="Arial" w:eastAsia="Arial" w:hAnsi="Arial"/>
          <w:sz w:val="15"/>
          <w:szCs w:val="15"/>
          <w:color w:val="auto"/>
        </w:rPr>
        <w:t>The number of unvested RSUs held by each director at December 31, 2022 was: Mr. Cole: zero; Ms. Golding: zero; Ms. Gottschalk: 4,357; Mr. Hugli: zero; Mr. Noll:</w:t>
      </w:r>
    </w:p>
    <w:p>
      <w:pPr>
        <w:spacing w:after="0" w:line="30" w:lineRule="exact"/>
        <w:rPr>
          <w:rFonts w:ascii="Arial" w:cs="Arial" w:eastAsia="Arial" w:hAnsi="Arial"/>
          <w:sz w:val="15"/>
          <w:szCs w:val="15"/>
          <w:color w:val="auto"/>
        </w:rPr>
      </w:pPr>
    </w:p>
    <w:p>
      <w:pPr>
        <w:ind w:left="340"/>
        <w:spacing w:after="0"/>
        <w:rPr>
          <w:rFonts w:ascii="Arial" w:cs="Arial" w:eastAsia="Arial" w:hAnsi="Arial"/>
          <w:sz w:val="15"/>
          <w:szCs w:val="15"/>
          <w:color w:val="auto"/>
        </w:rPr>
      </w:pPr>
      <w:r>
        <w:rPr>
          <w:rFonts w:ascii="Arial" w:cs="Arial" w:eastAsia="Arial" w:hAnsi="Arial"/>
          <w:sz w:val="16"/>
          <w:szCs w:val="16"/>
          <w:color w:val="auto"/>
        </w:rPr>
        <w:t>6,535; and Ms. Ziegler: 4,357.</w:t>
      </w:r>
    </w:p>
    <w:p>
      <w:pPr>
        <w:spacing w:after="0" w:line="5" w:lineRule="exact"/>
        <w:rPr>
          <w:rFonts w:ascii="Arial" w:cs="Arial" w:eastAsia="Arial" w:hAnsi="Arial"/>
          <w:sz w:val="15"/>
          <w:szCs w:val="15"/>
          <w:color w:val="auto"/>
        </w:rPr>
      </w:pPr>
    </w:p>
    <w:p>
      <w:pPr>
        <w:ind w:left="340" w:hanging="332"/>
        <w:spacing w:after="0"/>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amounts in this column represent the dollar value of dividend equivalents paid in 2022 related to RSUs held by the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4F81B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1080"/>
        <w:spacing w:after="0" w:line="283" w:lineRule="auto"/>
        <w:rPr>
          <w:sz w:val="20"/>
          <w:szCs w:val="20"/>
          <w:color w:val="auto"/>
        </w:rPr>
      </w:pPr>
      <w:r>
        <w:rPr>
          <w:rFonts w:ascii="Arial" w:cs="Arial" w:eastAsia="Arial" w:hAnsi="Arial"/>
          <w:sz w:val="36"/>
          <w:szCs w:val="36"/>
          <w:b w:val="1"/>
          <w:bCs w:val="1"/>
          <w:color w:val="1F497D"/>
        </w:rPr>
        <w:t>PROPOSAL 2: RATIFICATION OF APPOINTMENT OF INDEPENDENT REGISTERED PUBLIC ACCOUNTING FIRM</w:t>
      </w:r>
    </w:p>
    <w:p>
      <w:pPr>
        <w:spacing w:after="0" w:line="11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Audit Committee has appointed PricewaterhouseCoopers LLP as our independent registered public accounting firm for the year ending December 31, 2023. Our Board of Directors recommends that stockholders vote for ratification of this appointment. If this proposal is not approved at the Annual Meeting, the Audit Committee will reconsider its appointment, but may decide not to direct the appointment of a different independent registered public accounting firm. Even if the appointment is ratified, the Audit Committee may, in its discretion, direct the appointment of a different independent registered public accounting firm at any time during the year if the Audit Committee determines that such a change would be in our stockholders’ best interests.</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PricewaterhouseCoopers LLP has audited our financial statements for each year since 2015. We expect representatives of PricewaterhouseCoopers LLP to be present at the Annual Meeting and available to respond to appropriate questions. They will have the opportunity to make a statement if they desire to do so.</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Recommendation</w:t>
      </w:r>
    </w:p>
    <w:p>
      <w:pPr>
        <w:spacing w:after="0" w:line="229" w:lineRule="exact"/>
        <w:rPr>
          <w:sz w:val="20"/>
          <w:szCs w:val="20"/>
          <w:color w:val="auto"/>
        </w:rPr>
      </w:pPr>
    </w:p>
    <w:p>
      <w:pPr>
        <w:jc w:val="center"/>
        <w:ind w:left="340" w:right="1020"/>
        <w:spacing w:after="0" w:line="381" w:lineRule="auto"/>
        <w:rPr>
          <w:sz w:val="20"/>
          <w:szCs w:val="20"/>
          <w:color w:val="auto"/>
        </w:rPr>
      </w:pPr>
      <w:r>
        <w:rPr>
          <w:rFonts w:ascii="Arial" w:cs="Arial" w:eastAsia="Arial" w:hAnsi="Arial"/>
          <w:sz w:val="15"/>
          <w:szCs w:val="15"/>
          <w:b w:val="1"/>
          <w:bCs w:val="1"/>
          <w:i w:val="1"/>
          <w:iCs w:val="1"/>
          <w:color w:val="auto"/>
        </w:rPr>
        <w:t>The Board of Directors recommends that stockholders vote FOR ratification of the appointment of PricewaterhouseCoopers LLP as our independent registered public accounting firm for the year ending December 31, 2023.</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AUDITOR FEES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fees for professional audit services rendered by PricewaterhouseCoopers LLP for the years ended December 31, 2022 and 2021:</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tcPr>
          <w:p>
            <w:pPr>
              <w:spacing w:after="0"/>
              <w:rPr>
                <w:sz w:val="20"/>
                <w:szCs w:val="20"/>
                <w:color w:val="auto"/>
              </w:rPr>
            </w:pPr>
          </w:p>
        </w:tc>
        <w:tc>
          <w:tcPr>
            <w:tcW w:w="1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2022</w:t>
            </w:r>
          </w:p>
        </w:tc>
        <w:tc>
          <w:tcPr>
            <w:tcW w:w="6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2021</w:t>
            </w:r>
          </w:p>
        </w:tc>
      </w:tr>
      <w:tr>
        <w:trPr>
          <w:trHeight w:val="223"/>
        </w:trPr>
        <w:tc>
          <w:tcPr>
            <w:tcW w:w="69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8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(in thousands)</w:t>
            </w:r>
          </w:p>
        </w:tc>
        <w:tc>
          <w:tcPr>
            <w:tcW w:w="1400" w:type="dxa"/>
            <w:vAlign w:val="bottom"/>
          </w:tcPr>
          <w:p>
            <w:pPr>
              <w:spacing w:after="0"/>
              <w:rPr>
                <w:sz w:val="19"/>
                <w:szCs w:val="19"/>
                <w:color w:val="auto"/>
              </w:rPr>
            </w:pPr>
          </w:p>
        </w:tc>
      </w:tr>
      <w:tr>
        <w:trPr>
          <w:trHeight w:val="230"/>
        </w:trPr>
        <w:tc>
          <w:tcPr>
            <w:tcW w:w="6980" w:type="dxa"/>
            <w:vAlign w:val="bottom"/>
            <w:shd w:val="clear" w:color="auto" w:fill="CCEEFF"/>
          </w:tcPr>
          <w:p>
            <w:pPr>
              <w:ind w:left="20"/>
              <w:spacing w:after="0" w:line="207" w:lineRule="exact"/>
              <w:rPr>
                <w:sz w:val="20"/>
                <w:szCs w:val="20"/>
                <w:color w:val="auto"/>
              </w:rPr>
            </w:pPr>
            <w:r>
              <w:rPr>
                <w:rFonts w:ascii="Arial" w:cs="Arial" w:eastAsia="Arial" w:hAnsi="Arial"/>
                <w:sz w:val="18"/>
                <w:szCs w:val="18"/>
                <w:color w:val="auto"/>
              </w:rPr>
              <w:t>Audit Fees</w:t>
            </w:r>
            <w:r>
              <w:rPr>
                <w:rFonts w:ascii="MS PGothic" w:cs="MS PGothic" w:eastAsia="MS PGothic" w:hAnsi="MS PGothic"/>
                <w:sz w:val="18"/>
                <w:szCs w:val="18"/>
                <w:color w:val="auto"/>
              </w:rPr>
              <w:t>⁽</w:t>
            </w:r>
            <w:r>
              <w:rPr>
                <w:rFonts w:ascii="Arial" w:cs="Arial" w:eastAsia="Arial" w:hAnsi="Arial"/>
                <w:sz w:val="18"/>
                <w:szCs w:val="18"/>
                <w:color w:val="auto"/>
              </w:rPr>
              <w:t>¹</w:t>
            </w:r>
            <w:r>
              <w:rPr>
                <w:rFonts w:ascii="MS PGothic" w:cs="MS PGothic" w:eastAsia="MS PGothic" w:hAnsi="MS PGothic"/>
                <w:sz w:val="18"/>
                <w:szCs w:val="18"/>
                <w:color w:val="auto"/>
              </w:rPr>
              <w:t>⁾</w:t>
            </w:r>
          </w:p>
        </w:tc>
        <w:tc>
          <w:tcPr>
            <w:tcW w:w="1380" w:type="dxa"/>
            <w:vAlign w:val="bottom"/>
            <w:shd w:val="clear" w:color="auto" w:fill="CCEEFF"/>
          </w:tcPr>
          <w:p>
            <w:pPr>
              <w:jc w:val="right"/>
              <w:ind w:right="119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2,800</w:t>
            </w:r>
          </w:p>
        </w:tc>
      </w:tr>
      <w:tr>
        <w:trPr>
          <w:trHeight w:val="229"/>
        </w:trPr>
        <w:tc>
          <w:tcPr>
            <w:tcW w:w="6980" w:type="dxa"/>
            <w:vAlign w:val="bottom"/>
          </w:tcPr>
          <w:p>
            <w:pPr>
              <w:ind w:left="20"/>
              <w:spacing w:after="0" w:line="207" w:lineRule="exact"/>
              <w:rPr>
                <w:sz w:val="20"/>
                <w:szCs w:val="20"/>
                <w:color w:val="auto"/>
              </w:rPr>
            </w:pPr>
            <w:r>
              <w:rPr>
                <w:rFonts w:ascii="Arial" w:cs="Arial" w:eastAsia="Arial" w:hAnsi="Arial"/>
                <w:sz w:val="18"/>
                <w:szCs w:val="18"/>
                <w:color w:val="auto"/>
              </w:rPr>
              <w:t>Audit-Related Fees</w:t>
            </w:r>
            <w:r>
              <w:rPr>
                <w:rFonts w:ascii="MS PGothic" w:cs="MS PGothic" w:eastAsia="MS PGothic" w:hAnsi="MS PGothic"/>
                <w:sz w:val="18"/>
                <w:szCs w:val="18"/>
                <w:color w:val="auto"/>
              </w:rPr>
              <w:t>⁽</w:t>
            </w:r>
            <w:r>
              <w:rPr>
                <w:rFonts w:ascii="Arial" w:cs="Arial" w:eastAsia="Arial" w:hAnsi="Arial"/>
                <w:sz w:val="18"/>
                <w:szCs w:val="18"/>
                <w:color w:val="auto"/>
              </w:rPr>
              <w:t>²</w:t>
            </w:r>
            <w:r>
              <w:rPr>
                <w:rFonts w:ascii="MS PGothic" w:cs="MS PGothic" w:eastAsia="MS PGothic" w:hAnsi="MS PGothic"/>
                <w:sz w:val="18"/>
                <w:szCs w:val="18"/>
                <w:color w:val="auto"/>
              </w:rPr>
              <w:t>⁾</w:t>
            </w:r>
          </w:p>
        </w:tc>
        <w:tc>
          <w:tcPr>
            <w:tcW w:w="13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425</w:t>
            </w: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Fees</w:t>
            </w:r>
          </w:p>
        </w:tc>
        <w:tc>
          <w:tcPr>
            <w:tcW w:w="13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980" w:type="dxa"/>
            <w:vAlign w:val="bottom"/>
          </w:tcPr>
          <w:p>
            <w:pPr>
              <w:ind w:left="20"/>
              <w:spacing w:after="0" w:line="207" w:lineRule="exact"/>
              <w:rPr>
                <w:sz w:val="20"/>
                <w:szCs w:val="20"/>
                <w:color w:val="auto"/>
              </w:rPr>
            </w:pPr>
            <w:r>
              <w:rPr>
                <w:rFonts w:ascii="Arial" w:cs="Arial" w:eastAsia="Arial" w:hAnsi="Arial"/>
                <w:sz w:val="18"/>
                <w:szCs w:val="18"/>
                <w:color w:val="auto"/>
              </w:rPr>
              <w:t>All Other Fees</w:t>
            </w:r>
            <w:r>
              <w:rPr>
                <w:rFonts w:ascii="MS PGothic" w:cs="MS PGothic" w:eastAsia="MS PGothic" w:hAnsi="MS PGothic"/>
                <w:sz w:val="18"/>
                <w:szCs w:val="18"/>
                <w:color w:val="auto"/>
              </w:rPr>
              <w:t>⁽</w:t>
            </w:r>
            <w:r>
              <w:rPr>
                <w:rFonts w:ascii="Arial" w:cs="Arial" w:eastAsia="Arial" w:hAnsi="Arial"/>
                <w:sz w:val="18"/>
                <w:szCs w:val="18"/>
                <w:color w:val="auto"/>
              </w:rPr>
              <w:t>³</w:t>
            </w:r>
            <w:r>
              <w:rPr>
                <w:rFonts w:ascii="MS PGothic" w:cs="MS PGothic" w:eastAsia="MS PGothic" w:hAnsi="MS PGothic"/>
                <w:sz w:val="18"/>
                <w:szCs w:val="18"/>
                <w:color w:val="auto"/>
              </w:rPr>
              <w:t>⁾</w:t>
            </w:r>
          </w:p>
        </w:tc>
        <w:tc>
          <w:tcPr>
            <w:tcW w:w="138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23"/>
        </w:trPr>
        <w:tc>
          <w:tcPr>
            <w:tcW w:w="6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380" w:type="dxa"/>
            <w:vAlign w:val="bottom"/>
            <w:tcBorders>
              <w:top w:val="single" w:sz="8" w:color="auto"/>
            </w:tcBorders>
            <w:shd w:val="clear" w:color="auto" w:fill="CCEEFF"/>
          </w:tcPr>
          <w:p>
            <w:pPr>
              <w:jc w:val="right"/>
              <w:ind w:right="1190"/>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3,425</w:t>
            </w:r>
          </w:p>
        </w:tc>
        <w:tc>
          <w:tcPr>
            <w:tcW w:w="18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b w:val="1"/>
                <w:bCs w:val="1"/>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2,810</w:t>
            </w:r>
          </w:p>
        </w:tc>
      </w:tr>
    </w:tbl>
    <w:p>
      <w:pPr>
        <w:spacing w:after="0" w:line="323" w:lineRule="exact"/>
        <w:rPr>
          <w:sz w:val="20"/>
          <w:szCs w:val="20"/>
          <w:color w:val="auto"/>
        </w:rPr>
      </w:pPr>
    </w:p>
    <w:p>
      <w:pPr>
        <w:ind w:left="340" w:hanging="332"/>
        <w:spacing w:after="0" w:line="258" w:lineRule="auto"/>
        <w:tabs>
          <w:tab w:leader="none" w:pos="334" w:val="left"/>
        </w:tabs>
        <w:numPr>
          <w:ilvl w:val="0"/>
          <w:numId w:val="21"/>
        </w:numPr>
        <w:rPr>
          <w:rFonts w:ascii="Arial" w:cs="Arial" w:eastAsia="Arial" w:hAnsi="Arial"/>
          <w:sz w:val="18"/>
          <w:szCs w:val="18"/>
          <w:color w:val="auto"/>
        </w:rPr>
      </w:pPr>
      <w:r>
        <w:rPr>
          <w:rFonts w:ascii="Arial" w:cs="Arial" w:eastAsia="Arial" w:hAnsi="Arial"/>
          <w:sz w:val="18"/>
          <w:szCs w:val="18"/>
          <w:color w:val="auto"/>
        </w:rPr>
        <w:t>Audit Fees for 2022 and 2021 were for professional services rendered for the audits of the Company’s annual consolidated financial statements and quarterly consolidated financial statements.</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Audit-related fees were for a Form S-3 filing on May 23, 2022 and related comfort letter procedures.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 Other Fees for 2021 were for licensing fees.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services rendered by PricewaterhouseCoopers LLP in 2022 and 2021 were approved by the Audit Committee, which considered whether the provision of all services was compatible with maintaining PricewaterhouseCoopers LLP’s independence.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POLICY</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Audit Committee has adopted a policy with respect to pre-approval of certain types of audit and non-audit related services specifically described by the Audit Committee on an annual basis. In general, the Audit Committee has pre-approved the provision of certain audit services and audit-related services, in each case up to an annual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4F81B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amount which varies by the type of services. Individual engagements anticipated to exceed such pre-established thresholds must be separately approved. This policy also sets forth certain services that the Company’s independent public accountant is prohibited from providing to the Company. The policy authorizes the Audit Committee to delegate to one or more of its members pre-approval authority with respect to permitted services.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All services provided and fees charged by PricewaterhouseCoopers LLP to us were pre-approved in accordance with the policy described above.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REPORT</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Audit Committee has reviewed and discussed with management and PricewaterhouseCoopers LLP the audited financial statements for the year ended December 31, 2022. The Audit Committee has discussed with PricewaterhouseCoopers LLP the matters that are required to be discussed by the applicable requirements of the Public Company Accounting Oversight Board (United States) (“PCAOB”) and the SEC. The Audit Committee has received the written disclosures and the letter from PricewaterhouseCoopers LLP required by applicable requirements of the PCAOB regarding PricewaterhouseCoopers LLP’s communications with the Audit Committee concerning independence, and the Audit Committee has discussed with PricewaterhouseCoopers LLP that firm’s independence. The Audit Committee has concluded that PricewaterhouseCoopers LLP’s provision of audit and non-audit services to the company and its affiliates is compatible with PricewaterhouseCoopers LLP’s independence.</w:t>
      </w:r>
    </w:p>
    <w:p>
      <w:pPr>
        <w:spacing w:after="0" w:line="17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Based on the reviews and discussions described above, the Audit Committee recommended to the Board of Directors that the audited consolidated financial statements be included in our Annual Report on Form 10-K for the year ended December 31, 2022 for filing with the SEC.</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Marla Gottschalk, Chair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Richard Noll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Ann Ziegler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4F81B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1260"/>
        <w:spacing w:after="0" w:line="283" w:lineRule="auto"/>
        <w:rPr>
          <w:sz w:val="20"/>
          <w:szCs w:val="20"/>
          <w:color w:val="auto"/>
        </w:rPr>
      </w:pPr>
      <w:r>
        <w:rPr>
          <w:rFonts w:ascii="Arial" w:cs="Arial" w:eastAsia="Arial" w:hAnsi="Arial"/>
          <w:sz w:val="36"/>
          <w:szCs w:val="36"/>
          <w:b w:val="1"/>
          <w:bCs w:val="1"/>
          <w:color w:val="1F497D"/>
        </w:rPr>
        <w:t>PROPOSAL 3: ADVISORY VOTE TO APPROVE THE COMPENSATION OF THE NAMED EXECUTIVE OFFICERS</w:t>
      </w:r>
    </w:p>
    <w:p>
      <w:pPr>
        <w:spacing w:after="0" w:line="1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providing our stockholders the opportunity to cast an advisory (non-binding) vote to approve the compensation of our named executive officers as disclosed in this Proxy Statement. Consistent with the preference expressed by our stockholders at the 2021 annual meeting of stockholders, we are conducting say-on-pay votes on an annual basis.</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As described in the Compensation Discussion and Analysis (“CD&amp;A”), we have designed the compensation arrangements for our named executive officers to provide compensation in overall amounts and in forms that attract and retain talented and experienced individuals and motivate our executive officers to achieve the goals that are important to our growth. </w:t>
      </w:r>
      <w:r>
        <w:rPr>
          <w:rFonts w:ascii="Arial" w:cs="Arial" w:eastAsia="Arial" w:hAnsi="Arial"/>
          <w:sz w:val="18"/>
          <w:szCs w:val="18"/>
          <w:color w:val="262626"/>
        </w:rPr>
        <w:t>Our Board and CNG Committee believe that our executive compensation program is tied to</w:t>
      </w:r>
      <w:r>
        <w:rPr>
          <w:rFonts w:ascii="Arial" w:cs="Arial" w:eastAsia="Arial" w:hAnsi="Arial"/>
          <w:sz w:val="18"/>
          <w:szCs w:val="18"/>
          <w:color w:val="auto"/>
        </w:rPr>
        <w:t xml:space="preserve"> </w:t>
      </w:r>
      <w:r>
        <w:rPr>
          <w:rFonts w:ascii="Arial" w:cs="Arial" w:eastAsia="Arial" w:hAnsi="Arial"/>
          <w:sz w:val="18"/>
          <w:szCs w:val="18"/>
          <w:color w:val="262626"/>
        </w:rPr>
        <w:t>performance, aligns with shareholder interests and merits stockholder support. Accordingly, the Board recommends that stockholders vote in favor of the following resolution:</w:t>
      </w:r>
    </w:p>
    <w:p>
      <w:pPr>
        <w:spacing w:after="0" w:line="188"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“RESOLVED, that the stockholders approve, on an advisory basis, the compensation of the Company’s named executive officers, as disclosed in the Compensation Discussion and Analysis, the compensation tables, and the narrative discussion contained in this Proxy Statement.”</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your vote is advisory, it will not be binding on the Board of Directors or the CNG Committee. However, the Board of Directors and the CNG Committee will carefully review the voting results. To the extent there is any significant negative vote on this proposal, we may consult directly with stockholders to better understand the concerns that influenced the vote.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Recommendation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The Board of Directors recommends that stockholders vote FOR the approval of the compensation of our named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4F81B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36"/>
          <w:szCs w:val="36"/>
          <w:b w:val="1"/>
          <w:bCs w:val="1"/>
          <w:color w:val="1F497D"/>
        </w:rPr>
        <w:t>EXECUTIVE COMPENSATION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provides information about our executive officers, as of March 14, 2023.</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80" w:type="dxa"/>
            <w:vAlign w:val="bottom"/>
            <w:gridSpan w:val="2"/>
          </w:tcPr>
          <w:p>
            <w:pPr>
              <w:ind w:left="20"/>
              <w:spacing w:after="0"/>
              <w:rPr>
                <w:sz w:val="20"/>
                <w:szCs w:val="20"/>
                <w:color w:val="auto"/>
              </w:rPr>
            </w:pPr>
            <w:r>
              <w:rPr>
                <w:rFonts w:ascii="Arial" w:cs="Arial" w:eastAsia="Arial" w:hAnsi="Arial"/>
                <w:sz w:val="18"/>
                <w:szCs w:val="18"/>
                <w:b w:val="1"/>
                <w:bCs w:val="1"/>
                <w:color w:val="auto"/>
              </w:rPr>
              <w:t>Name</w:t>
            </w:r>
          </w:p>
        </w:tc>
        <w:tc>
          <w:tcPr>
            <w:tcW w:w="2320" w:type="dxa"/>
            <w:vAlign w:val="bottom"/>
            <w:gridSpan w:val="2"/>
          </w:tcPr>
          <w:p>
            <w:pPr>
              <w:ind w:left="820"/>
              <w:spacing w:after="0"/>
              <w:rPr>
                <w:sz w:val="20"/>
                <w:szCs w:val="20"/>
                <w:color w:val="auto"/>
              </w:rPr>
            </w:pPr>
            <w:r>
              <w:rPr>
                <w:rFonts w:ascii="Arial" w:cs="Arial" w:eastAsia="Arial" w:hAnsi="Arial"/>
                <w:sz w:val="18"/>
                <w:szCs w:val="18"/>
                <w:b w:val="1"/>
                <w:bCs w:val="1"/>
                <w:color w:val="auto"/>
              </w:rPr>
              <w:t>Age</w:t>
            </w:r>
          </w:p>
        </w:tc>
        <w:tc>
          <w:tcPr>
            <w:tcW w:w="4840" w:type="dxa"/>
            <w:vAlign w:val="bottom"/>
          </w:tcPr>
          <w:p>
            <w:pPr>
              <w:ind w:left="2100"/>
              <w:spacing w:after="0"/>
              <w:rPr>
                <w:sz w:val="20"/>
                <w:szCs w:val="20"/>
                <w:color w:val="auto"/>
              </w:rPr>
            </w:pPr>
            <w:r>
              <w:rPr>
                <w:rFonts w:ascii="Arial" w:cs="Arial" w:eastAsia="Arial" w:hAnsi="Arial"/>
                <w:sz w:val="18"/>
                <w:szCs w:val="18"/>
                <w:b w:val="1"/>
                <w:bCs w:val="1"/>
                <w:color w:val="auto"/>
              </w:rPr>
              <w:t>Position</w:t>
            </w:r>
          </w:p>
        </w:tc>
      </w:tr>
      <w:tr>
        <w:trPr>
          <w:trHeight w:val="223"/>
        </w:trPr>
        <w:tc>
          <w:tcPr>
            <w:tcW w:w="3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Lance Mitchell</w:t>
            </w:r>
          </w:p>
        </w:tc>
        <w:tc>
          <w:tcPr>
            <w:tcW w:w="220" w:type="dxa"/>
            <w:vAlign w:val="bottom"/>
            <w:tcBorders>
              <w:top w:val="single" w:sz="8" w:color="CCEEFF"/>
            </w:tcBorders>
            <w:shd w:val="clear" w:color="auto" w:fill="CCEEFF"/>
          </w:tcPr>
          <w:p>
            <w:pPr>
              <w:spacing w:after="0"/>
              <w:rPr>
                <w:sz w:val="19"/>
                <w:szCs w:val="19"/>
                <w:color w:val="auto"/>
              </w:rPr>
            </w:pP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380" w:type="dxa"/>
            <w:vAlign w:val="bottom"/>
            <w:tcBorders>
              <w:top w:val="single" w:sz="8" w:color="CCEEFF"/>
            </w:tcBorders>
            <w:shd w:val="clear" w:color="auto" w:fill="CCEEFF"/>
          </w:tcPr>
          <w:p>
            <w:pPr>
              <w:spacing w:after="0"/>
              <w:rPr>
                <w:sz w:val="19"/>
                <w:szCs w:val="19"/>
                <w:color w:val="auto"/>
              </w:rPr>
            </w:pPr>
          </w:p>
        </w:tc>
        <w:tc>
          <w:tcPr>
            <w:tcW w:w="48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4080" w:type="dxa"/>
            <w:vAlign w:val="bottom"/>
            <w:gridSpan w:val="2"/>
          </w:tcPr>
          <w:p>
            <w:pPr>
              <w:ind w:left="20"/>
              <w:spacing w:after="0"/>
              <w:rPr>
                <w:sz w:val="20"/>
                <w:szCs w:val="20"/>
                <w:color w:val="auto"/>
              </w:rPr>
            </w:pPr>
            <w:r>
              <w:rPr>
                <w:rFonts w:ascii="Arial" w:cs="Arial" w:eastAsia="Arial" w:hAnsi="Arial"/>
                <w:sz w:val="18"/>
                <w:szCs w:val="18"/>
                <w:color w:val="auto"/>
              </w:rPr>
              <w:t>Michael Graham</w:t>
            </w:r>
          </w:p>
        </w:tc>
        <w:tc>
          <w:tcPr>
            <w:tcW w:w="1940" w:type="dxa"/>
            <w:vAlign w:val="bottom"/>
          </w:tcPr>
          <w:p>
            <w:pPr>
              <w:jc w:val="right"/>
              <w:spacing w:after="0"/>
              <w:rPr>
                <w:sz w:val="20"/>
                <w:szCs w:val="20"/>
                <w:color w:val="auto"/>
              </w:rPr>
            </w:pPr>
            <w:r>
              <w:rPr>
                <w:rFonts w:ascii="Arial" w:cs="Arial" w:eastAsia="Arial" w:hAnsi="Arial"/>
                <w:sz w:val="18"/>
                <w:szCs w:val="18"/>
                <w:color w:val="auto"/>
              </w:rPr>
              <w:t>61</w:t>
            </w:r>
          </w:p>
        </w:tc>
        <w:tc>
          <w:tcPr>
            <w:tcW w:w="380" w:type="dxa"/>
            <w:vAlign w:val="bottom"/>
          </w:tcPr>
          <w:p>
            <w:pPr>
              <w:spacing w:after="0"/>
              <w:rPr>
                <w:sz w:val="19"/>
                <w:szCs w:val="19"/>
                <w:color w:val="auto"/>
              </w:rPr>
            </w:pPr>
          </w:p>
        </w:tc>
        <w:tc>
          <w:tcPr>
            <w:tcW w:w="484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29"/>
        </w:trPr>
        <w:tc>
          <w:tcPr>
            <w:tcW w:w="4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Rachel Bishop</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380" w:type="dxa"/>
            <w:vAlign w:val="bottom"/>
            <w:shd w:val="clear" w:color="auto" w:fill="CCEEFF"/>
          </w:tcPr>
          <w:p>
            <w:pPr>
              <w:spacing w:after="0"/>
              <w:rPr>
                <w:sz w:val="19"/>
                <w:szCs w:val="19"/>
                <w:color w:val="auto"/>
              </w:rPr>
            </w:pPr>
          </w:p>
        </w:tc>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President, Hefty Tableware</w:t>
            </w:r>
          </w:p>
        </w:tc>
      </w:tr>
      <w:tr>
        <w:trPr>
          <w:trHeight w:val="230"/>
        </w:trPr>
        <w:tc>
          <w:tcPr>
            <w:tcW w:w="4080" w:type="dxa"/>
            <w:vAlign w:val="bottom"/>
            <w:gridSpan w:val="2"/>
          </w:tcPr>
          <w:p>
            <w:pPr>
              <w:ind w:left="20"/>
              <w:spacing w:after="0"/>
              <w:rPr>
                <w:sz w:val="20"/>
                <w:szCs w:val="20"/>
                <w:color w:val="auto"/>
              </w:rPr>
            </w:pPr>
            <w:r>
              <w:rPr>
                <w:rFonts w:ascii="Arial" w:cs="Arial" w:eastAsia="Arial" w:hAnsi="Arial"/>
                <w:sz w:val="18"/>
                <w:szCs w:val="18"/>
                <w:color w:val="auto"/>
              </w:rPr>
              <w:t>Judith Buckner</w:t>
            </w:r>
          </w:p>
        </w:tc>
        <w:tc>
          <w:tcPr>
            <w:tcW w:w="1940" w:type="dxa"/>
            <w:vAlign w:val="bottom"/>
          </w:tcPr>
          <w:p>
            <w:pPr>
              <w:jc w:val="right"/>
              <w:spacing w:after="0"/>
              <w:rPr>
                <w:sz w:val="20"/>
                <w:szCs w:val="20"/>
                <w:color w:val="auto"/>
              </w:rPr>
            </w:pPr>
            <w:r>
              <w:rPr>
                <w:rFonts w:ascii="Arial" w:cs="Arial" w:eastAsia="Arial" w:hAnsi="Arial"/>
                <w:sz w:val="18"/>
                <w:szCs w:val="18"/>
                <w:color w:val="auto"/>
              </w:rPr>
              <w:t>54</w:t>
            </w:r>
          </w:p>
        </w:tc>
        <w:tc>
          <w:tcPr>
            <w:tcW w:w="380" w:type="dxa"/>
            <w:vAlign w:val="bottom"/>
          </w:tcPr>
          <w:p>
            <w:pPr>
              <w:spacing w:after="0"/>
              <w:rPr>
                <w:sz w:val="19"/>
                <w:szCs w:val="19"/>
                <w:color w:val="auto"/>
              </w:rPr>
            </w:pPr>
          </w:p>
        </w:tc>
        <w:tc>
          <w:tcPr>
            <w:tcW w:w="4840" w:type="dxa"/>
            <w:vAlign w:val="bottom"/>
          </w:tcPr>
          <w:p>
            <w:pPr>
              <w:ind w:left="20"/>
              <w:spacing w:after="0"/>
              <w:rPr>
                <w:sz w:val="20"/>
                <w:szCs w:val="20"/>
                <w:color w:val="auto"/>
              </w:rPr>
            </w:pPr>
            <w:r>
              <w:rPr>
                <w:rFonts w:ascii="Arial" w:cs="Arial" w:eastAsia="Arial" w:hAnsi="Arial"/>
                <w:sz w:val="18"/>
                <w:szCs w:val="18"/>
                <w:color w:val="auto"/>
              </w:rPr>
              <w:t>President, Reynolds Cooking &amp; Baking</w:t>
            </w:r>
          </w:p>
        </w:tc>
      </w:tr>
      <w:tr>
        <w:trPr>
          <w:trHeight w:val="229"/>
        </w:trPr>
        <w:tc>
          <w:tcPr>
            <w:tcW w:w="4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Lisa Smith</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380" w:type="dxa"/>
            <w:vAlign w:val="bottom"/>
            <w:shd w:val="clear" w:color="auto" w:fill="CCEEFF"/>
          </w:tcPr>
          <w:p>
            <w:pPr>
              <w:spacing w:after="0"/>
              <w:rPr>
                <w:sz w:val="19"/>
                <w:szCs w:val="19"/>
                <w:color w:val="auto"/>
              </w:rPr>
            </w:pPr>
          </w:p>
        </w:tc>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President, Hefty Waste and Storage</w:t>
            </w:r>
          </w:p>
        </w:tc>
      </w:tr>
      <w:tr>
        <w:trPr>
          <w:trHeight w:val="229"/>
        </w:trPr>
        <w:tc>
          <w:tcPr>
            <w:tcW w:w="4080" w:type="dxa"/>
            <w:vAlign w:val="bottom"/>
            <w:gridSpan w:val="2"/>
          </w:tcPr>
          <w:p>
            <w:pPr>
              <w:ind w:left="20"/>
              <w:spacing w:after="0"/>
              <w:rPr>
                <w:sz w:val="20"/>
                <w:szCs w:val="20"/>
                <w:color w:val="auto"/>
              </w:rPr>
            </w:pPr>
            <w:r>
              <w:rPr>
                <w:rFonts w:ascii="Arial" w:cs="Arial" w:eastAsia="Arial" w:hAnsi="Arial"/>
                <w:sz w:val="18"/>
                <w:szCs w:val="18"/>
                <w:color w:val="auto"/>
              </w:rPr>
              <w:t>Christopher Corey</w:t>
            </w:r>
          </w:p>
        </w:tc>
        <w:tc>
          <w:tcPr>
            <w:tcW w:w="1940" w:type="dxa"/>
            <w:vAlign w:val="bottom"/>
          </w:tcPr>
          <w:p>
            <w:pPr>
              <w:jc w:val="right"/>
              <w:spacing w:after="0"/>
              <w:rPr>
                <w:sz w:val="20"/>
                <w:szCs w:val="20"/>
                <w:color w:val="auto"/>
              </w:rPr>
            </w:pPr>
            <w:r>
              <w:rPr>
                <w:rFonts w:ascii="Arial" w:cs="Arial" w:eastAsia="Arial" w:hAnsi="Arial"/>
                <w:sz w:val="18"/>
                <w:szCs w:val="18"/>
                <w:color w:val="auto"/>
              </w:rPr>
              <w:t>45</w:t>
            </w:r>
          </w:p>
        </w:tc>
        <w:tc>
          <w:tcPr>
            <w:tcW w:w="380" w:type="dxa"/>
            <w:vAlign w:val="bottom"/>
          </w:tcPr>
          <w:p>
            <w:pPr>
              <w:spacing w:after="0"/>
              <w:rPr>
                <w:sz w:val="19"/>
                <w:szCs w:val="19"/>
                <w:color w:val="auto"/>
              </w:rPr>
            </w:pPr>
          </w:p>
        </w:tc>
        <w:tc>
          <w:tcPr>
            <w:tcW w:w="4840" w:type="dxa"/>
            <w:vAlign w:val="bottom"/>
          </w:tcPr>
          <w:p>
            <w:pPr>
              <w:ind w:left="20"/>
              <w:spacing w:after="0"/>
              <w:rPr>
                <w:sz w:val="20"/>
                <w:szCs w:val="20"/>
                <w:color w:val="auto"/>
              </w:rPr>
            </w:pPr>
            <w:r>
              <w:rPr>
                <w:rFonts w:ascii="Arial" w:cs="Arial" w:eastAsia="Arial" w:hAnsi="Arial"/>
                <w:sz w:val="18"/>
                <w:szCs w:val="18"/>
                <w:color w:val="auto"/>
              </w:rPr>
              <w:t>President, Presto Products</w:t>
            </w:r>
          </w:p>
        </w:tc>
      </w:tr>
      <w:tr>
        <w:trPr>
          <w:trHeight w:val="230"/>
        </w:trPr>
        <w:tc>
          <w:tcPr>
            <w:tcW w:w="4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Stephan Pace</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380" w:type="dxa"/>
            <w:vAlign w:val="bottom"/>
            <w:shd w:val="clear" w:color="auto" w:fill="CCEEFF"/>
          </w:tcPr>
          <w:p>
            <w:pPr>
              <w:spacing w:after="0"/>
              <w:rPr>
                <w:sz w:val="19"/>
                <w:szCs w:val="19"/>
                <w:color w:val="auto"/>
              </w:rPr>
            </w:pPr>
          </w:p>
        </w:tc>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President, Sales and Chief Customer Officer</w:t>
            </w:r>
          </w:p>
        </w:tc>
      </w:tr>
      <w:tr>
        <w:trPr>
          <w:trHeight w:val="229"/>
        </w:trPr>
        <w:tc>
          <w:tcPr>
            <w:tcW w:w="4080" w:type="dxa"/>
            <w:vAlign w:val="bottom"/>
            <w:gridSpan w:val="2"/>
          </w:tcPr>
          <w:p>
            <w:pPr>
              <w:ind w:left="20"/>
              <w:spacing w:after="0"/>
              <w:rPr>
                <w:sz w:val="20"/>
                <w:szCs w:val="20"/>
                <w:color w:val="auto"/>
              </w:rPr>
            </w:pPr>
            <w:r>
              <w:rPr>
                <w:rFonts w:ascii="Arial" w:cs="Arial" w:eastAsia="Arial" w:hAnsi="Arial"/>
                <w:sz w:val="18"/>
                <w:szCs w:val="18"/>
                <w:color w:val="auto"/>
              </w:rPr>
              <w:t>Chris Mayrhofer</w:t>
            </w:r>
          </w:p>
        </w:tc>
        <w:tc>
          <w:tcPr>
            <w:tcW w:w="1940" w:type="dxa"/>
            <w:vAlign w:val="bottom"/>
          </w:tcPr>
          <w:p>
            <w:pPr>
              <w:jc w:val="right"/>
              <w:spacing w:after="0"/>
              <w:rPr>
                <w:sz w:val="20"/>
                <w:szCs w:val="20"/>
                <w:color w:val="auto"/>
              </w:rPr>
            </w:pPr>
            <w:r>
              <w:rPr>
                <w:rFonts w:ascii="Arial" w:cs="Arial" w:eastAsia="Arial" w:hAnsi="Arial"/>
                <w:sz w:val="18"/>
                <w:szCs w:val="18"/>
                <w:color w:val="auto"/>
              </w:rPr>
              <w:t>48</w:t>
            </w:r>
          </w:p>
        </w:tc>
        <w:tc>
          <w:tcPr>
            <w:tcW w:w="380" w:type="dxa"/>
            <w:vAlign w:val="bottom"/>
          </w:tcPr>
          <w:p>
            <w:pPr>
              <w:spacing w:after="0"/>
              <w:rPr>
                <w:sz w:val="19"/>
                <w:szCs w:val="19"/>
                <w:color w:val="auto"/>
              </w:rPr>
            </w:pPr>
          </w:p>
        </w:tc>
        <w:tc>
          <w:tcPr>
            <w:tcW w:w="4840" w:type="dxa"/>
            <w:vAlign w:val="bottom"/>
          </w:tcPr>
          <w:p>
            <w:pPr>
              <w:ind w:left="20"/>
              <w:spacing w:after="0"/>
              <w:rPr>
                <w:sz w:val="20"/>
                <w:szCs w:val="20"/>
                <w:color w:val="auto"/>
              </w:rPr>
            </w:pPr>
            <w:r>
              <w:rPr>
                <w:rFonts w:ascii="Arial" w:cs="Arial" w:eastAsia="Arial" w:hAnsi="Arial"/>
                <w:sz w:val="18"/>
                <w:szCs w:val="18"/>
                <w:color w:val="auto"/>
              </w:rPr>
              <w:t>Senior Vice President and Corporate Controller</w:t>
            </w:r>
          </w:p>
        </w:tc>
      </w:tr>
      <w:tr>
        <w:trPr>
          <w:trHeight w:val="229"/>
        </w:trPr>
        <w:tc>
          <w:tcPr>
            <w:tcW w:w="4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Steve Estes</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380" w:type="dxa"/>
            <w:vAlign w:val="bottom"/>
            <w:shd w:val="clear" w:color="auto" w:fill="CCEEFF"/>
          </w:tcPr>
          <w:p>
            <w:pPr>
              <w:spacing w:after="0"/>
              <w:rPr>
                <w:sz w:val="19"/>
                <w:szCs w:val="19"/>
                <w:color w:val="auto"/>
              </w:rPr>
            </w:pPr>
          </w:p>
        </w:tc>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Chief Administrative Officer</w:t>
            </w:r>
          </w:p>
        </w:tc>
      </w:tr>
      <w:tr>
        <w:trPr>
          <w:trHeight w:val="176"/>
        </w:trPr>
        <w:tc>
          <w:tcPr>
            <w:tcW w:w="408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Rita Fisher</w:t>
            </w:r>
          </w:p>
        </w:tc>
        <w:tc>
          <w:tcPr>
            <w:tcW w:w="1940" w:type="dxa"/>
            <w:vAlign w:val="bottom"/>
          </w:tcPr>
          <w:p>
            <w:pPr>
              <w:jc w:val="right"/>
              <w:spacing w:after="0" w:line="176" w:lineRule="exact"/>
              <w:rPr>
                <w:sz w:val="20"/>
                <w:szCs w:val="20"/>
                <w:color w:val="auto"/>
              </w:rPr>
            </w:pPr>
            <w:r>
              <w:rPr>
                <w:rFonts w:ascii="Arial" w:cs="Arial" w:eastAsia="Arial" w:hAnsi="Arial"/>
                <w:sz w:val="18"/>
                <w:szCs w:val="18"/>
                <w:color w:val="auto"/>
              </w:rPr>
              <w:t>53</w:t>
            </w:r>
          </w:p>
        </w:tc>
        <w:tc>
          <w:tcPr>
            <w:tcW w:w="380" w:type="dxa"/>
            <w:vAlign w:val="bottom"/>
          </w:tcPr>
          <w:p>
            <w:pPr>
              <w:spacing w:after="0"/>
              <w:rPr>
                <w:sz w:val="15"/>
                <w:szCs w:val="15"/>
                <w:color w:val="auto"/>
              </w:rPr>
            </w:pPr>
          </w:p>
        </w:tc>
        <w:tc>
          <w:tcPr>
            <w:tcW w:w="4840" w:type="dxa"/>
            <w:vAlign w:val="bottom"/>
          </w:tcPr>
          <w:p>
            <w:pPr>
              <w:ind w:left="20"/>
              <w:spacing w:after="0" w:line="176" w:lineRule="exact"/>
              <w:rPr>
                <w:sz w:val="20"/>
                <w:szCs w:val="20"/>
                <w:color w:val="auto"/>
              </w:rPr>
            </w:pPr>
            <w:r>
              <w:rPr>
                <w:rFonts w:ascii="Arial" w:cs="Arial" w:eastAsia="Arial" w:hAnsi="Arial"/>
                <w:sz w:val="18"/>
                <w:szCs w:val="18"/>
                <w:color w:val="auto"/>
                <w:w w:val="96"/>
              </w:rPr>
              <w:t>Chief Information Officer and Executive Vice President, Supply</w:t>
            </w:r>
          </w:p>
        </w:tc>
      </w:tr>
      <w:tr>
        <w:trPr>
          <w:trHeight w:val="237"/>
        </w:trPr>
        <w:tc>
          <w:tcPr>
            <w:tcW w:w="3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840" w:type="dxa"/>
            <w:vAlign w:val="bottom"/>
          </w:tcPr>
          <w:p>
            <w:pPr>
              <w:ind w:left="20"/>
              <w:spacing w:after="0"/>
              <w:rPr>
                <w:sz w:val="20"/>
                <w:szCs w:val="20"/>
                <w:color w:val="auto"/>
              </w:rPr>
            </w:pPr>
            <w:r>
              <w:rPr>
                <w:rFonts w:ascii="Arial" w:cs="Arial" w:eastAsia="Arial" w:hAnsi="Arial"/>
                <w:sz w:val="18"/>
                <w:szCs w:val="18"/>
                <w:color w:val="auto"/>
              </w:rPr>
              <w:t>Chain</w:t>
            </w:r>
          </w:p>
        </w:tc>
      </w:tr>
      <w:tr>
        <w:trPr>
          <w:trHeight w:val="236"/>
        </w:trPr>
        <w:tc>
          <w:tcPr>
            <w:tcW w:w="4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Michael McMahon</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380" w:type="dxa"/>
            <w:vAlign w:val="bottom"/>
            <w:shd w:val="clear" w:color="auto" w:fill="CCEEFF"/>
          </w:tcPr>
          <w:p>
            <w:pPr>
              <w:spacing w:after="0"/>
              <w:rPr>
                <w:sz w:val="20"/>
                <w:szCs w:val="20"/>
                <w:color w:val="auto"/>
              </w:rPr>
            </w:pPr>
          </w:p>
        </w:tc>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Vice President, Key Accounts Sales</w:t>
            </w:r>
          </w:p>
        </w:tc>
      </w:tr>
      <w:tr>
        <w:trPr>
          <w:trHeight w:val="229"/>
        </w:trPr>
        <w:tc>
          <w:tcPr>
            <w:tcW w:w="4080" w:type="dxa"/>
            <w:vAlign w:val="bottom"/>
            <w:gridSpan w:val="2"/>
          </w:tcPr>
          <w:p>
            <w:pPr>
              <w:ind w:left="20"/>
              <w:spacing w:after="0"/>
              <w:rPr>
                <w:sz w:val="20"/>
                <w:szCs w:val="20"/>
                <w:color w:val="auto"/>
              </w:rPr>
            </w:pPr>
            <w:r>
              <w:rPr>
                <w:rFonts w:ascii="Arial" w:cs="Arial" w:eastAsia="Arial" w:hAnsi="Arial"/>
                <w:sz w:val="18"/>
                <w:szCs w:val="18"/>
                <w:color w:val="auto"/>
              </w:rPr>
              <w:t>Valerie Miller</w:t>
            </w:r>
          </w:p>
        </w:tc>
        <w:tc>
          <w:tcPr>
            <w:tcW w:w="1940" w:type="dxa"/>
            <w:vAlign w:val="bottom"/>
          </w:tcPr>
          <w:p>
            <w:pPr>
              <w:jc w:val="right"/>
              <w:spacing w:after="0"/>
              <w:rPr>
                <w:sz w:val="20"/>
                <w:szCs w:val="20"/>
                <w:color w:val="auto"/>
              </w:rPr>
            </w:pPr>
            <w:r>
              <w:rPr>
                <w:rFonts w:ascii="Arial" w:cs="Arial" w:eastAsia="Arial" w:hAnsi="Arial"/>
                <w:sz w:val="18"/>
                <w:szCs w:val="18"/>
                <w:color w:val="auto"/>
              </w:rPr>
              <w:t>50</w:t>
            </w:r>
          </w:p>
        </w:tc>
        <w:tc>
          <w:tcPr>
            <w:tcW w:w="380" w:type="dxa"/>
            <w:vAlign w:val="bottom"/>
          </w:tcPr>
          <w:p>
            <w:pPr>
              <w:spacing w:after="0"/>
              <w:rPr>
                <w:sz w:val="19"/>
                <w:szCs w:val="19"/>
                <w:color w:val="auto"/>
              </w:rPr>
            </w:pPr>
          </w:p>
        </w:tc>
        <w:tc>
          <w:tcPr>
            <w:tcW w:w="4840" w:type="dxa"/>
            <w:vAlign w:val="bottom"/>
          </w:tcPr>
          <w:p>
            <w:pPr>
              <w:ind w:left="20"/>
              <w:spacing w:after="0"/>
              <w:rPr>
                <w:sz w:val="20"/>
                <w:szCs w:val="20"/>
                <w:color w:val="auto"/>
              </w:rPr>
            </w:pPr>
            <w:r>
              <w:rPr>
                <w:rFonts w:ascii="Arial" w:cs="Arial" w:eastAsia="Arial" w:hAnsi="Arial"/>
                <w:sz w:val="18"/>
                <w:szCs w:val="18"/>
                <w:color w:val="auto"/>
              </w:rPr>
              <w:t>Executive Vice President of Human Resources</w:t>
            </w:r>
          </w:p>
        </w:tc>
      </w:tr>
      <w:tr>
        <w:trPr>
          <w:trHeight w:val="230"/>
        </w:trPr>
        <w:tc>
          <w:tcPr>
            <w:tcW w:w="4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David Watson</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380" w:type="dxa"/>
            <w:vAlign w:val="bottom"/>
            <w:shd w:val="clear" w:color="auto" w:fill="CCEEFF"/>
          </w:tcPr>
          <w:p>
            <w:pPr>
              <w:spacing w:after="0"/>
              <w:rPr>
                <w:sz w:val="19"/>
                <w:szCs w:val="19"/>
                <w:color w:val="auto"/>
              </w:rPr>
            </w:pPr>
          </w:p>
        </w:tc>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Legal Counsel and Corporate Secretary</w:t>
            </w:r>
          </w:p>
        </w:tc>
      </w:tr>
      <w:tr>
        <w:trPr>
          <w:trHeight w:val="229"/>
        </w:trPr>
        <w:tc>
          <w:tcPr>
            <w:tcW w:w="4080" w:type="dxa"/>
            <w:vAlign w:val="bottom"/>
            <w:gridSpan w:val="2"/>
          </w:tcPr>
          <w:p>
            <w:pPr>
              <w:ind w:left="20"/>
              <w:spacing w:after="0"/>
              <w:rPr>
                <w:sz w:val="20"/>
                <w:szCs w:val="20"/>
                <w:color w:val="auto"/>
              </w:rPr>
            </w:pPr>
            <w:r>
              <w:rPr>
                <w:rFonts w:ascii="Arial" w:cs="Arial" w:eastAsia="Arial" w:hAnsi="Arial"/>
                <w:sz w:val="18"/>
                <w:szCs w:val="18"/>
                <w:color w:val="auto"/>
              </w:rPr>
              <w:t>Nathan Lowe</w:t>
            </w:r>
          </w:p>
        </w:tc>
        <w:tc>
          <w:tcPr>
            <w:tcW w:w="1940" w:type="dxa"/>
            <w:vAlign w:val="bottom"/>
          </w:tcPr>
          <w:p>
            <w:pPr>
              <w:jc w:val="right"/>
              <w:spacing w:after="0"/>
              <w:rPr>
                <w:sz w:val="20"/>
                <w:szCs w:val="20"/>
                <w:color w:val="auto"/>
              </w:rPr>
            </w:pPr>
            <w:r>
              <w:rPr>
                <w:rFonts w:ascii="Arial" w:cs="Arial" w:eastAsia="Arial" w:hAnsi="Arial"/>
                <w:sz w:val="18"/>
                <w:szCs w:val="18"/>
                <w:color w:val="auto"/>
              </w:rPr>
              <w:t>43</w:t>
            </w:r>
          </w:p>
        </w:tc>
        <w:tc>
          <w:tcPr>
            <w:tcW w:w="380" w:type="dxa"/>
            <w:vAlign w:val="bottom"/>
          </w:tcPr>
          <w:p>
            <w:pPr>
              <w:spacing w:after="0"/>
              <w:rPr>
                <w:sz w:val="19"/>
                <w:szCs w:val="19"/>
                <w:color w:val="auto"/>
              </w:rPr>
            </w:pPr>
          </w:p>
        </w:tc>
        <w:tc>
          <w:tcPr>
            <w:tcW w:w="4840" w:type="dxa"/>
            <w:vAlign w:val="bottom"/>
          </w:tcPr>
          <w:p>
            <w:pPr>
              <w:ind w:left="20"/>
              <w:spacing w:after="0"/>
              <w:rPr>
                <w:sz w:val="20"/>
                <w:szCs w:val="20"/>
                <w:color w:val="auto"/>
              </w:rPr>
            </w:pPr>
            <w:r>
              <w:rPr>
                <w:rFonts w:ascii="Arial" w:cs="Arial" w:eastAsia="Arial" w:hAnsi="Arial"/>
                <w:sz w:val="18"/>
                <w:szCs w:val="18"/>
                <w:color w:val="auto"/>
              </w:rPr>
              <w:t>Vice President, Financial Planning &amp; Analysis</w:t>
            </w:r>
          </w:p>
        </w:tc>
      </w:tr>
      <w:tr>
        <w:trPr>
          <w:trHeight w:val="230"/>
        </w:trPr>
        <w:tc>
          <w:tcPr>
            <w:tcW w:w="4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Mark Swartzberg</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380" w:type="dxa"/>
            <w:vAlign w:val="bottom"/>
            <w:shd w:val="clear" w:color="auto" w:fill="CCEEFF"/>
          </w:tcPr>
          <w:p>
            <w:pPr>
              <w:spacing w:after="0"/>
              <w:rPr>
                <w:sz w:val="19"/>
                <w:szCs w:val="19"/>
                <w:color w:val="auto"/>
              </w:rPr>
            </w:pPr>
          </w:p>
        </w:tc>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Vice President, Investor Relations</w:t>
            </w: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Lance Mitchell</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Mr. Mitchell has served as the Company’s President and Chief Executive Officer since 2011 and as a member of the Company’s Board of Directors since October 2019. From 2005 to 2011, Mr. Mitchell served as President of Closure Systems International (part of PEI Group from 2008 to 2019). Mr. Mitchell commenced his career in sales and marketing at Owens Corning, progressed to General Management positions at Avery Dennison and Goodrich followed by executive management positions at PolyOne and Alcoa before joining PEI Group in 2008. Mr. Mitchell received a B.S. in Business from Bowling Green State University.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Michael Graham</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Mr. Graham has served as the Company’s Chief Financial Officer since 2016. Mr. Graham joined the Company after serving as the CFO of Graham Packaging (part of PEI Group) from 2011 to 2016. Prior to joining Graham Packaging, Mr. Graham led and managed several merger and integration activities for PEI and served as CFO of Reynolds Packaging from 2008 to 2010, collaboratively leading the integration of Reynolds Packaging into PEI Group. Mr. Graham served as Group Controller and CFO of Alcoa’s Flat Rolled &amp; Extruded Aluminum Group from 2004 to 2007. From 1986 to 2003, Mr. Graham served in a variety of management positions at Honeywell International Inc. and AlliedSignal, Avaya Communications and General Mills, Inc. Mr. Graham received a B.A. in Finance from Howard University.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4F81B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Rachel Bishop</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Ms. Bishop has served as the Company’s President of Hefty Tableware since 2019. Prior to joining the Company, she served as Chief Strategy Officer and President, Snacks at TreeHouse Foods, Inc. Ms. Bishop was previously Group Vice President of Retail Strategy at The Walgreen Company and began her business career at McKinsey &amp; Company, where she worked with consumer businesses on a broad range of sales, marketing, and operational topics. Ms. Bishop has served as a board member of Sally Beauty Holdings since 2022. Ms. Bishop earned B.S. degrees in Materials Science and Engineering and in Geophysics from Brown University and a Ph.D. in Materials Science and Engineering with a minor in Technology Management from Northwestern University.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Judith Buckner</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Ms. Buckner has served as the Company’s President of Reynolds Cooking &amp; Baking since November 2022. She previously served as the Company’s President of Presto Products from 2019 to November 2022 and Senior Vice President, Business Transformation of the Company from 2017 to 2019. Ms. Buckner first joined the Company in 2000 as an Engineering Manager and has held various other leadership roles including Director of Manufacturing, Plant Manager, Director of Engineering and New Product Development and Vice President of Operations and Engineering. Her prior experience includes various engineering and leadership roles in product development and operations at Hoechst-Celanese/Invista from 1991 to 2000. Ms. Buckner earned a B.S. in Chemical Engineering from Purdue University.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Lisa Smith</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Ms. Smith has served as the Company’s President of the Hefty Waste &amp; Storage business since 2020. She previously served as Senior Vice President of Marketing for the Reynolds Cooking &amp; Baking business since 2018, and prior to that was Vice President of Marketing for the Hefty Waste &amp; Storage business from 2015 to 2018. Ms. Smith first joined the Company in 2009. Her prior experience includes holding marketing, sales and category management roles at CPG organizations including Mars, Sara Lee and Sunstar/GUM. Ms. Smith earned a B.S. in Marketing from the University of Illinois and an MBA from the J.L. Kellogg Graduate School of Management at Northwestern University.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Christopher Corey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Mr. Corey has served as the Company’s President of Presto Products since November 2022. He previously served as Senior Vice President, International and Canada of the Company from 2019, when he joined the Company, until November 2022. His prior experience in CPG leadership includes roles at Kraft Heinz, Boehringer Ingelheim, Consumer Healthcare, and Johnson &amp; Johnson. Mr. Corey earned a Bachelor’s in Finance from the University of New Mexico and an MBA in marketing from the Thunderbird School of Global Management.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Stephan Pace</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Mr. Pace has served as the Company’s President, Sales and Chief Customer Officer since 2020. Prior to this role, he served as the Company’s President of Walmart/Sam’s and eCommerce since 2015 and the Company’s Chief Customer Officer and Senior Vice President of Sales beginning in 2010. He served as Vice President of Sales for Pactiv’s Consumer Products Division prior to PEI’s acquisition of Pactiv in 2010. Mr. Pace joined Pactiv in 2001 and held several senior management positions. Prior to joining Pactiv, he served in a variety of sales and marketing roles at Unilever plc and Procter &amp; Gamble Company. Mr. Pace received a B.A. in Economics from Wesleyan University.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4F81B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Chris Mayrhofer</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Mr. Mayrhofer has served as the Company’s Senior Vice President and Corporate Controller since January 1, 2021 and as the Principal Accounting Officer since April 22, 2020. He previously served as Vice President and Controller for the Company from July 15, 2019 to January 1, 2021. Prior to joining the Company, Mr. Mayrhofer served as Vice President and Corporate Controller of Evergreen Packaging from 2017 to July 2019, Vice President and Corporate Controller of Graham Packaging from 2012 to 2017 and, prior to that, held various financial positions with PEI Group from 2009 to 2012, Performance Food Group Company from 2005 to 2009 and Ernst &amp; Young LLP. He holds a Bachelor’s of Business Administration in Accounting from the University of Richmond and is a Certified Public Accountant.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Steve Estes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Mr. Estes joined the Company in January 2021 as its first Chief Administrative Officer, leading Business Transformation, EHS, HR, Legal, and Procurement. He has 20 years of experience with Rank-owned companies, including his most recent role from 2015 as Chief Human Resources Officer, Rank Group. He previously served as Vice President Human Resources, Rank Group, promoted from his role as, Vice President of HR, Evergreen Packaging. He also served in HR and safety roles at International Paper, Mattel Inc., and Bruce Hardwood Floors. Mr. Estes earned a Bachelor’s of Business Administration in HR Management from Freed-Hardeman University and an MBA from Georgia Southern University.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Rita Fisher</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Ms. Fisher has served as the Company’s Chief Information Officer and Executive Vice President, Supply Chain since August 2017. Prior to joining the Company, Ms. Fisher served as Vice President and Head of Global Business Services for Kraft Heinz. During her 22 years at Kraft Heinz, she held many global and regional roles in Information Technology and Supply Chain, including Head of Global IT and Senior Director Supply Chain Transformation. She started her career at People’s Gas Company as a Senior Business Analyst. Ms. Fisher earned her BS in Mathematics and Computer Science from the University of Illinois at Chicago and an MBA from DePaul University.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Michael McMahon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Mr. McMahon has served as Senior Vice President, Key Accounts Sales since April 2015. Prior to that he served as VP of the Non Foods/Club Channel from November 2012 to March 2015. He joined Pactiv in 2006 as Director Category Management, and moved to the Company following PEI Group’s 2010 acquisition of Pactiv. Prior to that he had twenty years of sales experience at Kraft Foods, in roles including Senior Director of Category Planning. Mr. McMahon earned a B.A. in Marketing and Management from Olivet College, Michigan.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Valerie Miller</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Ms. Miller has served as the Executive Vice President of Human Resources since January 2021 and as Vice President of Human Resources since October 2019. Prior to that, she served as the Senior Director of Human Resources from April 2017 to September 2019, and in various other HR roles with the Company since 2012. Before that, she held various Human Resource leadership positions with Graham Packaging. Ms. Miller earned her B.A. in Business Administration from Carthage College and an MBA from University Wisconsin at Milwaukee.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David Watson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Mr. Watson has served as Legal Counsel of the Company since February 2015, and as Corporate Secretary since January 31, 2020. Prior to that, he served as General Counsel and in various other legal roles with the Company since July 2009. Prior to that, he held chief legal officer positions with several public and private companies. Mr. Watson earned a B.S. in Business Administration from the University of Illinois and a J.D. from University of Illinois College of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4F81B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Nathan Lowe</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Mr. Lowe has served as the Company’s Vice President of Financial Planning &amp; Analysis since January 2021. Prior to that, he served as the Senior Director of Financial Planning &amp; Analysis from January 2019 to December 2020. Mr. Lowe joined the Company after serving as Assistant Corporate Controller and Treasurer of GEC Packaging Technologies (part of PEI Group) from 2016 to 2018, and Financial Controller of Americold Logistics LLC’s international business from 2015 to 2016. From 2006 to 2015, Mr. Lowe was at KPMG both in Australia and USA, where he worked primarily with consumer and industrial businesses providing a range of audit and advisory services. He holds a Bachelor’s of Commerce and Accounting and Bachelors of Applied Finance from Macquarie University and is a Chartered Accountant.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 Swartzberg</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Mr. Swartzberg has served as Vice President of Investor Relations since April 2020. Prior to joining the Company, Mr. Swartzberg served as Vice President of Investor Relations of Molson Coors from 2018 to 2020, and prior to that held various securities analyst positions with Stifel Nicolaus from 2002 to 2018, ABN AMRO Bank N.V. from 2000 to 2002, and Smith Barney from 1998 to 2000. Mr. Swartzberg earned a B.A. in History and Political Science from Duke University and an MBA from Harvard Business School.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Introduction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CD&amp;A describes our compensation approach and programs for our named executive officers (“NEOs”), which consist of the following persons for 2022:</w:t>
      </w:r>
    </w:p>
    <w:p>
      <w:pPr>
        <w:spacing w:after="0" w:line="170"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Lance Mitchell, President and Chief Executive Officer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Michael Graham, Chief Financial Officer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Rachel Bishop, President, Hefty Tableware</w:t>
      </w:r>
    </w:p>
    <w:p>
      <w:pPr>
        <w:spacing w:after="0" w:line="225" w:lineRule="exact"/>
        <w:rPr>
          <w:rFonts w:ascii="Arial" w:cs="Arial" w:eastAsia="Arial" w:hAnsi="Arial"/>
          <w:sz w:val="18"/>
          <w:szCs w:val="18"/>
          <w:color w:val="auto"/>
        </w:rPr>
      </w:pPr>
    </w:p>
    <w:p>
      <w:pPr>
        <w:ind w:left="660" w:right="80" w:hanging="328"/>
        <w:spacing w:after="0" w:line="27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Judith Buckner, who served as President, Presto Products until November 2, 2022 and has served as President, Reynolds Cooking &amp; Baking since November 2, 2022</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Lisa Smith, President, Hefty Waste and Storage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Craig Cappel, who served as President, Reynolds Cooking &amp; Baking until November 2, 2022</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previously disclosed, effective November 2, 2022, the employment of Craig Cappel, former President, Reynolds Cooking &amp; Baking, was terminated. In connection with his termination, Mr. Cappel is receiving severance payments of $525,000 (his annual base salary rate at the time of his termination) and COBRA premium assistance of $13,441 over the 52-week period following his termination, and he received accrued but unpaid vacation of $28,269 at the time of his termination. In addition, the CNG Committee agreed that 12,125 RSUs held by Mr. Cappel scheduled to vest in early 2023 would not be forfeited upon his termination, and instead would vest and be settled as soon as administratively possible (which occurred on February 1, 2023). The remainder of Mr. Cappel’s equity awards were forfeited upon his termination. Mr. Cappel was also eligible to receive a payout of his 2022 AIP based on his eligible earnings, which resulted in a payout of $203,333.</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discussion relates to the compensation of our NEOs whose compensation is disclosed below, as well as the overall principles underlying our executive compensation policies. Except as otherwise indicated, the information in this section relates to the compensation of our NEOs, and the principles underlying our executive compensation policies, during and for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4F81B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Compensation Objectives and Philosophy</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compensation objectives include attracting and retaining top talent, motivating and rewarding the performance of senior executives in support of achievement of strategic, financial and operating performance objectives and ensuring that our total compensation packages are competitive in comparison to those offered by our peers. Our NEOs, as well as our employees generally, participate in compensation and benefits plans and programs that are intended to align our compensation programs with our business objectives, promote good corporate governance and seek to achieve our compensation objectives.</w:t>
      </w:r>
    </w:p>
    <w:p>
      <w:pPr>
        <w:spacing w:after="0" w:line="15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To ensure that management’s interests are aligned with those of our stockholders and to motivate and reward individual initiative and effort, our executive compensation program emphasizes a pay-for-performance compensation philosophy so that attainment of enterprise-wide, business unit and individual performance goals are rewarded. Through the use of performance-based plans that emphasize attainment of enterprise-wide and/or business unit goals, we seek to foster teamwork and commitment to performance. Further, the use of components such as equity ownership and long-term equity-based incentive compensation programs is important to ensure that the efforts of management are consistent with the objectives of our stockholders.</w:t>
      </w:r>
    </w:p>
    <w:p>
      <w:pPr>
        <w:spacing w:after="0" w:line="16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CNG Committee also values the opinions of our stockholders, and it reviews and considers the outcome of our annual vote on executive compensation, also known as the “say-on-pay” vote, along with other relevant factors, in evaluating the compensation program for the NEOs. </w:t>
      </w:r>
      <w:r>
        <w:rPr>
          <w:rFonts w:ascii="Arial" w:cs="Arial" w:eastAsia="Arial" w:hAnsi="Arial"/>
          <w:sz w:val="18"/>
          <w:szCs w:val="18"/>
          <w:color w:val="262626"/>
        </w:rPr>
        <w:t>At our</w:t>
      </w:r>
      <w:r>
        <w:rPr>
          <w:rFonts w:ascii="Arial" w:cs="Arial" w:eastAsia="Arial" w:hAnsi="Arial"/>
          <w:sz w:val="18"/>
          <w:szCs w:val="18"/>
          <w:color w:val="auto"/>
        </w:rPr>
        <w:t xml:space="preserve"> 2022 </w:t>
      </w:r>
      <w:r>
        <w:rPr>
          <w:rFonts w:ascii="Arial" w:cs="Arial" w:eastAsia="Arial" w:hAnsi="Arial"/>
          <w:sz w:val="18"/>
          <w:szCs w:val="18"/>
          <w:color w:val="262626"/>
        </w:rPr>
        <w:t>annual meeting,</w:t>
      </w:r>
      <w:r>
        <w:rPr>
          <w:rFonts w:ascii="Arial" w:cs="Arial" w:eastAsia="Arial" w:hAnsi="Arial"/>
          <w:sz w:val="18"/>
          <w:szCs w:val="18"/>
          <w:color w:val="auto"/>
        </w:rPr>
        <w:t xml:space="preserve"> </w:t>
      </w:r>
      <w:r>
        <w:rPr>
          <w:rFonts w:ascii="Arial" w:cs="Arial" w:eastAsia="Arial" w:hAnsi="Arial"/>
          <w:sz w:val="18"/>
          <w:szCs w:val="18"/>
          <w:color w:val="262626"/>
        </w:rPr>
        <w:t xml:space="preserve">stockholders showed strong support for our executive compensation program, with approximately 99% of votes cast approving our advisory say-on-pay proposal. The CNG Committee considered the strong level of stockholder support and made no material changes in our executive compensation program as a result of the </w:t>
      </w:r>
      <w:r>
        <w:rPr>
          <w:rFonts w:ascii="Arial" w:cs="Arial" w:eastAsia="Arial" w:hAnsi="Arial"/>
          <w:sz w:val="18"/>
          <w:szCs w:val="18"/>
          <w:color w:val="000000"/>
        </w:rPr>
        <w:t>2022</w:t>
      </w:r>
      <w:r>
        <w:rPr>
          <w:rFonts w:ascii="Arial" w:cs="Arial" w:eastAsia="Arial" w:hAnsi="Arial"/>
          <w:sz w:val="18"/>
          <w:szCs w:val="18"/>
          <w:color w:val="262626"/>
        </w:rPr>
        <w:t xml:space="preserve"> say-on-pay vote.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Assessment of Compensation Programs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CNG Committee, based on an evaluation by management, assisted by the Committee’s independent compensation consultant, does not believe that our compensation arrangements, including financial performance measures used to determine short-term and long-term incentive payout amounts, provide our employees with an incentive to engage in business activities or other behavior that would expose us or our stockholders to risks that are reasonably likely to have a material adverse effect on our company.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Compensation Process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Role of the Independent Compensation Consultant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CNG Committee has responsibility for determining our compensation philosophy, structuring our compensation and benefits programs and determining appropriate payments and awards to our executive officers, including our NEOs. The CNG Committee is also responsible for implementing, monitoring and evaluating our executive compensation philosophy and objectives and overseeing the compensation program for senior executives. The CNG Committee’s responsibilities and authority are described fully in its Charter. Our CNG Committee has engaged Pearl Meyer &amp; Partners, LLC (“Pearl Meyer”), an independent compensation consultant, to advise on compensation matters.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Pearl Meyer provided an analysis of base salary, annual incentive program (“AIP”) compensation and long-term incentive (“LTI”) compensation for senior executives, comparing them to executives at companies in our peer group (the “Benchmark Comparison Group”) and using compensation survey data for similarly sized organizations in our industry.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4F81B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Peer Group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Benchmark Comparison Group utilized as a benchmark for executive compensation matters for 2022 included:</w:t>
      </w:r>
    </w:p>
    <w:p>
      <w:pPr>
        <w:spacing w:after="0" w:line="306" w:lineRule="exact"/>
        <w:rPr>
          <w:sz w:val="20"/>
          <w:szCs w:val="20"/>
          <w:color w:val="auto"/>
        </w:rPr>
      </w:pPr>
    </w:p>
    <w:tbl>
      <w:tblPr>
        <w:tblLayout w:type="fixed"/>
        <w:tblInd w:w="540" w:type="dxa"/>
        <w:tblCellMar>
          <w:top w:w="0" w:type="dxa"/>
          <w:left w:w="0" w:type="dxa"/>
          <w:bottom w:w="0" w:type="dxa"/>
          <w:right w:w="0" w:type="dxa"/>
        </w:tblCellMar>
      </w:tblPr>
      <w:tr>
        <w:trPr>
          <w:trHeight w:val="230"/>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4060" w:type="dxa"/>
            <w:vAlign w:val="bottom"/>
          </w:tcPr>
          <w:p>
            <w:pPr>
              <w:ind w:left="100"/>
              <w:spacing w:after="0"/>
              <w:rPr>
                <w:sz w:val="20"/>
                <w:szCs w:val="20"/>
                <w:color w:val="auto"/>
              </w:rPr>
            </w:pPr>
            <w:r>
              <w:rPr>
                <w:rFonts w:ascii="Arial" w:cs="Arial" w:eastAsia="Arial" w:hAnsi="Arial"/>
                <w:sz w:val="18"/>
                <w:szCs w:val="18"/>
                <w:color w:val="auto"/>
              </w:rPr>
              <w:t>AptarGroup, Inc.</w:t>
            </w:r>
          </w:p>
        </w:tc>
        <w:tc>
          <w:tcPr>
            <w:tcW w:w="1620" w:type="dxa"/>
            <w:vAlign w:val="bottom"/>
          </w:tcPr>
          <w:p>
            <w:pPr>
              <w:ind w:left="1480"/>
              <w:spacing w:after="0"/>
              <w:rPr>
                <w:sz w:val="20"/>
                <w:szCs w:val="20"/>
                <w:color w:val="auto"/>
              </w:rPr>
            </w:pPr>
            <w:r>
              <w:rPr>
                <w:rFonts w:ascii="Arial" w:cs="Arial" w:eastAsia="Arial" w:hAnsi="Arial"/>
                <w:sz w:val="18"/>
                <w:szCs w:val="18"/>
                <w:color w:val="auto"/>
              </w:rPr>
              <w:t>•</w:t>
            </w:r>
          </w:p>
        </w:tc>
        <w:tc>
          <w:tcPr>
            <w:tcW w:w="2540" w:type="dxa"/>
            <w:vAlign w:val="bottom"/>
          </w:tcPr>
          <w:p>
            <w:pPr>
              <w:ind w:left="100"/>
              <w:spacing w:after="0"/>
              <w:rPr>
                <w:sz w:val="20"/>
                <w:szCs w:val="20"/>
                <w:color w:val="auto"/>
              </w:rPr>
            </w:pPr>
            <w:r>
              <w:rPr>
                <w:rFonts w:ascii="Arial" w:cs="Arial" w:eastAsia="Arial" w:hAnsi="Arial"/>
                <w:sz w:val="18"/>
                <w:szCs w:val="18"/>
                <w:color w:val="auto"/>
              </w:rPr>
              <w:t>Nu Skin Enterprises, Inc.</w:t>
            </w:r>
          </w:p>
        </w:tc>
        <w:tc>
          <w:tcPr>
            <w:tcW w:w="0" w:type="dxa"/>
            <w:vAlign w:val="bottom"/>
          </w:tcPr>
          <w:p>
            <w:pPr>
              <w:spacing w:after="0"/>
              <w:rPr>
                <w:sz w:val="1"/>
                <w:szCs w:val="1"/>
                <w:color w:val="auto"/>
              </w:rPr>
            </w:pPr>
          </w:p>
        </w:tc>
      </w:tr>
      <w:tr>
        <w:trPr>
          <w:trHeight w:val="459"/>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4060" w:type="dxa"/>
            <w:vAlign w:val="bottom"/>
          </w:tcPr>
          <w:p>
            <w:pPr>
              <w:ind w:left="120"/>
              <w:spacing w:after="0"/>
              <w:rPr>
                <w:sz w:val="20"/>
                <w:szCs w:val="20"/>
                <w:color w:val="auto"/>
              </w:rPr>
            </w:pPr>
            <w:r>
              <w:rPr>
                <w:rFonts w:ascii="Arial" w:cs="Arial" w:eastAsia="Arial" w:hAnsi="Arial"/>
                <w:sz w:val="18"/>
                <w:szCs w:val="18"/>
                <w:color w:val="auto"/>
              </w:rPr>
              <w:t>Central Garden &amp; Pet Company</w:t>
            </w:r>
          </w:p>
        </w:tc>
        <w:tc>
          <w:tcPr>
            <w:tcW w:w="1620" w:type="dxa"/>
            <w:vAlign w:val="bottom"/>
          </w:tcPr>
          <w:p>
            <w:pPr>
              <w:ind w:left="1480"/>
              <w:spacing w:after="0"/>
              <w:rPr>
                <w:sz w:val="20"/>
                <w:szCs w:val="20"/>
                <w:color w:val="auto"/>
              </w:rPr>
            </w:pPr>
            <w:r>
              <w:rPr>
                <w:rFonts w:ascii="Arial" w:cs="Arial" w:eastAsia="Arial" w:hAnsi="Arial"/>
                <w:sz w:val="18"/>
                <w:szCs w:val="18"/>
                <w:color w:val="auto"/>
              </w:rPr>
              <w:t>•</w:t>
            </w:r>
          </w:p>
        </w:tc>
        <w:tc>
          <w:tcPr>
            <w:tcW w:w="2540" w:type="dxa"/>
            <w:vAlign w:val="bottom"/>
          </w:tcPr>
          <w:p>
            <w:pPr>
              <w:ind w:left="100"/>
              <w:spacing w:after="0"/>
              <w:rPr>
                <w:sz w:val="20"/>
                <w:szCs w:val="20"/>
                <w:color w:val="auto"/>
              </w:rPr>
            </w:pPr>
            <w:r>
              <w:rPr>
                <w:rFonts w:ascii="Arial" w:cs="Arial" w:eastAsia="Arial" w:hAnsi="Arial"/>
                <w:sz w:val="18"/>
                <w:szCs w:val="18"/>
                <w:color w:val="auto"/>
              </w:rPr>
              <w:t>O-I Glass, Inc.</w:t>
            </w:r>
          </w:p>
        </w:tc>
        <w:tc>
          <w:tcPr>
            <w:tcW w:w="0" w:type="dxa"/>
            <w:vAlign w:val="bottom"/>
          </w:tcPr>
          <w:p>
            <w:pPr>
              <w:spacing w:after="0"/>
              <w:rPr>
                <w:sz w:val="1"/>
                <w:szCs w:val="1"/>
                <w:color w:val="auto"/>
              </w:rPr>
            </w:pPr>
          </w:p>
        </w:tc>
      </w:tr>
      <w:tr>
        <w:trPr>
          <w:trHeight w:val="392"/>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4060" w:type="dxa"/>
            <w:vAlign w:val="bottom"/>
          </w:tcPr>
          <w:p>
            <w:pPr>
              <w:ind w:left="120"/>
              <w:spacing w:after="0"/>
              <w:rPr>
                <w:sz w:val="20"/>
                <w:szCs w:val="20"/>
                <w:color w:val="auto"/>
              </w:rPr>
            </w:pPr>
            <w:r>
              <w:rPr>
                <w:rFonts w:ascii="Arial" w:cs="Arial" w:eastAsia="Arial" w:hAnsi="Arial"/>
                <w:sz w:val="18"/>
                <w:szCs w:val="18"/>
                <w:color w:val="auto"/>
              </w:rPr>
              <w:t>Church &amp; Dwight Co., Inc.</w:t>
            </w:r>
          </w:p>
        </w:tc>
        <w:tc>
          <w:tcPr>
            <w:tcW w:w="1620" w:type="dxa"/>
            <w:vAlign w:val="bottom"/>
          </w:tcPr>
          <w:p>
            <w:pPr>
              <w:ind w:left="1480"/>
              <w:spacing w:after="0"/>
              <w:rPr>
                <w:sz w:val="20"/>
                <w:szCs w:val="20"/>
                <w:color w:val="auto"/>
              </w:rPr>
            </w:pPr>
            <w:r>
              <w:rPr>
                <w:rFonts w:ascii="Arial" w:cs="Arial" w:eastAsia="Arial" w:hAnsi="Arial"/>
                <w:sz w:val="18"/>
                <w:szCs w:val="18"/>
                <w:color w:val="auto"/>
              </w:rPr>
              <w:t>•</w:t>
            </w:r>
          </w:p>
        </w:tc>
        <w:tc>
          <w:tcPr>
            <w:tcW w:w="2540" w:type="dxa"/>
            <w:vAlign w:val="bottom"/>
          </w:tcPr>
          <w:p>
            <w:pPr>
              <w:ind w:left="100"/>
              <w:spacing w:after="0"/>
              <w:rPr>
                <w:sz w:val="20"/>
                <w:szCs w:val="20"/>
                <w:color w:val="auto"/>
              </w:rPr>
            </w:pPr>
            <w:r>
              <w:rPr>
                <w:rFonts w:ascii="Arial" w:cs="Arial" w:eastAsia="Arial" w:hAnsi="Arial"/>
                <w:sz w:val="18"/>
                <w:szCs w:val="18"/>
                <w:color w:val="auto"/>
              </w:rPr>
              <w:t>Sealed Air Corporation</w:t>
            </w:r>
          </w:p>
        </w:tc>
        <w:tc>
          <w:tcPr>
            <w:tcW w:w="0" w:type="dxa"/>
            <w:vAlign w:val="bottom"/>
          </w:tcPr>
          <w:p>
            <w:pPr>
              <w:spacing w:after="0"/>
              <w:rPr>
                <w:sz w:val="1"/>
                <w:szCs w:val="1"/>
                <w:color w:val="auto"/>
              </w:rPr>
            </w:pPr>
          </w:p>
        </w:tc>
      </w:tr>
      <w:tr>
        <w:trPr>
          <w:trHeight w:val="405"/>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4060" w:type="dxa"/>
            <w:vAlign w:val="bottom"/>
          </w:tcPr>
          <w:p>
            <w:pPr>
              <w:ind w:left="120"/>
              <w:spacing w:after="0"/>
              <w:rPr>
                <w:sz w:val="20"/>
                <w:szCs w:val="20"/>
                <w:color w:val="auto"/>
              </w:rPr>
            </w:pPr>
            <w:r>
              <w:rPr>
                <w:rFonts w:ascii="Arial" w:cs="Arial" w:eastAsia="Arial" w:hAnsi="Arial"/>
                <w:sz w:val="18"/>
                <w:szCs w:val="18"/>
                <w:color w:val="auto"/>
              </w:rPr>
              <w:t>Edgewell Personal Care Company</w:t>
            </w:r>
          </w:p>
        </w:tc>
        <w:tc>
          <w:tcPr>
            <w:tcW w:w="1620" w:type="dxa"/>
            <w:vAlign w:val="bottom"/>
          </w:tcPr>
          <w:p>
            <w:pPr>
              <w:ind w:left="1480"/>
              <w:spacing w:after="0"/>
              <w:rPr>
                <w:sz w:val="20"/>
                <w:szCs w:val="20"/>
                <w:color w:val="auto"/>
              </w:rPr>
            </w:pPr>
            <w:r>
              <w:rPr>
                <w:rFonts w:ascii="Arial" w:cs="Arial" w:eastAsia="Arial" w:hAnsi="Arial"/>
                <w:sz w:val="18"/>
                <w:szCs w:val="18"/>
                <w:color w:val="auto"/>
              </w:rPr>
              <w:t>•</w:t>
            </w:r>
          </w:p>
        </w:tc>
        <w:tc>
          <w:tcPr>
            <w:tcW w:w="2540" w:type="dxa"/>
            <w:vAlign w:val="bottom"/>
          </w:tcPr>
          <w:p>
            <w:pPr>
              <w:ind w:left="100"/>
              <w:spacing w:after="0"/>
              <w:rPr>
                <w:sz w:val="20"/>
                <w:szCs w:val="20"/>
                <w:color w:val="auto"/>
              </w:rPr>
            </w:pPr>
            <w:r>
              <w:rPr>
                <w:rFonts w:ascii="Arial" w:cs="Arial" w:eastAsia="Arial" w:hAnsi="Arial"/>
                <w:sz w:val="18"/>
                <w:szCs w:val="18"/>
                <w:color w:val="auto"/>
              </w:rPr>
              <w:t>Silgan Holdings Inc.</w:t>
            </w:r>
          </w:p>
        </w:tc>
        <w:tc>
          <w:tcPr>
            <w:tcW w:w="0" w:type="dxa"/>
            <w:vAlign w:val="bottom"/>
          </w:tcPr>
          <w:p>
            <w:pPr>
              <w:spacing w:after="0"/>
              <w:rPr>
                <w:sz w:val="1"/>
                <w:szCs w:val="1"/>
                <w:color w:val="auto"/>
              </w:rPr>
            </w:pPr>
          </w:p>
        </w:tc>
      </w:tr>
      <w:tr>
        <w:trPr>
          <w:trHeight w:val="392"/>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4060" w:type="dxa"/>
            <w:vAlign w:val="bottom"/>
          </w:tcPr>
          <w:p>
            <w:pPr>
              <w:ind w:left="120"/>
              <w:spacing w:after="0"/>
              <w:rPr>
                <w:sz w:val="20"/>
                <w:szCs w:val="20"/>
                <w:color w:val="auto"/>
              </w:rPr>
            </w:pPr>
            <w:r>
              <w:rPr>
                <w:rFonts w:ascii="Arial" w:cs="Arial" w:eastAsia="Arial" w:hAnsi="Arial"/>
                <w:sz w:val="18"/>
                <w:szCs w:val="18"/>
                <w:color w:val="auto"/>
              </w:rPr>
              <w:t>Energizer Holdings, Inc.</w:t>
            </w:r>
          </w:p>
        </w:tc>
        <w:tc>
          <w:tcPr>
            <w:tcW w:w="1620" w:type="dxa"/>
            <w:vAlign w:val="bottom"/>
          </w:tcPr>
          <w:p>
            <w:pPr>
              <w:ind w:left="1480"/>
              <w:spacing w:after="0"/>
              <w:rPr>
                <w:sz w:val="20"/>
                <w:szCs w:val="20"/>
                <w:color w:val="auto"/>
              </w:rPr>
            </w:pPr>
            <w:r>
              <w:rPr>
                <w:rFonts w:ascii="Arial" w:cs="Arial" w:eastAsia="Arial" w:hAnsi="Arial"/>
                <w:sz w:val="18"/>
                <w:szCs w:val="18"/>
                <w:color w:val="auto"/>
              </w:rPr>
              <w:t>•</w:t>
            </w:r>
          </w:p>
        </w:tc>
        <w:tc>
          <w:tcPr>
            <w:tcW w:w="2540" w:type="dxa"/>
            <w:vAlign w:val="bottom"/>
          </w:tcPr>
          <w:p>
            <w:pPr>
              <w:ind w:left="100"/>
              <w:spacing w:after="0"/>
              <w:rPr>
                <w:sz w:val="20"/>
                <w:szCs w:val="20"/>
                <w:color w:val="auto"/>
              </w:rPr>
            </w:pPr>
            <w:r>
              <w:rPr>
                <w:rFonts w:ascii="Arial" w:cs="Arial" w:eastAsia="Arial" w:hAnsi="Arial"/>
                <w:sz w:val="18"/>
                <w:szCs w:val="18"/>
                <w:color w:val="auto"/>
              </w:rPr>
              <w:t>Snap-on Incorporated</w:t>
            </w:r>
          </w:p>
        </w:tc>
        <w:tc>
          <w:tcPr>
            <w:tcW w:w="0" w:type="dxa"/>
            <w:vAlign w:val="bottom"/>
          </w:tcPr>
          <w:p>
            <w:pPr>
              <w:spacing w:after="0"/>
              <w:rPr>
                <w:sz w:val="1"/>
                <w:szCs w:val="1"/>
                <w:color w:val="auto"/>
              </w:rPr>
            </w:pPr>
          </w:p>
        </w:tc>
      </w:tr>
      <w:tr>
        <w:trPr>
          <w:trHeight w:val="391"/>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4060" w:type="dxa"/>
            <w:vAlign w:val="bottom"/>
          </w:tcPr>
          <w:p>
            <w:pPr>
              <w:ind w:left="120"/>
              <w:spacing w:after="0"/>
              <w:rPr>
                <w:sz w:val="20"/>
                <w:szCs w:val="20"/>
                <w:color w:val="auto"/>
              </w:rPr>
            </w:pPr>
            <w:r>
              <w:rPr>
                <w:rFonts w:ascii="Arial" w:cs="Arial" w:eastAsia="Arial" w:hAnsi="Arial"/>
                <w:sz w:val="18"/>
                <w:szCs w:val="18"/>
                <w:color w:val="auto"/>
              </w:rPr>
              <w:t>Greif, Inc.</w:t>
            </w:r>
          </w:p>
        </w:tc>
        <w:tc>
          <w:tcPr>
            <w:tcW w:w="1620" w:type="dxa"/>
            <w:vAlign w:val="bottom"/>
          </w:tcPr>
          <w:p>
            <w:pPr>
              <w:ind w:left="1480"/>
              <w:spacing w:after="0"/>
              <w:rPr>
                <w:sz w:val="20"/>
                <w:szCs w:val="20"/>
                <w:color w:val="auto"/>
              </w:rPr>
            </w:pPr>
            <w:r>
              <w:rPr>
                <w:rFonts w:ascii="Arial" w:cs="Arial" w:eastAsia="Arial" w:hAnsi="Arial"/>
                <w:sz w:val="18"/>
                <w:szCs w:val="18"/>
                <w:color w:val="auto"/>
              </w:rPr>
              <w:t>•</w:t>
            </w:r>
          </w:p>
        </w:tc>
        <w:tc>
          <w:tcPr>
            <w:tcW w:w="2540" w:type="dxa"/>
            <w:vAlign w:val="bottom"/>
          </w:tcPr>
          <w:p>
            <w:pPr>
              <w:ind w:left="100"/>
              <w:spacing w:after="0"/>
              <w:rPr>
                <w:sz w:val="20"/>
                <w:szCs w:val="20"/>
                <w:color w:val="auto"/>
              </w:rPr>
            </w:pPr>
            <w:r>
              <w:rPr>
                <w:rFonts w:ascii="Arial" w:cs="Arial" w:eastAsia="Arial" w:hAnsi="Arial"/>
                <w:sz w:val="18"/>
                <w:szCs w:val="18"/>
                <w:color w:val="auto"/>
                <w:w w:val="95"/>
              </w:rPr>
              <w:t>Spectrum Brands Holdings, Inc.</w:t>
            </w:r>
          </w:p>
        </w:tc>
        <w:tc>
          <w:tcPr>
            <w:tcW w:w="0" w:type="dxa"/>
            <w:vAlign w:val="bottom"/>
          </w:tcPr>
          <w:p>
            <w:pPr>
              <w:spacing w:after="0"/>
              <w:rPr>
                <w:sz w:val="1"/>
                <w:szCs w:val="1"/>
                <w:color w:val="auto"/>
              </w:rPr>
            </w:pPr>
          </w:p>
        </w:tc>
      </w:tr>
      <w:tr>
        <w:trPr>
          <w:trHeight w:val="405"/>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4060" w:type="dxa"/>
            <w:vAlign w:val="bottom"/>
          </w:tcPr>
          <w:p>
            <w:pPr>
              <w:ind w:left="120"/>
              <w:spacing w:after="0"/>
              <w:rPr>
                <w:sz w:val="20"/>
                <w:szCs w:val="20"/>
                <w:color w:val="auto"/>
              </w:rPr>
            </w:pPr>
            <w:r>
              <w:rPr>
                <w:rFonts w:ascii="Arial" w:cs="Arial" w:eastAsia="Arial" w:hAnsi="Arial"/>
                <w:sz w:val="18"/>
                <w:szCs w:val="18"/>
                <w:color w:val="auto"/>
              </w:rPr>
              <w:t>Hasbro, Inc.</w:t>
            </w:r>
          </w:p>
        </w:tc>
        <w:tc>
          <w:tcPr>
            <w:tcW w:w="1620" w:type="dxa"/>
            <w:vAlign w:val="bottom"/>
          </w:tcPr>
          <w:p>
            <w:pPr>
              <w:ind w:left="1480"/>
              <w:spacing w:after="0"/>
              <w:rPr>
                <w:sz w:val="20"/>
                <w:szCs w:val="20"/>
                <w:color w:val="auto"/>
              </w:rPr>
            </w:pPr>
            <w:r>
              <w:rPr>
                <w:rFonts w:ascii="Arial" w:cs="Arial" w:eastAsia="Arial" w:hAnsi="Arial"/>
                <w:sz w:val="18"/>
                <w:szCs w:val="18"/>
                <w:color w:val="auto"/>
              </w:rPr>
              <w:t>•</w:t>
            </w:r>
          </w:p>
        </w:tc>
        <w:tc>
          <w:tcPr>
            <w:tcW w:w="2540" w:type="dxa"/>
            <w:vAlign w:val="bottom"/>
          </w:tcPr>
          <w:p>
            <w:pPr>
              <w:ind w:left="100"/>
              <w:spacing w:after="0"/>
              <w:rPr>
                <w:sz w:val="20"/>
                <w:szCs w:val="20"/>
                <w:color w:val="auto"/>
              </w:rPr>
            </w:pPr>
            <w:r>
              <w:rPr>
                <w:rFonts w:ascii="Arial" w:cs="Arial" w:eastAsia="Arial" w:hAnsi="Arial"/>
                <w:sz w:val="18"/>
                <w:szCs w:val="18"/>
                <w:color w:val="auto"/>
              </w:rPr>
              <w:t>The Clorox Company</w:t>
            </w:r>
          </w:p>
        </w:tc>
        <w:tc>
          <w:tcPr>
            <w:tcW w:w="0" w:type="dxa"/>
            <w:vAlign w:val="bottom"/>
          </w:tcPr>
          <w:p>
            <w:pPr>
              <w:spacing w:after="0"/>
              <w:rPr>
                <w:sz w:val="1"/>
                <w:szCs w:val="1"/>
                <w:color w:val="auto"/>
              </w:rPr>
            </w:pPr>
          </w:p>
        </w:tc>
      </w:tr>
      <w:tr>
        <w:trPr>
          <w:trHeight w:val="392"/>
        </w:trPr>
        <w:tc>
          <w:tcPr>
            <w:tcW w:w="4240" w:type="dxa"/>
            <w:vAlign w:val="bottom"/>
            <w:gridSpan w:val="2"/>
          </w:tcPr>
          <w:p>
            <w:pPr>
              <w:spacing w:after="0"/>
              <w:rPr>
                <w:sz w:val="20"/>
                <w:szCs w:val="20"/>
                <w:color w:val="auto"/>
              </w:rPr>
            </w:pPr>
            <w:r>
              <w:rPr>
                <w:rFonts w:ascii="Arial" w:cs="Arial" w:eastAsia="Arial" w:hAnsi="Arial"/>
                <w:sz w:val="18"/>
                <w:szCs w:val="18"/>
                <w:color w:val="auto"/>
              </w:rPr>
              <w:t>•   Helen of Troy Limited</w:t>
            </w:r>
          </w:p>
        </w:tc>
        <w:tc>
          <w:tcPr>
            <w:tcW w:w="4160" w:type="dxa"/>
            <w:vAlign w:val="bottom"/>
            <w:gridSpan w:val="2"/>
            <w:vMerge w:val="restart"/>
          </w:tcPr>
          <w:p>
            <w:pPr>
              <w:ind w:left="1480"/>
              <w:spacing w:after="0"/>
              <w:rPr>
                <w:sz w:val="20"/>
                <w:szCs w:val="20"/>
                <w:color w:val="auto"/>
              </w:rPr>
            </w:pPr>
            <w:r>
              <w:rPr>
                <w:rFonts w:ascii="Arial" w:cs="Arial" w:eastAsia="Arial" w:hAnsi="Arial"/>
                <w:sz w:val="18"/>
                <w:szCs w:val="18"/>
                <w:color w:val="auto"/>
                <w:w w:val="93"/>
              </w:rPr>
              <w:t>•  The Scotts Miracle-Gro Company</w:t>
            </w:r>
          </w:p>
        </w:tc>
        <w:tc>
          <w:tcPr>
            <w:tcW w:w="0" w:type="dxa"/>
            <w:vAlign w:val="bottom"/>
          </w:tcPr>
          <w:p>
            <w:pPr>
              <w:spacing w:after="0"/>
              <w:rPr>
                <w:sz w:val="1"/>
                <w:szCs w:val="1"/>
                <w:color w:val="auto"/>
              </w:rPr>
            </w:pPr>
          </w:p>
        </w:tc>
      </w:tr>
      <w:tr>
        <w:trPr>
          <w:trHeight w:val="68"/>
        </w:trPr>
        <w:tc>
          <w:tcPr>
            <w:tcW w:w="180" w:type="dxa"/>
            <w:vAlign w:val="bottom"/>
          </w:tcPr>
          <w:p>
            <w:pPr>
              <w:spacing w:after="0"/>
              <w:rPr>
                <w:sz w:val="5"/>
                <w:szCs w:val="5"/>
                <w:color w:val="auto"/>
              </w:rPr>
            </w:pPr>
          </w:p>
        </w:tc>
        <w:tc>
          <w:tcPr>
            <w:tcW w:w="4060" w:type="dxa"/>
            <w:vAlign w:val="bottom"/>
          </w:tcPr>
          <w:p>
            <w:pPr>
              <w:spacing w:after="0"/>
              <w:rPr>
                <w:sz w:val="5"/>
                <w:szCs w:val="5"/>
                <w:color w:val="auto"/>
              </w:rPr>
            </w:pPr>
          </w:p>
        </w:tc>
        <w:tc>
          <w:tcPr>
            <w:tcW w:w="41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24"/>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4060" w:type="dxa"/>
            <w:vAlign w:val="bottom"/>
          </w:tcPr>
          <w:p>
            <w:pPr>
              <w:ind w:left="120"/>
              <w:spacing w:after="0"/>
              <w:rPr>
                <w:sz w:val="20"/>
                <w:szCs w:val="20"/>
                <w:color w:val="auto"/>
              </w:rPr>
            </w:pPr>
            <w:r>
              <w:rPr>
                <w:rFonts w:ascii="Arial" w:cs="Arial" w:eastAsia="Arial" w:hAnsi="Arial"/>
                <w:sz w:val="18"/>
                <w:szCs w:val="18"/>
                <w:color w:val="auto"/>
              </w:rPr>
              <w:t>Medifast, Inc.</w:t>
            </w:r>
          </w:p>
        </w:tc>
        <w:tc>
          <w:tcPr>
            <w:tcW w:w="1620" w:type="dxa"/>
            <w:vAlign w:val="bottom"/>
            <w:vMerge w:val="restart"/>
          </w:tcPr>
          <w:p>
            <w:pPr>
              <w:ind w:left="1480"/>
              <w:spacing w:after="0"/>
              <w:rPr>
                <w:sz w:val="20"/>
                <w:szCs w:val="20"/>
                <w:color w:val="auto"/>
              </w:rPr>
            </w:pPr>
            <w:r>
              <w:rPr>
                <w:rFonts w:ascii="Arial" w:cs="Arial" w:eastAsia="Arial" w:hAnsi="Arial"/>
                <w:sz w:val="18"/>
                <w:szCs w:val="18"/>
                <w:color w:val="auto"/>
              </w:rPr>
              <w:t>•</w:t>
            </w:r>
          </w:p>
        </w:tc>
        <w:tc>
          <w:tcPr>
            <w:tcW w:w="2540" w:type="dxa"/>
            <w:vAlign w:val="bottom"/>
            <w:vMerge w:val="restart"/>
          </w:tcPr>
          <w:p>
            <w:pPr>
              <w:ind w:left="100"/>
              <w:spacing w:after="0"/>
              <w:rPr>
                <w:sz w:val="20"/>
                <w:szCs w:val="20"/>
                <w:color w:val="auto"/>
              </w:rPr>
            </w:pPr>
            <w:r>
              <w:rPr>
                <w:rFonts w:ascii="Arial" w:cs="Arial" w:eastAsia="Arial" w:hAnsi="Arial"/>
                <w:sz w:val="18"/>
                <w:szCs w:val="18"/>
                <w:color w:val="auto"/>
                <w:w w:val="94"/>
              </w:rPr>
              <w:t>Tupperware Brands Corporation</w:t>
            </w:r>
          </w:p>
        </w:tc>
        <w:tc>
          <w:tcPr>
            <w:tcW w:w="0" w:type="dxa"/>
            <w:vAlign w:val="bottom"/>
          </w:tcPr>
          <w:p>
            <w:pPr>
              <w:spacing w:after="0"/>
              <w:rPr>
                <w:sz w:val="1"/>
                <w:szCs w:val="1"/>
                <w:color w:val="auto"/>
              </w:rPr>
            </w:pPr>
          </w:p>
        </w:tc>
      </w:tr>
      <w:tr>
        <w:trPr>
          <w:trHeight w:val="68"/>
        </w:trPr>
        <w:tc>
          <w:tcPr>
            <w:tcW w:w="180" w:type="dxa"/>
            <w:vAlign w:val="bottom"/>
          </w:tcPr>
          <w:p>
            <w:pPr>
              <w:spacing w:after="0"/>
              <w:rPr>
                <w:sz w:val="5"/>
                <w:szCs w:val="5"/>
                <w:color w:val="auto"/>
              </w:rPr>
            </w:pPr>
          </w:p>
        </w:tc>
        <w:tc>
          <w:tcPr>
            <w:tcW w:w="4060" w:type="dxa"/>
            <w:vAlign w:val="bottom"/>
          </w:tcPr>
          <w:p>
            <w:pPr>
              <w:spacing w:after="0"/>
              <w:rPr>
                <w:sz w:val="5"/>
                <w:szCs w:val="5"/>
                <w:color w:val="auto"/>
              </w:rPr>
            </w:pPr>
          </w:p>
        </w:tc>
        <w:tc>
          <w:tcPr>
            <w:tcW w:w="1620" w:type="dxa"/>
            <w:vAlign w:val="bottom"/>
            <w:vMerge w:val="continue"/>
          </w:tcPr>
          <w:p>
            <w:pPr>
              <w:spacing w:after="0"/>
              <w:rPr>
                <w:sz w:val="5"/>
                <w:szCs w:val="5"/>
                <w:color w:val="auto"/>
              </w:rPr>
            </w:pPr>
          </w:p>
        </w:tc>
        <w:tc>
          <w:tcPr>
            <w:tcW w:w="25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The criteria considered in selecting peer companies for the Benchmark Comparison Group include the following:</w:t>
      </w:r>
    </w:p>
    <w:p>
      <w:pPr>
        <w:spacing w:after="0" w:line="225"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size, as measured by revenue, market capitalization and enterprise value;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industry category, including consumer household, personal and leisure products, household durables, containers and packaging; and</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competition for sources of talent.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Role of Management</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CEO, in collaboration with Pearl Meyer and with input from the CNG Committee, makes recommendations to the CNG Committee for base salary, AIP, LTI and any other elements of our compensation program for each NEO (other than the CEO, whose compensation is determined solely by the CNG Committee). Our CEO also provides recommendations to the CNG Committee on other elements of our compensation program for senior executives, including, for example, the design and metrics under our AIP and LTI programs. While the CNG Committee will consider the CEO’s recommendations with respect to the compensation of the NEOs, the CNG Committee independently evaluates the recommendations and makes all final compensation decisions relating to the NEOs.</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case of compensation for employees below the most senior level, the CNG Committee has delegated certain authority to our management to make determinations in accordance with guidelines established by the CNG Committee.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Direct Compensation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CNG Committee, advised by its independent compensation consultant Pearl Meyer, is responsible for overseeing and approving the executive compensation program for the Company’s executive officers, including our named executive officers. To establish the appropriate target total direct compensation for each position, Pearl Meyer provides and the Committee reviews the market levels for base salary, target annual cash, and total direct compensation based upon our Benchmark Comparison Group. The Committee then considers that market data, as well as other factors, in determining the elements of total direct compensation for each position.</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8"/>
          <w:szCs w:val="18"/>
          <w:u w:val="single" w:color="auto"/>
          <w:color w:val="4F81B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Elements of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executive compensation for our NEOs, and the primary objectives of each, are summarized in the chart below:</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5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Compensation Element</w:t>
            </w:r>
          </w:p>
        </w:tc>
        <w:tc>
          <w:tcPr>
            <w:tcW w:w="120" w:type="dxa"/>
            <w:vAlign w:val="bottom"/>
          </w:tcPr>
          <w:p>
            <w:pPr>
              <w:spacing w:after="0"/>
              <w:rPr>
                <w:sz w:val="19"/>
                <w:szCs w:val="19"/>
                <w:color w:val="auto"/>
              </w:rPr>
            </w:pPr>
          </w:p>
        </w:tc>
        <w:tc>
          <w:tcPr>
            <w:tcW w:w="264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Description</w:t>
            </w:r>
          </w:p>
        </w:tc>
        <w:tc>
          <w:tcPr>
            <w:tcW w:w="120" w:type="dxa"/>
            <w:vAlign w:val="bottom"/>
          </w:tcPr>
          <w:p>
            <w:pPr>
              <w:spacing w:after="0"/>
              <w:rPr>
                <w:sz w:val="19"/>
                <w:szCs w:val="19"/>
                <w:color w:val="auto"/>
              </w:rPr>
            </w:pPr>
          </w:p>
        </w:tc>
        <w:tc>
          <w:tcPr>
            <w:tcW w:w="266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Form</w:t>
            </w:r>
          </w:p>
        </w:tc>
        <w:tc>
          <w:tcPr>
            <w:tcW w:w="380" w:type="dxa"/>
            <w:vAlign w:val="bottom"/>
          </w:tcPr>
          <w:p>
            <w:pPr>
              <w:spacing w:after="0"/>
              <w:rPr>
                <w:sz w:val="19"/>
                <w:szCs w:val="19"/>
                <w:color w:val="auto"/>
              </w:rPr>
            </w:pPr>
          </w:p>
        </w:tc>
        <w:tc>
          <w:tcPr>
            <w:tcW w:w="282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Objective</w:t>
            </w:r>
          </w:p>
        </w:tc>
        <w:tc>
          <w:tcPr>
            <w:tcW w:w="0" w:type="dxa"/>
            <w:vAlign w:val="bottom"/>
          </w:tcPr>
          <w:p>
            <w:pPr>
              <w:spacing w:after="0"/>
              <w:rPr>
                <w:sz w:val="1"/>
                <w:szCs w:val="1"/>
                <w:color w:val="auto"/>
              </w:rPr>
            </w:pPr>
          </w:p>
        </w:tc>
      </w:tr>
      <w:tr>
        <w:trPr>
          <w:trHeight w:val="206"/>
        </w:trPr>
        <w:tc>
          <w:tcPr>
            <w:tcW w:w="2620" w:type="dxa"/>
            <w:vAlign w:val="bottom"/>
            <w:gridSpan w:val="2"/>
          </w:tcPr>
          <w:p>
            <w:pPr>
              <w:ind w:left="20"/>
              <w:spacing w:after="0"/>
              <w:rPr>
                <w:sz w:val="20"/>
                <w:szCs w:val="20"/>
                <w:color w:val="auto"/>
              </w:rPr>
            </w:pPr>
            <w:r>
              <w:rPr>
                <w:rFonts w:ascii="Arial" w:cs="Arial" w:eastAsia="Arial" w:hAnsi="Arial"/>
                <w:sz w:val="16"/>
                <w:szCs w:val="16"/>
                <w:b w:val="1"/>
                <w:bCs w:val="1"/>
                <w:color w:val="auto"/>
              </w:rPr>
              <w:t>Base Salary</w:t>
            </w:r>
          </w:p>
        </w:tc>
        <w:tc>
          <w:tcPr>
            <w:tcW w:w="2760" w:type="dxa"/>
            <w:vAlign w:val="bottom"/>
            <w:gridSpan w:val="2"/>
          </w:tcPr>
          <w:p>
            <w:pPr>
              <w:ind w:left="100"/>
              <w:spacing w:after="0"/>
              <w:rPr>
                <w:sz w:val="20"/>
                <w:szCs w:val="20"/>
                <w:color w:val="auto"/>
              </w:rPr>
            </w:pPr>
            <w:r>
              <w:rPr>
                <w:rFonts w:ascii="Arial" w:cs="Arial" w:eastAsia="Arial" w:hAnsi="Arial"/>
                <w:sz w:val="16"/>
                <w:szCs w:val="16"/>
                <w:color w:val="auto"/>
                <w:w w:val="99"/>
              </w:rPr>
              <w:t>Fixed based on level of responsibility,</w:t>
            </w:r>
          </w:p>
        </w:tc>
        <w:tc>
          <w:tcPr>
            <w:tcW w:w="3040" w:type="dxa"/>
            <w:vAlign w:val="bottom"/>
            <w:gridSpan w:val="2"/>
          </w:tcPr>
          <w:p>
            <w:pPr>
              <w:ind w:left="100"/>
              <w:spacing w:after="0"/>
              <w:rPr>
                <w:sz w:val="20"/>
                <w:szCs w:val="20"/>
                <w:color w:val="auto"/>
              </w:rPr>
            </w:pPr>
            <w:r>
              <w:rPr>
                <w:rFonts w:ascii="Arial" w:cs="Arial" w:eastAsia="Arial" w:hAnsi="Arial"/>
                <w:sz w:val="16"/>
                <w:szCs w:val="16"/>
                <w:color w:val="auto"/>
              </w:rPr>
              <w:t>Cash</w:t>
            </w:r>
          </w:p>
        </w:tc>
        <w:tc>
          <w:tcPr>
            <w:tcW w:w="2820" w:type="dxa"/>
            <w:vAlign w:val="bottom"/>
          </w:tcPr>
          <w:p>
            <w:pPr>
              <w:ind w:left="100"/>
              <w:spacing w:after="0"/>
              <w:rPr>
                <w:sz w:val="20"/>
                <w:szCs w:val="20"/>
                <w:color w:val="auto"/>
              </w:rPr>
            </w:pPr>
            <w:r>
              <w:rPr>
                <w:rFonts w:ascii="Arial" w:cs="Arial" w:eastAsia="Arial" w:hAnsi="Arial"/>
                <w:sz w:val="16"/>
                <w:szCs w:val="16"/>
                <w:color w:val="auto"/>
                <w:w w:val="95"/>
              </w:rPr>
              <w:t>•  Support talent attraction and retention</w:t>
            </w:r>
          </w:p>
        </w:tc>
        <w:tc>
          <w:tcPr>
            <w:tcW w:w="0" w:type="dxa"/>
            <w:vAlign w:val="bottom"/>
          </w:tcPr>
          <w:p>
            <w:pPr>
              <w:spacing w:after="0"/>
              <w:rPr>
                <w:sz w:val="1"/>
                <w:szCs w:val="1"/>
                <w:color w:val="auto"/>
              </w:rPr>
            </w:pPr>
          </w:p>
        </w:tc>
      </w:tr>
      <w:tr>
        <w:trPr>
          <w:trHeight w:val="206"/>
        </w:trPr>
        <w:tc>
          <w:tcPr>
            <w:tcW w:w="2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60" w:type="dxa"/>
            <w:vAlign w:val="bottom"/>
            <w:gridSpan w:val="2"/>
          </w:tcPr>
          <w:p>
            <w:pPr>
              <w:ind w:left="100"/>
              <w:spacing w:after="0"/>
              <w:rPr>
                <w:sz w:val="20"/>
                <w:szCs w:val="20"/>
                <w:color w:val="auto"/>
              </w:rPr>
            </w:pPr>
            <w:r>
              <w:rPr>
                <w:rFonts w:ascii="Arial" w:cs="Arial" w:eastAsia="Arial" w:hAnsi="Arial"/>
                <w:sz w:val="16"/>
                <w:szCs w:val="16"/>
                <w:color w:val="auto"/>
              </w:rPr>
              <w:t>experience, tenure and qualifications</w:t>
            </w:r>
          </w:p>
        </w:tc>
        <w:tc>
          <w:tcPr>
            <w:tcW w:w="2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2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62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Annual Incentive Program</w:t>
            </w:r>
          </w:p>
        </w:tc>
        <w:tc>
          <w:tcPr>
            <w:tcW w:w="27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w w:val="98"/>
              </w:rPr>
              <w:t>Variable based on the achievement of</w:t>
            </w:r>
          </w:p>
        </w:tc>
        <w:tc>
          <w:tcPr>
            <w:tcW w:w="30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Cash</w:t>
            </w:r>
          </w:p>
        </w:tc>
        <w:tc>
          <w:tcPr>
            <w:tcW w:w="28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  Link pay and performance</w:t>
            </w:r>
          </w:p>
        </w:tc>
        <w:tc>
          <w:tcPr>
            <w:tcW w:w="0" w:type="dxa"/>
            <w:vAlign w:val="bottom"/>
          </w:tcPr>
          <w:p>
            <w:pPr>
              <w:spacing w:after="0"/>
              <w:rPr>
                <w:sz w:val="1"/>
                <w:szCs w:val="1"/>
                <w:color w:val="auto"/>
              </w:rPr>
            </w:pPr>
          </w:p>
        </w:tc>
      </w:tr>
      <w:tr>
        <w:trPr>
          <w:trHeight w:val="206"/>
        </w:trPr>
        <w:tc>
          <w:tcPr>
            <w:tcW w:w="2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7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annual financial metrics</w:t>
            </w:r>
          </w:p>
        </w:tc>
        <w:tc>
          <w:tcPr>
            <w:tcW w:w="26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820" w:type="dxa"/>
            <w:vAlign w:val="bottom"/>
            <w:vMerge w:val="restart"/>
            <w:shd w:val="clear" w:color="auto" w:fill="CCEEFF"/>
          </w:tcPr>
          <w:p>
            <w:pPr>
              <w:ind w:left="160"/>
              <w:spacing w:after="0"/>
              <w:rPr>
                <w:sz w:val="20"/>
                <w:szCs w:val="20"/>
                <w:color w:val="auto"/>
              </w:rPr>
            </w:pPr>
            <w:r>
              <w:rPr>
                <w:rFonts w:ascii="Arial" w:cs="Arial" w:eastAsia="Arial" w:hAnsi="Arial"/>
                <w:sz w:val="16"/>
                <w:szCs w:val="16"/>
                <w:color w:val="auto"/>
                <w:w w:val="98"/>
              </w:rPr>
              <w:t>•  Drive the achievement of short-term</w:t>
            </w:r>
          </w:p>
        </w:tc>
        <w:tc>
          <w:tcPr>
            <w:tcW w:w="0" w:type="dxa"/>
            <w:vAlign w:val="bottom"/>
          </w:tcPr>
          <w:p>
            <w:pPr>
              <w:spacing w:after="0"/>
              <w:rPr>
                <w:sz w:val="1"/>
                <w:szCs w:val="1"/>
                <w:color w:val="auto"/>
              </w:rPr>
            </w:pPr>
          </w:p>
        </w:tc>
      </w:tr>
      <w:tr>
        <w:trPr>
          <w:trHeight w:val="104"/>
        </w:trPr>
        <w:tc>
          <w:tcPr>
            <w:tcW w:w="25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6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6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282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6"/>
        </w:trPr>
        <w:tc>
          <w:tcPr>
            <w:tcW w:w="2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8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business objectives</w:t>
            </w:r>
          </w:p>
        </w:tc>
        <w:tc>
          <w:tcPr>
            <w:tcW w:w="0" w:type="dxa"/>
            <w:vAlign w:val="bottom"/>
          </w:tcPr>
          <w:p>
            <w:pPr>
              <w:spacing w:after="0"/>
              <w:rPr>
                <w:sz w:val="1"/>
                <w:szCs w:val="1"/>
                <w:color w:val="auto"/>
              </w:rPr>
            </w:pPr>
          </w:p>
        </w:tc>
      </w:tr>
      <w:tr>
        <w:trPr>
          <w:trHeight w:val="33"/>
        </w:trPr>
        <w:tc>
          <w:tcPr>
            <w:tcW w:w="2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28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9" w:lineRule="exact"/>
        <w:rPr>
          <w:sz w:val="20"/>
          <w:szCs w:val="20"/>
          <w:color w:val="auto"/>
        </w:rPr>
      </w:pPr>
    </w:p>
    <w:p>
      <w:pPr>
        <w:ind w:left="20"/>
        <w:spacing w:after="0"/>
        <w:tabs>
          <w:tab w:leader="none" w:pos="2700" w:val="left"/>
        </w:tabs>
        <w:rPr>
          <w:sz w:val="20"/>
          <w:szCs w:val="20"/>
          <w:color w:val="auto"/>
        </w:rPr>
      </w:pPr>
      <w:r>
        <w:rPr>
          <w:rFonts w:ascii="Arial" w:cs="Arial" w:eastAsia="Arial" w:hAnsi="Arial"/>
          <w:sz w:val="16"/>
          <w:szCs w:val="16"/>
          <w:b w:val="1"/>
          <w:bCs w:val="1"/>
          <w:color w:val="auto"/>
        </w:rPr>
        <w:t>LTI Compensation</w:t>
      </w:r>
      <w:r>
        <w:rPr>
          <w:sz w:val="20"/>
          <w:szCs w:val="20"/>
          <w:color w:val="auto"/>
        </w:rPr>
        <w:tab/>
      </w:r>
      <w:r>
        <w:rPr>
          <w:rFonts w:ascii="Arial" w:cs="Arial" w:eastAsia="Arial" w:hAnsi="Arial"/>
          <w:sz w:val="14"/>
          <w:szCs w:val="14"/>
          <w:color w:val="auto"/>
        </w:rPr>
        <w:t>Variable based on the achievement of</w:t>
      </w:r>
    </w:p>
    <w:p>
      <w:pPr>
        <w:spacing w:after="0" w:line="23" w:lineRule="exact"/>
        <w:rPr>
          <w:sz w:val="20"/>
          <w:szCs w:val="20"/>
          <w:color w:val="auto"/>
        </w:rPr>
      </w:pPr>
    </w:p>
    <w:p>
      <w:pPr>
        <w:ind w:left="2720"/>
        <w:spacing w:after="0"/>
        <w:rPr>
          <w:sz w:val="20"/>
          <w:szCs w:val="20"/>
          <w:color w:val="auto"/>
        </w:rPr>
      </w:pPr>
      <w:r>
        <w:rPr>
          <w:rFonts w:ascii="Arial" w:cs="Arial" w:eastAsia="Arial" w:hAnsi="Arial"/>
          <w:sz w:val="16"/>
          <w:szCs w:val="16"/>
          <w:color w:val="auto"/>
        </w:rPr>
        <w:t>longer-term goals and stockholder</w:t>
      </w:r>
    </w:p>
    <w:p>
      <w:pPr>
        <w:spacing w:after="0" w:line="8" w:lineRule="exact"/>
        <w:rPr>
          <w:sz w:val="20"/>
          <w:szCs w:val="20"/>
          <w:color w:val="auto"/>
        </w:rPr>
      </w:pPr>
    </w:p>
    <w:p>
      <w:pPr>
        <w:ind w:left="2720"/>
        <w:spacing w:after="0"/>
        <w:rPr>
          <w:sz w:val="20"/>
          <w:szCs w:val="20"/>
          <w:color w:val="auto"/>
        </w:rPr>
      </w:pPr>
      <w:r>
        <w:rPr>
          <w:rFonts w:ascii="Arial" w:cs="Arial" w:eastAsia="Arial" w:hAnsi="Arial"/>
          <w:sz w:val="16"/>
          <w:szCs w:val="16"/>
          <w:color w:val="auto"/>
        </w:rPr>
        <w:t>value creation</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tabs>
          <w:tab w:leader="none" w:pos="3080" w:val="left"/>
          <w:tab w:leader="none" w:pos="3300" w:val="left"/>
        </w:tabs>
        <w:rPr>
          <w:sz w:val="20"/>
          <w:szCs w:val="20"/>
          <w:color w:val="auto"/>
        </w:rPr>
      </w:pPr>
      <w:r>
        <w:rPr>
          <w:rFonts w:ascii="Arial" w:cs="Arial" w:eastAsia="Arial" w:hAnsi="Arial"/>
          <w:sz w:val="16"/>
          <w:szCs w:val="16"/>
          <w:color w:val="auto"/>
        </w:rPr>
        <w:t>50% time-based RSUs and 50%</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Support talent attraction and</w:t>
      </w:r>
    </w:p>
    <w:p>
      <w:pPr>
        <w:spacing w:after="0" w:line="19" w:lineRule="exact"/>
        <w:rPr>
          <w:sz w:val="20"/>
          <w:szCs w:val="20"/>
          <w:color w:val="auto"/>
        </w:rPr>
      </w:pPr>
    </w:p>
    <w:p>
      <w:pPr>
        <w:spacing w:after="0"/>
        <w:tabs>
          <w:tab w:leader="none" w:pos="3300" w:val="left"/>
        </w:tabs>
        <w:rPr>
          <w:sz w:val="20"/>
          <w:szCs w:val="20"/>
          <w:color w:val="auto"/>
        </w:rPr>
      </w:pPr>
      <w:r>
        <w:rPr>
          <w:rFonts w:ascii="Arial" w:cs="Arial" w:eastAsia="Arial" w:hAnsi="Arial"/>
          <w:sz w:val="16"/>
          <w:szCs w:val="16"/>
          <w:color w:val="auto"/>
        </w:rPr>
        <w:t>performance share units (“PSUs”)</w:t>
      </w:r>
      <w:r>
        <w:rPr>
          <w:sz w:val="20"/>
          <w:szCs w:val="20"/>
          <w:color w:val="auto"/>
        </w:rPr>
        <w:tab/>
      </w:r>
      <w:r>
        <w:rPr>
          <w:rFonts w:ascii="Arial" w:cs="Arial" w:eastAsia="Arial" w:hAnsi="Arial"/>
          <w:sz w:val="14"/>
          <w:szCs w:val="14"/>
          <w:color w:val="auto"/>
        </w:rPr>
        <w:t>retention</w:t>
      </w:r>
    </w:p>
    <w:p>
      <w:pPr>
        <w:spacing w:after="0" w:line="153" w:lineRule="exact"/>
        <w:rPr>
          <w:sz w:val="20"/>
          <w:szCs w:val="20"/>
          <w:color w:val="auto"/>
        </w:rPr>
      </w:pPr>
    </w:p>
    <w:p>
      <w:pPr>
        <w:ind w:left="3100"/>
        <w:spacing w:after="0"/>
        <w:tabs>
          <w:tab w:leader="none" w:pos="330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Link pay and performance</w:t>
      </w:r>
    </w:p>
    <w:p>
      <w:pPr>
        <w:spacing w:after="0" w:line="118" w:lineRule="exact"/>
        <w:rPr>
          <w:sz w:val="20"/>
          <w:szCs w:val="20"/>
          <w:color w:val="auto"/>
        </w:rPr>
      </w:pPr>
    </w:p>
    <w:p>
      <w:pPr>
        <w:sectPr>
          <w:pgSz w:w="11900" w:h="16838" w:orient="portrait"/>
          <w:cols w:equalWidth="0" w:num="2">
            <w:col w:w="5140" w:space="340"/>
            <w:col w:w="576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184"/>
        </w:trPr>
        <w:tc>
          <w:tcPr>
            <w:tcW w:w="254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3020" w:type="dxa"/>
            <w:vAlign w:val="bottom"/>
          </w:tcPr>
          <w:p>
            <w:pPr>
              <w:ind w:left="360"/>
              <w:spacing w:after="0"/>
              <w:rPr>
                <w:sz w:val="20"/>
                <w:szCs w:val="20"/>
                <w:color w:val="auto"/>
              </w:rPr>
            </w:pPr>
            <w:r>
              <w:rPr>
                <w:rFonts w:ascii="Arial" w:cs="Arial" w:eastAsia="Arial" w:hAnsi="Arial"/>
                <w:sz w:val="16"/>
                <w:szCs w:val="16"/>
                <w:color w:val="auto"/>
              </w:rPr>
              <w:t>•  Drive the achievement of longer-</w:t>
            </w:r>
          </w:p>
        </w:tc>
        <w:tc>
          <w:tcPr>
            <w:tcW w:w="0" w:type="dxa"/>
            <w:vAlign w:val="bottom"/>
          </w:tcPr>
          <w:p>
            <w:pPr>
              <w:spacing w:after="0"/>
              <w:rPr>
                <w:sz w:val="1"/>
                <w:szCs w:val="1"/>
                <w:color w:val="auto"/>
              </w:rPr>
            </w:pPr>
          </w:p>
        </w:tc>
      </w:tr>
      <w:tr>
        <w:trPr>
          <w:trHeight w:val="206"/>
        </w:trPr>
        <w:tc>
          <w:tcPr>
            <w:tcW w:w="254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3020" w:type="dxa"/>
            <w:vAlign w:val="bottom"/>
          </w:tcPr>
          <w:p>
            <w:pPr>
              <w:ind w:left="580"/>
              <w:spacing w:after="0"/>
              <w:rPr>
                <w:sz w:val="20"/>
                <w:szCs w:val="20"/>
                <w:color w:val="auto"/>
              </w:rPr>
            </w:pPr>
            <w:r>
              <w:rPr>
                <w:rFonts w:ascii="Arial" w:cs="Arial" w:eastAsia="Arial" w:hAnsi="Arial"/>
                <w:sz w:val="16"/>
                <w:szCs w:val="16"/>
                <w:color w:val="auto"/>
              </w:rPr>
              <w:t>term goals</w:t>
            </w:r>
          </w:p>
        </w:tc>
        <w:tc>
          <w:tcPr>
            <w:tcW w:w="0" w:type="dxa"/>
            <w:vAlign w:val="bottom"/>
          </w:tcPr>
          <w:p>
            <w:pPr>
              <w:spacing w:after="0"/>
              <w:rPr>
                <w:sz w:val="1"/>
                <w:szCs w:val="1"/>
                <w:color w:val="auto"/>
              </w:rPr>
            </w:pPr>
          </w:p>
        </w:tc>
      </w:tr>
      <w:tr>
        <w:trPr>
          <w:trHeight w:val="307"/>
        </w:trPr>
        <w:tc>
          <w:tcPr>
            <w:tcW w:w="25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3020" w:type="dxa"/>
            <w:vAlign w:val="bottom"/>
          </w:tcPr>
          <w:p>
            <w:pPr>
              <w:ind w:left="360"/>
              <w:spacing w:after="0"/>
              <w:rPr>
                <w:sz w:val="20"/>
                <w:szCs w:val="20"/>
                <w:color w:val="auto"/>
              </w:rPr>
            </w:pPr>
            <w:r>
              <w:rPr>
                <w:rFonts w:ascii="Arial" w:cs="Arial" w:eastAsia="Arial" w:hAnsi="Arial"/>
                <w:sz w:val="16"/>
                <w:szCs w:val="16"/>
                <w:color w:val="auto"/>
                <w:w w:val="98"/>
              </w:rPr>
              <w:t>•  Align with shareholder interests and</w:t>
            </w:r>
          </w:p>
        </w:tc>
        <w:tc>
          <w:tcPr>
            <w:tcW w:w="0" w:type="dxa"/>
            <w:vAlign w:val="bottom"/>
          </w:tcPr>
          <w:p>
            <w:pPr>
              <w:spacing w:after="0"/>
              <w:rPr>
                <w:sz w:val="1"/>
                <w:szCs w:val="1"/>
                <w:color w:val="auto"/>
              </w:rPr>
            </w:pPr>
          </w:p>
        </w:tc>
      </w:tr>
      <w:tr>
        <w:trPr>
          <w:trHeight w:val="162"/>
        </w:trPr>
        <w:tc>
          <w:tcPr>
            <w:tcW w:w="254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3020" w:type="dxa"/>
            <w:vAlign w:val="bottom"/>
          </w:tcPr>
          <w:p>
            <w:pPr>
              <w:ind w:left="580"/>
              <w:spacing w:after="0" w:line="162" w:lineRule="exact"/>
              <w:rPr>
                <w:sz w:val="20"/>
                <w:szCs w:val="20"/>
                <w:color w:val="auto"/>
              </w:rPr>
            </w:pPr>
            <w:r>
              <w:rPr>
                <w:rFonts w:ascii="Arial" w:cs="Arial" w:eastAsia="Arial" w:hAnsi="Arial"/>
                <w:sz w:val="16"/>
                <w:szCs w:val="16"/>
                <w:color w:val="auto"/>
              </w:rPr>
              <w:t>focus on creating value over long-</w:t>
            </w:r>
          </w:p>
        </w:tc>
        <w:tc>
          <w:tcPr>
            <w:tcW w:w="0" w:type="dxa"/>
            <w:vAlign w:val="bottom"/>
          </w:tcPr>
          <w:p>
            <w:pPr>
              <w:spacing w:after="0"/>
              <w:rPr>
                <w:sz w:val="1"/>
                <w:szCs w:val="1"/>
                <w:color w:val="auto"/>
              </w:rPr>
            </w:pPr>
          </w:p>
        </w:tc>
      </w:tr>
      <w:tr>
        <w:trPr>
          <w:trHeight w:val="206"/>
        </w:trPr>
        <w:tc>
          <w:tcPr>
            <w:tcW w:w="254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3020" w:type="dxa"/>
            <w:vAlign w:val="bottom"/>
          </w:tcPr>
          <w:p>
            <w:pPr>
              <w:ind w:left="580"/>
              <w:spacing w:after="0"/>
              <w:rPr>
                <w:sz w:val="20"/>
                <w:szCs w:val="20"/>
                <w:color w:val="auto"/>
              </w:rPr>
            </w:pPr>
            <w:r>
              <w:rPr>
                <w:rFonts w:ascii="Arial" w:cs="Arial" w:eastAsia="Arial" w:hAnsi="Arial"/>
                <w:sz w:val="16"/>
                <w:szCs w:val="16"/>
                <w:color w:val="auto"/>
              </w:rPr>
              <w:t>term</w:t>
            </w:r>
          </w:p>
        </w:tc>
        <w:tc>
          <w:tcPr>
            <w:tcW w:w="0" w:type="dxa"/>
            <w:vAlign w:val="bottom"/>
          </w:tcPr>
          <w:p>
            <w:pPr>
              <w:spacing w:after="0"/>
              <w:rPr>
                <w:sz w:val="1"/>
                <w:szCs w:val="1"/>
                <w:color w:val="auto"/>
              </w:rPr>
            </w:pPr>
          </w:p>
        </w:tc>
      </w:tr>
      <w:tr>
        <w:trPr>
          <w:trHeight w:val="249"/>
        </w:trPr>
        <w:tc>
          <w:tcPr>
            <w:tcW w:w="254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3160" w:type="dxa"/>
            <w:vAlign w:val="bottom"/>
          </w:tcPr>
          <w:p>
            <w:pPr>
              <w:spacing w:after="0"/>
              <w:rPr>
                <w:sz w:val="21"/>
                <w:szCs w:val="21"/>
                <w:color w:val="auto"/>
              </w:rPr>
            </w:pPr>
          </w:p>
        </w:tc>
        <w:tc>
          <w:tcPr>
            <w:tcW w:w="3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5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w w:val="96"/>
              </w:rPr>
              <w:t>Other Compensation and Benefits</w:t>
            </w:r>
          </w:p>
        </w:tc>
        <w:tc>
          <w:tcPr>
            <w:tcW w:w="25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Employee health, welfare and</w:t>
            </w:r>
          </w:p>
        </w:tc>
        <w:tc>
          <w:tcPr>
            <w:tcW w:w="3160" w:type="dxa"/>
            <w:vAlign w:val="bottom"/>
            <w:shd w:val="clear" w:color="auto" w:fill="CCEEFF"/>
          </w:tcPr>
          <w:p>
            <w:pPr>
              <w:ind w:left="420"/>
              <w:spacing w:after="0"/>
              <w:rPr>
                <w:sz w:val="20"/>
                <w:szCs w:val="20"/>
                <w:color w:val="auto"/>
              </w:rPr>
            </w:pPr>
            <w:r>
              <w:rPr>
                <w:rFonts w:ascii="Arial" w:cs="Arial" w:eastAsia="Arial" w:hAnsi="Arial"/>
                <w:sz w:val="16"/>
                <w:szCs w:val="16"/>
                <w:color w:val="auto"/>
              </w:rPr>
              <w:t>Group medical benefits</w:t>
            </w:r>
          </w:p>
        </w:tc>
        <w:tc>
          <w:tcPr>
            <w:tcW w:w="30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  Support talent attraction and</w:t>
            </w:r>
          </w:p>
        </w:tc>
        <w:tc>
          <w:tcPr>
            <w:tcW w:w="0" w:type="dxa"/>
            <w:vAlign w:val="bottom"/>
          </w:tcPr>
          <w:p>
            <w:pPr>
              <w:spacing w:after="0"/>
              <w:rPr>
                <w:sz w:val="1"/>
                <w:szCs w:val="1"/>
                <w:color w:val="auto"/>
              </w:rPr>
            </w:pPr>
          </w:p>
        </w:tc>
      </w:tr>
      <w:tr>
        <w:trPr>
          <w:trHeight w:val="210"/>
        </w:trPr>
        <w:tc>
          <w:tcPr>
            <w:tcW w:w="25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Programs</w:t>
            </w:r>
          </w:p>
        </w:tc>
        <w:tc>
          <w:tcPr>
            <w:tcW w:w="25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retirement benefits</w:t>
            </w:r>
          </w:p>
        </w:tc>
        <w:tc>
          <w:tcPr>
            <w:tcW w:w="3160" w:type="dxa"/>
            <w:vAlign w:val="bottom"/>
            <w:vMerge w:val="restart"/>
            <w:shd w:val="clear" w:color="auto" w:fill="CCEEFF"/>
          </w:tcPr>
          <w:p>
            <w:pPr>
              <w:ind w:left="420"/>
              <w:spacing w:after="0"/>
              <w:rPr>
                <w:sz w:val="20"/>
                <w:szCs w:val="20"/>
                <w:color w:val="auto"/>
              </w:rPr>
            </w:pPr>
            <w:r>
              <w:rPr>
                <w:rFonts w:ascii="Arial" w:cs="Arial" w:eastAsia="Arial" w:hAnsi="Arial"/>
                <w:sz w:val="16"/>
                <w:szCs w:val="16"/>
                <w:color w:val="auto"/>
              </w:rPr>
              <w:t>Life and disability insurance</w:t>
            </w:r>
          </w:p>
        </w:tc>
        <w:tc>
          <w:tcPr>
            <w:tcW w:w="3020" w:type="dxa"/>
            <w:vAlign w:val="bottom"/>
            <w:shd w:val="clear" w:color="auto" w:fill="CCEEFF"/>
          </w:tcPr>
          <w:p>
            <w:pPr>
              <w:ind w:left="580"/>
              <w:spacing w:after="0"/>
              <w:rPr>
                <w:sz w:val="20"/>
                <w:szCs w:val="20"/>
                <w:color w:val="auto"/>
              </w:rPr>
            </w:pPr>
            <w:r>
              <w:rPr>
                <w:rFonts w:ascii="Arial" w:cs="Arial" w:eastAsia="Arial" w:hAnsi="Arial"/>
                <w:sz w:val="16"/>
                <w:szCs w:val="16"/>
                <w:color w:val="auto"/>
              </w:rPr>
              <w:t>retention</w:t>
            </w:r>
          </w:p>
        </w:tc>
        <w:tc>
          <w:tcPr>
            <w:tcW w:w="0" w:type="dxa"/>
            <w:vAlign w:val="bottom"/>
          </w:tcPr>
          <w:p>
            <w:pPr>
              <w:spacing w:after="0"/>
              <w:rPr>
                <w:sz w:val="1"/>
                <w:szCs w:val="1"/>
                <w:color w:val="auto"/>
              </w:rPr>
            </w:pPr>
          </w:p>
        </w:tc>
      </w:tr>
      <w:tr>
        <w:trPr>
          <w:trHeight w:val="148"/>
        </w:trPr>
        <w:tc>
          <w:tcPr>
            <w:tcW w:w="2540" w:type="dxa"/>
            <w:vAlign w:val="bottom"/>
            <w:shd w:val="clear" w:color="auto" w:fill="CCEEFF"/>
          </w:tcPr>
          <w:p>
            <w:pPr>
              <w:spacing w:after="0"/>
              <w:rPr>
                <w:sz w:val="12"/>
                <w:szCs w:val="12"/>
                <w:color w:val="auto"/>
              </w:rPr>
            </w:pPr>
          </w:p>
        </w:tc>
        <w:tc>
          <w:tcPr>
            <w:tcW w:w="2520" w:type="dxa"/>
            <w:vAlign w:val="bottom"/>
            <w:shd w:val="clear" w:color="auto" w:fill="CCEEFF"/>
          </w:tcPr>
          <w:p>
            <w:pPr>
              <w:spacing w:after="0"/>
              <w:rPr>
                <w:sz w:val="12"/>
                <w:szCs w:val="12"/>
                <w:color w:val="auto"/>
              </w:rPr>
            </w:pPr>
          </w:p>
        </w:tc>
        <w:tc>
          <w:tcPr>
            <w:tcW w:w="3160" w:type="dxa"/>
            <w:vAlign w:val="bottom"/>
            <w:vMerge w:val="continue"/>
            <w:shd w:val="clear" w:color="auto" w:fill="CCEEFF"/>
          </w:tcPr>
          <w:p>
            <w:pPr>
              <w:spacing w:after="0"/>
              <w:rPr>
                <w:sz w:val="12"/>
                <w:szCs w:val="12"/>
                <w:color w:val="auto"/>
              </w:rPr>
            </w:pPr>
          </w:p>
        </w:tc>
        <w:tc>
          <w:tcPr>
            <w:tcW w:w="3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24"/>
        </w:trPr>
        <w:tc>
          <w:tcPr>
            <w:tcW w:w="2540" w:type="dxa"/>
            <w:vAlign w:val="bottom"/>
            <w:shd w:val="clear" w:color="auto" w:fill="CCEEFF"/>
          </w:tcPr>
          <w:p>
            <w:pPr>
              <w:spacing w:after="0"/>
              <w:rPr>
                <w:sz w:val="24"/>
                <w:szCs w:val="24"/>
                <w:color w:val="auto"/>
              </w:rPr>
            </w:pPr>
          </w:p>
        </w:tc>
        <w:tc>
          <w:tcPr>
            <w:tcW w:w="2520" w:type="dxa"/>
            <w:vAlign w:val="bottom"/>
            <w:shd w:val="clear" w:color="auto" w:fill="CCEEFF"/>
          </w:tcPr>
          <w:p>
            <w:pPr>
              <w:spacing w:after="0"/>
              <w:rPr>
                <w:sz w:val="24"/>
                <w:szCs w:val="24"/>
                <w:color w:val="auto"/>
              </w:rPr>
            </w:pPr>
          </w:p>
        </w:tc>
        <w:tc>
          <w:tcPr>
            <w:tcW w:w="3160" w:type="dxa"/>
            <w:vAlign w:val="bottom"/>
            <w:shd w:val="clear" w:color="auto" w:fill="CCEEFF"/>
          </w:tcPr>
          <w:p>
            <w:pPr>
              <w:ind w:left="420"/>
              <w:spacing w:after="0"/>
              <w:rPr>
                <w:sz w:val="20"/>
                <w:szCs w:val="20"/>
                <w:color w:val="auto"/>
              </w:rPr>
            </w:pPr>
            <w:r>
              <w:rPr>
                <w:rFonts w:ascii="Arial" w:cs="Arial" w:eastAsia="Arial" w:hAnsi="Arial"/>
                <w:sz w:val="16"/>
                <w:szCs w:val="16"/>
                <w:color w:val="auto"/>
              </w:rPr>
              <w:t>401(k) plan participation</w:t>
            </w:r>
          </w:p>
        </w:tc>
        <w:tc>
          <w:tcPr>
            <w:tcW w:w="30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2540" w:type="dxa"/>
            <w:vAlign w:val="bottom"/>
            <w:shd w:val="clear" w:color="auto" w:fill="CCEEFF"/>
          </w:tcPr>
          <w:p>
            <w:pPr>
              <w:spacing w:after="0"/>
              <w:rPr>
                <w:sz w:val="24"/>
                <w:szCs w:val="24"/>
                <w:color w:val="auto"/>
              </w:rPr>
            </w:pPr>
          </w:p>
        </w:tc>
        <w:tc>
          <w:tcPr>
            <w:tcW w:w="2520" w:type="dxa"/>
            <w:vAlign w:val="bottom"/>
            <w:shd w:val="clear" w:color="auto" w:fill="CCEEFF"/>
          </w:tcPr>
          <w:p>
            <w:pPr>
              <w:spacing w:after="0"/>
              <w:rPr>
                <w:sz w:val="24"/>
                <w:szCs w:val="24"/>
                <w:color w:val="auto"/>
              </w:rPr>
            </w:pPr>
          </w:p>
        </w:tc>
        <w:tc>
          <w:tcPr>
            <w:tcW w:w="3160" w:type="dxa"/>
            <w:vAlign w:val="bottom"/>
            <w:shd w:val="clear" w:color="auto" w:fill="CCEEFF"/>
          </w:tcPr>
          <w:p>
            <w:pPr>
              <w:ind w:left="420"/>
              <w:spacing w:after="0"/>
              <w:rPr>
                <w:sz w:val="20"/>
                <w:szCs w:val="20"/>
                <w:color w:val="auto"/>
              </w:rPr>
            </w:pPr>
            <w:r>
              <w:rPr>
                <w:rFonts w:ascii="Arial" w:cs="Arial" w:eastAsia="Arial" w:hAnsi="Arial"/>
                <w:sz w:val="16"/>
                <w:szCs w:val="16"/>
                <w:color w:val="auto"/>
              </w:rPr>
              <w:t>Nonqualified deferred compensation</w:t>
            </w:r>
          </w:p>
        </w:tc>
        <w:tc>
          <w:tcPr>
            <w:tcW w:w="30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540" w:type="dxa"/>
            <w:vAlign w:val="bottom"/>
            <w:shd w:val="clear" w:color="auto" w:fill="CCEEFF"/>
          </w:tcPr>
          <w:p>
            <w:pPr>
              <w:spacing w:after="0"/>
              <w:rPr>
                <w:sz w:val="17"/>
                <w:szCs w:val="17"/>
                <w:color w:val="auto"/>
              </w:rPr>
            </w:pPr>
          </w:p>
        </w:tc>
        <w:tc>
          <w:tcPr>
            <w:tcW w:w="2520" w:type="dxa"/>
            <w:vAlign w:val="bottom"/>
            <w:shd w:val="clear" w:color="auto" w:fill="CCEEFF"/>
          </w:tcPr>
          <w:p>
            <w:pPr>
              <w:spacing w:after="0"/>
              <w:rPr>
                <w:sz w:val="17"/>
                <w:szCs w:val="17"/>
                <w:color w:val="auto"/>
              </w:rPr>
            </w:pPr>
          </w:p>
        </w:tc>
        <w:tc>
          <w:tcPr>
            <w:tcW w:w="3160" w:type="dxa"/>
            <w:vAlign w:val="bottom"/>
            <w:shd w:val="clear" w:color="auto" w:fill="CCEEFF"/>
          </w:tcPr>
          <w:p>
            <w:pPr>
              <w:ind w:left="420"/>
              <w:spacing w:after="0"/>
              <w:rPr>
                <w:sz w:val="20"/>
                <w:szCs w:val="20"/>
                <w:color w:val="auto"/>
              </w:rPr>
            </w:pPr>
            <w:r>
              <w:rPr>
                <w:rFonts w:ascii="Arial" w:cs="Arial" w:eastAsia="Arial" w:hAnsi="Arial"/>
                <w:sz w:val="16"/>
                <w:szCs w:val="16"/>
                <w:color w:val="auto"/>
              </w:rPr>
              <w:t>plan</w:t>
            </w:r>
          </w:p>
        </w:tc>
        <w:tc>
          <w:tcPr>
            <w:tcW w:w="3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2540" w:type="dxa"/>
            <w:vAlign w:val="bottom"/>
            <w:shd w:val="clear" w:color="auto" w:fill="CCEEFF"/>
          </w:tcPr>
          <w:p>
            <w:pPr>
              <w:spacing w:after="0"/>
              <w:rPr>
                <w:sz w:val="2"/>
                <w:szCs w:val="2"/>
                <w:color w:val="auto"/>
              </w:rPr>
            </w:pPr>
          </w:p>
        </w:tc>
        <w:tc>
          <w:tcPr>
            <w:tcW w:w="2520" w:type="dxa"/>
            <w:vAlign w:val="bottom"/>
            <w:shd w:val="clear" w:color="auto" w:fill="CCEEFF"/>
          </w:tcPr>
          <w:p>
            <w:pPr>
              <w:spacing w:after="0"/>
              <w:rPr>
                <w:sz w:val="2"/>
                <w:szCs w:val="2"/>
                <w:color w:val="auto"/>
              </w:rPr>
            </w:pPr>
          </w:p>
        </w:tc>
        <w:tc>
          <w:tcPr>
            <w:tcW w:w="3160" w:type="dxa"/>
            <w:vAlign w:val="bottom"/>
            <w:shd w:val="clear" w:color="auto" w:fill="CCEEFF"/>
          </w:tcPr>
          <w:p>
            <w:pPr>
              <w:spacing w:after="0"/>
              <w:rPr>
                <w:sz w:val="2"/>
                <w:szCs w:val="2"/>
                <w:color w:val="auto"/>
              </w:rPr>
            </w:pPr>
          </w:p>
        </w:tc>
        <w:tc>
          <w:tcPr>
            <w:tcW w:w="30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Because of the ability of our NEOs to directly influence our overall performance, and consistent with our philosophy of linking pay to performance, the compensation programs allocate a significant portion of compensation paid to our NEOs to both short-term and long-term performance-based incentive programs. In addition, as an employee’s responsibility and ability to affect our financial results increases, base salary becomes a relatively smaller component of total compensation while long-term and at-risk incentive compensation becomes a larger component of total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u w:val="single" w:color="auto"/>
          <w:color w:val="4F81B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Base Salary</w:t>
      </w:r>
    </w:p>
    <w:p>
      <w:pPr>
        <w:spacing w:after="0" w:line="22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Base salaries are set at competitive levels necessary to attract and retain top-performing senior executives, including our NEOs, and are intended to compensate senior executives for their job responsibilities and level of experience. The CNG Committee has a goal to set each of the elements of total compensation at or around the 50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percentile of the Benchmark Comparison Group (and, for our presidents of our four business units, the overall general industry), adjusted to reflect each executive’s individual performance and contributions. However, as there were certain elements of compensation not available to us when we were wholly-owned by PEI, such as equity-based compensation, the CNG Committee recognizes that it will take time before all of the individual elements of total compensation can reach the 50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percentile goal. In certain cases, including when an executive is recruited from another company or where it is otherwise appropriate to retain or incentivize an executive, the base salary may exceed the levels indicated in order to attract, and ultimately retain, the executive.</w:t>
      </w:r>
    </w:p>
    <w:p>
      <w:pPr>
        <w:spacing w:after="0" w:line="2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Messrs. Mitchell and Graham did not receive a base salary adjustment in 2022. Mr. Cappel received a base salary adjustment of 10%, and Mses. Bishop, Smith and Buckner received base salary adjustments of 17%, 22% and 19%, respectively, in 2022. All base salary adjustments for our NEOs in 2022 were made in an effort to align with our compensation goals.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Incentive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2022 Annual Incentive Program</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2022 annual incentive program (“2022 AIP”) was designed to provide an opportunity for our senior executives, including our NEOs, to earn an annual incentive, paid in cash, based on the achievement of certain financial targets and strategic priorities. An executive’s incentive target is a percentage of his or her annualized base salary amount.</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2022 AIP was designed to motivate our senior executives to achieve annual financial and other business goals based on our strategic, financial, and operating performance objectives. For our senior executives, including our NEOs, 80% of the payout under the 2022 AIP would be determined by 2022 Adjusted EBITDA as a percentage of 2021 Adjusted EBITDA (“Adjusted EBITDA Growth”). The remaining 20% would be determined by the 2022 increase in total net revenues relative to 2021 total net revenues (“Revenue Growth”). The targets and threshold levels for these performance metrics were set by the CNG Committee in the first quarter of 2022. Based on the combined Adjusted EBITDA Growth and Revenue Growth results, a participant could earn up to 200% of the target value.</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In the first quarter of 2022, the CNG Committee established the following payout levels that would be associated with the degree to which each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Adjusted EBITDA Growth and Revenue Growth was attained for 2022:</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1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Adjusted EBITDA Growth</w:t>
            </w:r>
          </w:p>
        </w:tc>
        <w:tc>
          <w:tcPr>
            <w:tcW w:w="16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Threshold</w:t>
            </w:r>
          </w:p>
        </w:tc>
        <w:tc>
          <w:tcPr>
            <w:tcW w:w="46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ind w:left="400"/>
              <w:spacing w:after="0"/>
              <w:rPr>
                <w:sz w:val="20"/>
                <w:szCs w:val="20"/>
                <w:color w:val="auto"/>
              </w:rPr>
            </w:pPr>
            <w:r>
              <w:rPr>
                <w:rFonts w:ascii="Arial" w:cs="Arial" w:eastAsia="Arial" w:hAnsi="Arial"/>
                <w:sz w:val="16"/>
                <w:szCs w:val="16"/>
                <w:b w:val="1"/>
                <w:bCs w:val="1"/>
                <w:color w:val="auto"/>
              </w:rPr>
              <w:t>Target</w:t>
            </w:r>
          </w:p>
        </w:tc>
        <w:tc>
          <w:tcPr>
            <w:tcW w:w="46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ind w:left="260"/>
              <w:spacing w:after="0"/>
              <w:rPr>
                <w:sz w:val="20"/>
                <w:szCs w:val="20"/>
                <w:color w:val="auto"/>
              </w:rPr>
            </w:pPr>
            <w:r>
              <w:rPr>
                <w:rFonts w:ascii="Arial" w:cs="Arial" w:eastAsia="Arial" w:hAnsi="Arial"/>
                <w:sz w:val="16"/>
                <w:szCs w:val="16"/>
                <w:b w:val="1"/>
                <w:bCs w:val="1"/>
                <w:color w:val="auto"/>
              </w:rPr>
              <w:t>Maximum</w:t>
            </w:r>
          </w:p>
        </w:tc>
        <w:tc>
          <w:tcPr>
            <w:tcW w:w="300" w:type="dxa"/>
            <w:vAlign w:val="bottom"/>
            <w:tcBorders>
              <w:bottom w:val="single" w:sz="8" w:color="CCEEFF"/>
            </w:tcBorders>
          </w:tcPr>
          <w:p>
            <w:pPr>
              <w:spacing w:after="0"/>
              <w:rPr>
                <w:sz w:val="18"/>
                <w:szCs w:val="18"/>
                <w:color w:val="auto"/>
              </w:rPr>
            </w:pPr>
          </w:p>
        </w:tc>
      </w:tr>
      <w:tr>
        <w:trPr>
          <w:trHeight w:val="212"/>
        </w:trPr>
        <w:tc>
          <w:tcPr>
            <w:tcW w:w="62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FY 2022 ($m)</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541</w:t>
            </w:r>
          </w:p>
        </w:tc>
        <w:tc>
          <w:tcPr>
            <w:tcW w:w="460" w:type="dxa"/>
            <w:vAlign w:val="bottom"/>
            <w:shd w:val="clear" w:color="auto" w:fill="CCEEFF"/>
          </w:tcPr>
          <w:p>
            <w:pPr>
              <w:spacing w:after="0"/>
              <w:rPr>
                <w:sz w:val="18"/>
                <w:szCs w:val="18"/>
                <w:color w:val="auto"/>
              </w:rPr>
            </w:pPr>
          </w:p>
        </w:tc>
        <w:tc>
          <w:tcPr>
            <w:tcW w:w="1240" w:type="dxa"/>
            <w:vAlign w:val="bottom"/>
            <w:shd w:val="clear" w:color="auto" w:fill="CCEEFF"/>
          </w:tcPr>
          <w:p>
            <w:pPr>
              <w:ind w:left="980"/>
              <w:spacing w:after="0"/>
              <w:rPr>
                <w:sz w:val="20"/>
                <w:szCs w:val="20"/>
                <w:color w:val="auto"/>
              </w:rPr>
            </w:pPr>
            <w:r>
              <w:rPr>
                <w:rFonts w:ascii="Arial" w:cs="Arial" w:eastAsia="Arial" w:hAnsi="Arial"/>
                <w:sz w:val="16"/>
                <w:szCs w:val="16"/>
                <w:color w:val="auto"/>
                <w:w w:val="89"/>
              </w:rPr>
              <w:t>607</w:t>
            </w:r>
          </w:p>
        </w:tc>
        <w:tc>
          <w:tcPr>
            <w:tcW w:w="460" w:type="dxa"/>
            <w:vAlign w:val="bottom"/>
            <w:shd w:val="clear" w:color="auto" w:fill="CCEEFF"/>
          </w:tcPr>
          <w:p>
            <w:pPr>
              <w:spacing w:after="0"/>
              <w:rPr>
                <w:sz w:val="18"/>
                <w:szCs w:val="18"/>
                <w:color w:val="auto"/>
              </w:rPr>
            </w:pPr>
          </w:p>
        </w:tc>
        <w:tc>
          <w:tcPr>
            <w:tcW w:w="1260" w:type="dxa"/>
            <w:vAlign w:val="bottom"/>
            <w:shd w:val="clear" w:color="auto" w:fill="CCEEFF"/>
          </w:tcPr>
          <w:p>
            <w:pPr>
              <w:ind w:left="1000"/>
              <w:spacing w:after="0"/>
              <w:rPr>
                <w:sz w:val="20"/>
                <w:szCs w:val="20"/>
                <w:color w:val="auto"/>
              </w:rPr>
            </w:pPr>
            <w:r>
              <w:rPr>
                <w:rFonts w:ascii="Arial" w:cs="Arial" w:eastAsia="Arial" w:hAnsi="Arial"/>
                <w:sz w:val="16"/>
                <w:szCs w:val="16"/>
                <w:color w:val="auto"/>
                <w:w w:val="89"/>
              </w:rPr>
              <w:t>649</w:t>
            </w:r>
          </w:p>
        </w:tc>
        <w:tc>
          <w:tcPr>
            <w:tcW w:w="300" w:type="dxa"/>
            <w:vAlign w:val="bottom"/>
            <w:shd w:val="clear" w:color="auto" w:fill="CCEEFF"/>
          </w:tcPr>
          <w:p>
            <w:pPr>
              <w:spacing w:after="0"/>
              <w:rPr>
                <w:sz w:val="18"/>
                <w:szCs w:val="18"/>
                <w:color w:val="auto"/>
              </w:rPr>
            </w:pPr>
          </w:p>
        </w:tc>
      </w:tr>
      <w:tr>
        <w:trPr>
          <w:trHeight w:val="213"/>
        </w:trPr>
        <w:tc>
          <w:tcPr>
            <w:tcW w:w="6280" w:type="dxa"/>
            <w:vAlign w:val="bottom"/>
            <w:gridSpan w:val="2"/>
          </w:tcPr>
          <w:p>
            <w:pPr>
              <w:ind w:left="20"/>
              <w:spacing w:after="0"/>
              <w:rPr>
                <w:sz w:val="20"/>
                <w:szCs w:val="20"/>
                <w:color w:val="auto"/>
              </w:rPr>
            </w:pPr>
            <w:r>
              <w:rPr>
                <w:rFonts w:ascii="Arial" w:cs="Arial" w:eastAsia="Arial" w:hAnsi="Arial"/>
                <w:sz w:val="16"/>
                <w:szCs w:val="16"/>
                <w:color w:val="auto"/>
              </w:rPr>
              <w:t>% of FY 2021</w:t>
            </w:r>
          </w:p>
        </w:tc>
        <w:tc>
          <w:tcPr>
            <w:tcW w:w="1700" w:type="dxa"/>
            <w:vAlign w:val="bottom"/>
            <w:gridSpan w:val="2"/>
          </w:tcPr>
          <w:p>
            <w:pPr>
              <w:jc w:val="right"/>
              <w:ind w:right="300"/>
              <w:spacing w:after="0"/>
              <w:rPr>
                <w:sz w:val="20"/>
                <w:szCs w:val="20"/>
                <w:color w:val="auto"/>
              </w:rPr>
            </w:pPr>
            <w:r>
              <w:rPr>
                <w:rFonts w:ascii="Arial" w:cs="Arial" w:eastAsia="Arial" w:hAnsi="Arial"/>
                <w:sz w:val="16"/>
                <w:szCs w:val="16"/>
                <w:color w:val="auto"/>
              </w:rPr>
              <w:t>90 %</w:t>
            </w:r>
          </w:p>
        </w:tc>
        <w:tc>
          <w:tcPr>
            <w:tcW w:w="1700" w:type="dxa"/>
            <w:vAlign w:val="bottom"/>
            <w:gridSpan w:val="2"/>
          </w:tcPr>
          <w:p>
            <w:pPr>
              <w:ind w:left="980"/>
              <w:spacing w:after="0"/>
              <w:rPr>
                <w:sz w:val="20"/>
                <w:szCs w:val="20"/>
                <w:color w:val="auto"/>
              </w:rPr>
            </w:pPr>
            <w:r>
              <w:rPr>
                <w:rFonts w:ascii="Arial" w:cs="Arial" w:eastAsia="Arial" w:hAnsi="Arial"/>
                <w:sz w:val="16"/>
                <w:szCs w:val="16"/>
                <w:color w:val="auto"/>
              </w:rPr>
              <w:t>101 %</w:t>
            </w:r>
          </w:p>
        </w:tc>
        <w:tc>
          <w:tcPr>
            <w:tcW w:w="1560" w:type="dxa"/>
            <w:vAlign w:val="bottom"/>
            <w:gridSpan w:val="2"/>
          </w:tcPr>
          <w:p>
            <w:pPr>
              <w:ind w:left="1000"/>
              <w:spacing w:after="0"/>
              <w:rPr>
                <w:sz w:val="20"/>
                <w:szCs w:val="20"/>
                <w:color w:val="auto"/>
              </w:rPr>
            </w:pPr>
            <w:r>
              <w:rPr>
                <w:rFonts w:ascii="Arial" w:cs="Arial" w:eastAsia="Arial" w:hAnsi="Arial"/>
                <w:sz w:val="16"/>
                <w:szCs w:val="16"/>
                <w:color w:val="auto"/>
              </w:rPr>
              <w:t>108 %</w:t>
            </w:r>
          </w:p>
        </w:tc>
      </w:tr>
      <w:tr>
        <w:trPr>
          <w:trHeight w:val="219"/>
        </w:trPr>
        <w:tc>
          <w:tcPr>
            <w:tcW w:w="62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Percentage Payout Level</w:t>
            </w:r>
          </w:p>
        </w:tc>
        <w:tc>
          <w:tcPr>
            <w:tcW w:w="17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25 %</w:t>
            </w:r>
          </w:p>
        </w:tc>
        <w:tc>
          <w:tcPr>
            <w:tcW w:w="1700" w:type="dxa"/>
            <w:vAlign w:val="bottom"/>
            <w:gridSpan w:val="2"/>
            <w:shd w:val="clear" w:color="auto" w:fill="CCEEFF"/>
          </w:tcPr>
          <w:p>
            <w:pPr>
              <w:ind w:left="980"/>
              <w:spacing w:after="0"/>
              <w:rPr>
                <w:sz w:val="20"/>
                <w:szCs w:val="20"/>
                <w:color w:val="auto"/>
              </w:rPr>
            </w:pPr>
            <w:r>
              <w:rPr>
                <w:rFonts w:ascii="Arial" w:cs="Arial" w:eastAsia="Arial" w:hAnsi="Arial"/>
                <w:sz w:val="16"/>
                <w:szCs w:val="16"/>
                <w:color w:val="auto"/>
              </w:rPr>
              <w:t>100 %</w:t>
            </w:r>
          </w:p>
        </w:tc>
        <w:tc>
          <w:tcPr>
            <w:tcW w:w="1560" w:type="dxa"/>
            <w:vAlign w:val="bottom"/>
            <w:gridSpan w:val="2"/>
            <w:shd w:val="clear" w:color="auto" w:fill="CCEEFF"/>
          </w:tcPr>
          <w:p>
            <w:pPr>
              <w:ind w:left="1000"/>
              <w:spacing w:after="0"/>
              <w:rPr>
                <w:sz w:val="20"/>
                <w:szCs w:val="20"/>
                <w:color w:val="auto"/>
              </w:rPr>
            </w:pPr>
            <w:r>
              <w:rPr>
                <w:rFonts w:ascii="Arial" w:cs="Arial" w:eastAsia="Arial" w:hAnsi="Arial"/>
                <w:sz w:val="16"/>
                <w:szCs w:val="16"/>
                <w:color w:val="auto"/>
              </w:rPr>
              <w:t>200 %</w:t>
            </w:r>
          </w:p>
        </w:tc>
      </w:tr>
    </w:tbl>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Revenue Growth</w:t>
            </w:r>
          </w:p>
        </w:tc>
        <w:tc>
          <w:tcPr>
            <w:tcW w:w="16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Threshold</w:t>
            </w:r>
          </w:p>
        </w:tc>
        <w:tc>
          <w:tcPr>
            <w:tcW w:w="46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Target</w:t>
            </w:r>
          </w:p>
        </w:tc>
        <w:tc>
          <w:tcPr>
            <w:tcW w:w="460" w:type="dxa"/>
            <w:vAlign w:val="bottom"/>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Maximum</w:t>
            </w:r>
          </w:p>
        </w:tc>
        <w:tc>
          <w:tcPr>
            <w:tcW w:w="300" w:type="dxa"/>
            <w:vAlign w:val="bottom"/>
            <w:shd w:val="clear" w:color="auto" w:fill="CCEEFF"/>
          </w:tcPr>
          <w:p>
            <w:pPr>
              <w:spacing w:after="0"/>
              <w:rPr>
                <w:sz w:val="18"/>
                <w:szCs w:val="18"/>
                <w:color w:val="auto"/>
              </w:rPr>
            </w:pPr>
          </w:p>
        </w:tc>
      </w:tr>
      <w:tr>
        <w:trPr>
          <w:trHeight w:val="207"/>
        </w:trPr>
        <w:tc>
          <w:tcPr>
            <w:tcW w:w="6280" w:type="dxa"/>
            <w:vAlign w:val="bottom"/>
            <w:gridSpan w:val="2"/>
          </w:tcPr>
          <w:p>
            <w:pPr>
              <w:ind w:left="20"/>
              <w:spacing w:after="0"/>
              <w:rPr>
                <w:sz w:val="20"/>
                <w:szCs w:val="20"/>
                <w:color w:val="auto"/>
              </w:rPr>
            </w:pPr>
            <w:r>
              <w:rPr>
                <w:rFonts w:ascii="Arial" w:cs="Arial" w:eastAsia="Arial" w:hAnsi="Arial"/>
                <w:sz w:val="16"/>
                <w:szCs w:val="16"/>
                <w:color w:val="auto"/>
              </w:rPr>
              <w:t>FY 2022 ($m)</w:t>
            </w:r>
          </w:p>
        </w:tc>
        <w:tc>
          <w:tcPr>
            <w:tcW w:w="1240" w:type="dxa"/>
            <w:vAlign w:val="bottom"/>
          </w:tcPr>
          <w:p>
            <w:pPr>
              <w:jc w:val="right"/>
              <w:spacing w:after="0"/>
              <w:rPr>
                <w:sz w:val="20"/>
                <w:szCs w:val="20"/>
                <w:color w:val="auto"/>
              </w:rPr>
            </w:pPr>
            <w:r>
              <w:rPr>
                <w:rFonts w:ascii="Arial" w:cs="Arial" w:eastAsia="Arial" w:hAnsi="Arial"/>
                <w:sz w:val="16"/>
                <w:szCs w:val="16"/>
                <w:color w:val="auto"/>
              </w:rPr>
              <w:t>3,556</w:t>
            </w:r>
          </w:p>
        </w:tc>
        <w:tc>
          <w:tcPr>
            <w:tcW w:w="4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3,645</w:t>
            </w:r>
          </w:p>
        </w:tc>
        <w:tc>
          <w:tcPr>
            <w:tcW w:w="4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3,734</w:t>
            </w:r>
          </w:p>
        </w:tc>
        <w:tc>
          <w:tcPr>
            <w:tcW w:w="300" w:type="dxa"/>
            <w:vAlign w:val="bottom"/>
          </w:tcPr>
          <w:p>
            <w:pPr>
              <w:spacing w:after="0"/>
              <w:rPr>
                <w:sz w:val="17"/>
                <w:szCs w:val="17"/>
                <w:color w:val="auto"/>
              </w:rPr>
            </w:pPr>
          </w:p>
        </w:tc>
      </w:tr>
      <w:tr>
        <w:trPr>
          <w:trHeight w:val="219"/>
        </w:trPr>
        <w:tc>
          <w:tcPr>
            <w:tcW w:w="62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 of FY 2021</w:t>
            </w:r>
          </w:p>
        </w:tc>
        <w:tc>
          <w:tcPr>
            <w:tcW w:w="17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100 %</w:t>
            </w:r>
          </w:p>
        </w:tc>
        <w:tc>
          <w:tcPr>
            <w:tcW w:w="17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102.5 %</w:t>
            </w: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105 %</w:t>
            </w:r>
          </w:p>
        </w:tc>
      </w:tr>
      <w:tr>
        <w:trPr>
          <w:trHeight w:val="210"/>
        </w:trPr>
        <w:tc>
          <w:tcPr>
            <w:tcW w:w="6280" w:type="dxa"/>
            <w:vAlign w:val="bottom"/>
            <w:gridSpan w:val="2"/>
          </w:tcPr>
          <w:p>
            <w:pPr>
              <w:ind w:left="20"/>
              <w:spacing w:after="0"/>
              <w:rPr>
                <w:sz w:val="20"/>
                <w:szCs w:val="20"/>
                <w:color w:val="auto"/>
              </w:rPr>
            </w:pPr>
            <w:r>
              <w:rPr>
                <w:rFonts w:ascii="Arial" w:cs="Arial" w:eastAsia="Arial" w:hAnsi="Arial"/>
                <w:sz w:val="16"/>
                <w:szCs w:val="16"/>
                <w:color w:val="auto"/>
              </w:rPr>
              <w:t>Percentage Payout Level</w:t>
            </w:r>
          </w:p>
        </w:tc>
        <w:tc>
          <w:tcPr>
            <w:tcW w:w="1700" w:type="dxa"/>
            <w:vAlign w:val="bottom"/>
            <w:gridSpan w:val="2"/>
          </w:tcPr>
          <w:p>
            <w:pPr>
              <w:jc w:val="right"/>
              <w:ind w:right="300"/>
              <w:spacing w:after="0"/>
              <w:rPr>
                <w:sz w:val="20"/>
                <w:szCs w:val="20"/>
                <w:color w:val="auto"/>
              </w:rPr>
            </w:pPr>
            <w:r>
              <w:rPr>
                <w:rFonts w:ascii="Arial" w:cs="Arial" w:eastAsia="Arial" w:hAnsi="Arial"/>
                <w:sz w:val="16"/>
                <w:szCs w:val="16"/>
                <w:color w:val="auto"/>
              </w:rPr>
              <w:t>25 %</w:t>
            </w:r>
          </w:p>
        </w:tc>
        <w:tc>
          <w:tcPr>
            <w:tcW w:w="1700" w:type="dxa"/>
            <w:vAlign w:val="bottom"/>
            <w:gridSpan w:val="2"/>
          </w:tcPr>
          <w:p>
            <w:pPr>
              <w:jc w:val="right"/>
              <w:ind w:right="300"/>
              <w:spacing w:after="0"/>
              <w:rPr>
                <w:sz w:val="20"/>
                <w:szCs w:val="20"/>
                <w:color w:val="auto"/>
              </w:rPr>
            </w:pPr>
            <w:r>
              <w:rPr>
                <w:rFonts w:ascii="Arial" w:cs="Arial" w:eastAsia="Arial" w:hAnsi="Arial"/>
                <w:sz w:val="16"/>
                <w:szCs w:val="16"/>
                <w:color w:val="auto"/>
              </w:rPr>
              <w:t>100 %</w:t>
            </w:r>
          </w:p>
        </w:tc>
        <w:tc>
          <w:tcPr>
            <w:tcW w:w="1560" w:type="dxa"/>
            <w:vAlign w:val="bottom"/>
            <w:gridSpan w:val="2"/>
          </w:tcPr>
          <w:p>
            <w:pPr>
              <w:jc w:val="right"/>
              <w:ind w:right="140"/>
              <w:spacing w:after="0"/>
              <w:rPr>
                <w:sz w:val="20"/>
                <w:szCs w:val="20"/>
                <w:color w:val="auto"/>
              </w:rPr>
            </w:pPr>
            <w:r>
              <w:rPr>
                <w:rFonts w:ascii="Arial" w:cs="Arial" w:eastAsia="Arial" w:hAnsi="Arial"/>
                <w:sz w:val="16"/>
                <w:szCs w:val="16"/>
                <w:color w:val="auto"/>
              </w:rPr>
              <w:t>200 %</w:t>
            </w:r>
          </w:p>
        </w:tc>
      </w:tr>
    </w:tbl>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The CNG Committee provided that payout levels would be interpolated for results between the threshold and maximum levels.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4F81B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first quarter of 2022, the CNG Committee also established the target amounts to which the resulting percentage payout level would be applied. The target percentage of actual base salary for the year for each NEO was: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20" w:type="dxa"/>
            <w:vAlign w:val="bottom"/>
            <w:gridSpan w:val="2"/>
          </w:tcPr>
          <w:p>
            <w:pPr>
              <w:jc w:val="right"/>
              <w:ind w:right="810"/>
              <w:spacing w:after="0"/>
              <w:rPr>
                <w:sz w:val="20"/>
                <w:szCs w:val="20"/>
                <w:color w:val="auto"/>
              </w:rPr>
            </w:pPr>
            <w:r>
              <w:rPr>
                <w:rFonts w:ascii="Arial" w:cs="Arial" w:eastAsia="Arial" w:hAnsi="Arial"/>
                <w:sz w:val="18"/>
                <w:szCs w:val="18"/>
                <w:b w:val="1"/>
                <w:bCs w:val="1"/>
                <w:color w:val="auto"/>
              </w:rPr>
              <w:t>Target % of</w:t>
            </w:r>
          </w:p>
        </w:tc>
      </w:tr>
      <w:tr>
        <w:trPr>
          <w:trHeight w:val="243"/>
        </w:trPr>
        <w:tc>
          <w:tcPr>
            <w:tcW w:w="8920" w:type="dxa"/>
            <w:vAlign w:val="bottom"/>
            <w:gridSpan w:val="2"/>
          </w:tcPr>
          <w:p>
            <w:pPr>
              <w:ind w:left="20"/>
              <w:spacing w:after="0"/>
              <w:rPr>
                <w:sz w:val="20"/>
                <w:szCs w:val="20"/>
                <w:color w:val="auto"/>
              </w:rPr>
            </w:pPr>
            <w:r>
              <w:rPr>
                <w:rFonts w:ascii="Arial" w:cs="Arial" w:eastAsia="Arial" w:hAnsi="Arial"/>
                <w:sz w:val="18"/>
                <w:szCs w:val="18"/>
                <w:b w:val="1"/>
                <w:bCs w:val="1"/>
                <w:color w:val="auto"/>
              </w:rPr>
              <w:t>Name</w:t>
            </w:r>
          </w:p>
        </w:tc>
        <w:tc>
          <w:tcPr>
            <w:tcW w:w="2320" w:type="dxa"/>
            <w:vAlign w:val="bottom"/>
            <w:gridSpan w:val="2"/>
          </w:tcPr>
          <w:p>
            <w:pPr>
              <w:jc w:val="right"/>
              <w:ind w:right="830"/>
              <w:spacing w:after="0"/>
              <w:rPr>
                <w:sz w:val="20"/>
                <w:szCs w:val="20"/>
                <w:color w:val="auto"/>
              </w:rPr>
            </w:pPr>
            <w:r>
              <w:rPr>
                <w:rFonts w:ascii="Arial" w:cs="Arial" w:eastAsia="Arial" w:hAnsi="Arial"/>
                <w:sz w:val="18"/>
                <w:szCs w:val="18"/>
                <w:b w:val="1"/>
                <w:bCs w:val="1"/>
                <w:color w:val="auto"/>
              </w:rPr>
              <w:t>Base Salary</w:t>
            </w:r>
          </w:p>
        </w:tc>
      </w:tr>
      <w:tr>
        <w:trPr>
          <w:trHeight w:val="223"/>
        </w:trPr>
        <w:tc>
          <w:tcPr>
            <w:tcW w:w="8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Lance Mitchell</w:t>
            </w:r>
          </w:p>
        </w:tc>
        <w:tc>
          <w:tcPr>
            <w:tcW w:w="18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420" w:type="dxa"/>
            <w:vAlign w:val="bottom"/>
            <w:tcBorders>
              <w:top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87"/>
              </w:rPr>
              <w:t>%</w:t>
            </w:r>
          </w:p>
        </w:tc>
      </w:tr>
      <w:tr>
        <w:trPr>
          <w:trHeight w:val="229"/>
        </w:trPr>
        <w:tc>
          <w:tcPr>
            <w:tcW w:w="8920" w:type="dxa"/>
            <w:vAlign w:val="bottom"/>
            <w:gridSpan w:val="2"/>
          </w:tcPr>
          <w:p>
            <w:pPr>
              <w:ind w:left="20"/>
              <w:spacing w:after="0"/>
              <w:rPr>
                <w:sz w:val="20"/>
                <w:szCs w:val="20"/>
                <w:color w:val="auto"/>
              </w:rPr>
            </w:pPr>
            <w:r>
              <w:rPr>
                <w:rFonts w:ascii="Arial" w:cs="Arial" w:eastAsia="Arial" w:hAnsi="Arial"/>
                <w:sz w:val="18"/>
                <w:szCs w:val="18"/>
                <w:color w:val="auto"/>
              </w:rPr>
              <w:t>Michael Graham</w:t>
            </w:r>
          </w:p>
        </w:tc>
        <w:tc>
          <w:tcPr>
            <w:tcW w:w="2320" w:type="dxa"/>
            <w:vAlign w:val="bottom"/>
            <w:gridSpan w:val="2"/>
          </w:tcPr>
          <w:p>
            <w:pPr>
              <w:jc w:val="right"/>
              <w:ind w:right="170"/>
              <w:spacing w:after="0"/>
              <w:rPr>
                <w:sz w:val="20"/>
                <w:szCs w:val="20"/>
                <w:color w:val="auto"/>
              </w:rPr>
            </w:pPr>
            <w:r>
              <w:rPr>
                <w:rFonts w:ascii="Arial" w:cs="Arial" w:eastAsia="Arial" w:hAnsi="Arial"/>
                <w:sz w:val="18"/>
                <w:szCs w:val="18"/>
                <w:color w:val="auto"/>
              </w:rPr>
              <w:t>60 %</w:t>
            </w:r>
          </w:p>
        </w:tc>
      </w:tr>
      <w:tr>
        <w:trPr>
          <w:trHeight w:val="229"/>
        </w:trPr>
        <w:tc>
          <w:tcPr>
            <w:tcW w:w="8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Rachel Bishop</w:t>
            </w:r>
          </w:p>
        </w:tc>
        <w:tc>
          <w:tcPr>
            <w:tcW w:w="23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65 %</w:t>
            </w:r>
          </w:p>
        </w:tc>
      </w:tr>
      <w:tr>
        <w:trPr>
          <w:trHeight w:val="230"/>
        </w:trPr>
        <w:tc>
          <w:tcPr>
            <w:tcW w:w="8920" w:type="dxa"/>
            <w:vAlign w:val="bottom"/>
            <w:gridSpan w:val="2"/>
          </w:tcPr>
          <w:p>
            <w:pPr>
              <w:ind w:left="20"/>
              <w:spacing w:after="0"/>
              <w:rPr>
                <w:sz w:val="20"/>
                <w:szCs w:val="20"/>
                <w:color w:val="auto"/>
              </w:rPr>
            </w:pPr>
            <w:r>
              <w:rPr>
                <w:rFonts w:ascii="Arial" w:cs="Arial" w:eastAsia="Arial" w:hAnsi="Arial"/>
                <w:sz w:val="18"/>
                <w:szCs w:val="18"/>
                <w:color w:val="auto"/>
              </w:rPr>
              <w:t>Judith Buckner</w:t>
            </w:r>
          </w:p>
        </w:tc>
        <w:tc>
          <w:tcPr>
            <w:tcW w:w="2320" w:type="dxa"/>
            <w:vAlign w:val="bottom"/>
            <w:gridSpan w:val="2"/>
          </w:tcPr>
          <w:p>
            <w:pPr>
              <w:jc w:val="right"/>
              <w:ind w:right="170"/>
              <w:spacing w:after="0"/>
              <w:rPr>
                <w:sz w:val="20"/>
                <w:szCs w:val="20"/>
                <w:color w:val="auto"/>
              </w:rPr>
            </w:pPr>
            <w:r>
              <w:rPr>
                <w:rFonts w:ascii="Arial" w:cs="Arial" w:eastAsia="Arial" w:hAnsi="Arial"/>
                <w:sz w:val="18"/>
                <w:szCs w:val="18"/>
                <w:color w:val="auto"/>
              </w:rPr>
              <w:t>65 %</w:t>
            </w:r>
          </w:p>
        </w:tc>
      </w:tr>
      <w:tr>
        <w:trPr>
          <w:trHeight w:val="229"/>
        </w:trPr>
        <w:tc>
          <w:tcPr>
            <w:tcW w:w="8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Lisa Smith</w:t>
            </w:r>
          </w:p>
        </w:tc>
        <w:tc>
          <w:tcPr>
            <w:tcW w:w="23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65 %</w:t>
            </w:r>
          </w:p>
        </w:tc>
      </w:tr>
      <w:tr>
        <w:trPr>
          <w:trHeight w:val="230"/>
        </w:trPr>
        <w:tc>
          <w:tcPr>
            <w:tcW w:w="8920" w:type="dxa"/>
            <w:vAlign w:val="bottom"/>
            <w:gridSpan w:val="2"/>
          </w:tcPr>
          <w:p>
            <w:pPr>
              <w:ind w:left="20"/>
              <w:spacing w:after="0"/>
              <w:rPr>
                <w:sz w:val="20"/>
                <w:szCs w:val="20"/>
                <w:color w:val="auto"/>
              </w:rPr>
            </w:pPr>
            <w:r>
              <w:rPr>
                <w:rFonts w:ascii="Arial" w:cs="Arial" w:eastAsia="Arial" w:hAnsi="Arial"/>
                <w:sz w:val="18"/>
                <w:szCs w:val="18"/>
                <w:color w:val="auto"/>
              </w:rPr>
              <w:t>Craig Cappel</w:t>
            </w:r>
          </w:p>
        </w:tc>
        <w:tc>
          <w:tcPr>
            <w:tcW w:w="2320" w:type="dxa"/>
            <w:vAlign w:val="bottom"/>
            <w:gridSpan w:val="2"/>
          </w:tcPr>
          <w:p>
            <w:pPr>
              <w:jc w:val="right"/>
              <w:ind w:right="170"/>
              <w:spacing w:after="0"/>
              <w:rPr>
                <w:sz w:val="20"/>
                <w:szCs w:val="20"/>
                <w:color w:val="auto"/>
              </w:rPr>
            </w:pPr>
            <w:r>
              <w:rPr>
                <w:rFonts w:ascii="Arial" w:cs="Arial" w:eastAsia="Arial" w:hAnsi="Arial"/>
                <w:sz w:val="18"/>
                <w:szCs w:val="18"/>
                <w:color w:val="auto"/>
              </w:rPr>
              <w:t>65 %</w:t>
            </w:r>
          </w:p>
        </w:tc>
      </w:tr>
    </w:tbl>
    <w:p>
      <w:pPr>
        <w:spacing w:after="0" w:line="2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January 2023, the CNG Committee determined the degree to which the Adjusted EBITDA Growth and Revenue Growth goals were attained, and the resulting payout level relative to the target amount for each metric. Based on the achievement level of the Adjusted EBITDA Growth target, the payout for such metric was 31%; and based on the achievement level of the Revenue Growth target, the payout for such metric was 200%. After applying the applicable weightings of these metrics, the payout level was 65% of target, as shown below:</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gridSpan w:val="2"/>
          </w:tcPr>
          <w:p>
            <w:pPr>
              <w:jc w:val="center"/>
              <w:ind w:right="290"/>
              <w:spacing w:after="0"/>
              <w:rPr>
                <w:sz w:val="20"/>
                <w:szCs w:val="20"/>
                <w:color w:val="auto"/>
              </w:rPr>
            </w:pPr>
            <w:r>
              <w:rPr>
                <w:rFonts w:ascii="Arial" w:cs="Arial" w:eastAsia="Arial" w:hAnsi="Arial"/>
                <w:sz w:val="18"/>
                <w:szCs w:val="18"/>
                <w:b w:val="1"/>
                <w:bCs w:val="1"/>
                <w:color w:val="auto"/>
                <w:w w:val="89"/>
              </w:rPr>
              <w:t>Payout</w:t>
            </w:r>
          </w:p>
        </w:tc>
        <w:tc>
          <w:tcPr>
            <w:tcW w:w="92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Weight</w:t>
            </w:r>
          </w:p>
        </w:tc>
        <w:tc>
          <w:tcPr>
            <w:tcW w:w="38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5"/>
              </w:rPr>
              <w:t>Final</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49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Metric</w:t>
            </w:r>
          </w:p>
        </w:tc>
        <w:tc>
          <w:tcPr>
            <w:tcW w:w="1840" w:type="dxa"/>
            <w:vAlign w:val="bottom"/>
            <w:gridSpan w:val="2"/>
            <w:vMerge w:val="restart"/>
          </w:tcPr>
          <w:p>
            <w:pPr>
              <w:ind w:left="260"/>
              <w:spacing w:after="0"/>
              <w:rPr>
                <w:sz w:val="20"/>
                <w:szCs w:val="20"/>
                <w:color w:val="auto"/>
              </w:rPr>
            </w:pPr>
            <w:r>
              <w:rPr>
                <w:rFonts w:ascii="Arial" w:cs="Arial" w:eastAsia="Arial" w:hAnsi="Arial"/>
                <w:sz w:val="18"/>
                <w:szCs w:val="18"/>
                <w:b w:val="1"/>
                <w:bCs w:val="1"/>
                <w:color w:val="auto"/>
              </w:rPr>
              <w:t>Actual ($m / %)</w:t>
            </w:r>
          </w:p>
        </w:tc>
        <w:tc>
          <w:tcPr>
            <w:tcW w:w="1720" w:type="dxa"/>
            <w:vAlign w:val="bottom"/>
            <w:gridSpan w:val="2"/>
          </w:tcPr>
          <w:p>
            <w:pPr>
              <w:jc w:val="center"/>
              <w:ind w:right="310"/>
              <w:spacing w:after="0" w:line="181" w:lineRule="exact"/>
              <w:rPr>
                <w:sz w:val="20"/>
                <w:szCs w:val="20"/>
                <w:color w:val="auto"/>
              </w:rPr>
            </w:pPr>
            <w:r>
              <w:rPr>
                <w:rFonts w:ascii="Arial" w:cs="Arial" w:eastAsia="Arial" w:hAnsi="Arial"/>
                <w:sz w:val="18"/>
                <w:szCs w:val="18"/>
                <w:b w:val="1"/>
                <w:bCs w:val="1"/>
                <w:color w:val="auto"/>
                <w:w w:val="93"/>
              </w:rPr>
              <w:t>Attainment</w:t>
            </w:r>
          </w:p>
        </w:tc>
        <w:tc>
          <w:tcPr>
            <w:tcW w:w="92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89"/>
              </w:rPr>
              <w:t>Payout</w:t>
            </w: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920" w:type="dxa"/>
            <w:vAlign w:val="bottom"/>
            <w:vMerge w:val="continue"/>
          </w:tcPr>
          <w:p>
            <w:pPr>
              <w:spacing w:after="0"/>
              <w:rPr>
                <w:sz w:val="19"/>
                <w:szCs w:val="19"/>
                <w:color w:val="auto"/>
              </w:rPr>
            </w:pPr>
          </w:p>
        </w:tc>
        <w:tc>
          <w:tcPr>
            <w:tcW w:w="1840" w:type="dxa"/>
            <w:vAlign w:val="bottom"/>
            <w:gridSpan w:val="2"/>
            <w:vMerge w:val="continue"/>
          </w:tcPr>
          <w:p>
            <w:pPr>
              <w:spacing w:after="0"/>
              <w:rPr>
                <w:sz w:val="19"/>
                <w:szCs w:val="19"/>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9"/>
                <w:szCs w:val="19"/>
                <w:color w:val="auto"/>
              </w:rPr>
            </w:pPr>
          </w:p>
        </w:tc>
        <w:tc>
          <w:tcPr>
            <w:tcW w:w="920" w:type="dxa"/>
            <w:vAlign w:val="bottom"/>
          </w:tcPr>
          <w:p>
            <w:pPr>
              <w:jc w:val="right"/>
              <w:ind w:right="23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20" w:type="dxa"/>
            <w:vAlign w:val="bottom"/>
            <w:tcBorders>
              <w:top w:val="single" w:sz="8" w:color="CCEEFF"/>
            </w:tcBorders>
            <w:shd w:val="clear" w:color="auto" w:fill="CCEEFF"/>
          </w:tcPr>
          <w:p>
            <w:pPr>
              <w:ind w:left="20"/>
              <w:spacing w:after="0" w:line="207" w:lineRule="exact"/>
              <w:rPr>
                <w:sz w:val="20"/>
                <w:szCs w:val="20"/>
                <w:color w:val="auto"/>
              </w:rPr>
            </w:pPr>
            <w:r>
              <w:rPr>
                <w:rFonts w:ascii="Arial" w:cs="Arial" w:eastAsia="Arial" w:hAnsi="Arial"/>
                <w:sz w:val="18"/>
                <w:szCs w:val="18"/>
                <w:color w:val="auto"/>
              </w:rPr>
              <w:t>Adjusted EBITDA Growth (FY 2022 result / % of FY 2021)</w:t>
            </w:r>
            <w:r>
              <w:rPr>
                <w:rFonts w:ascii="MS PGothic" w:cs="MS PGothic" w:eastAsia="MS PGothic" w:hAnsi="MS PGothic"/>
                <w:sz w:val="18"/>
                <w:szCs w:val="18"/>
                <w:color w:val="auto"/>
              </w:rPr>
              <w:t>⁽</w:t>
            </w:r>
            <w:r>
              <w:rPr>
                <w:rFonts w:ascii="Arial" w:cs="Arial" w:eastAsia="Arial" w:hAnsi="Arial"/>
                <w:sz w:val="18"/>
                <w:szCs w:val="18"/>
                <w:color w:val="auto"/>
              </w:rPr>
              <w:t>¹</w:t>
            </w:r>
            <w:r>
              <w:rPr>
                <w:rFonts w:ascii="MS PGothic" w:cs="MS PGothic" w:eastAsia="MS PGothic" w:hAnsi="MS PGothic"/>
                <w:sz w:val="18"/>
                <w:szCs w:val="18"/>
                <w:color w:val="auto"/>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 / 91%</w:t>
            </w: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380" w:type="dxa"/>
            <w:vAlign w:val="bottom"/>
            <w:tcBorders>
              <w:top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87"/>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380" w:type="dxa"/>
            <w:vAlign w:val="bottom"/>
            <w:tcBorders>
              <w:top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87"/>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30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4920" w:type="dxa"/>
            <w:vAlign w:val="bottom"/>
          </w:tcPr>
          <w:p>
            <w:pPr>
              <w:ind w:left="20"/>
              <w:spacing w:after="0"/>
              <w:rPr>
                <w:sz w:val="20"/>
                <w:szCs w:val="20"/>
                <w:color w:val="auto"/>
              </w:rPr>
            </w:pPr>
            <w:r>
              <w:rPr>
                <w:rFonts w:ascii="Arial" w:cs="Arial" w:eastAsia="Arial" w:hAnsi="Arial"/>
                <w:sz w:val="18"/>
                <w:szCs w:val="18"/>
                <w:color w:val="auto"/>
              </w:rPr>
              <w:t>Revenue Growth (FY 2022 result / % of FY 2021)</w:t>
            </w:r>
          </w:p>
        </w:tc>
        <w:tc>
          <w:tcPr>
            <w:tcW w:w="1740" w:type="dxa"/>
            <w:vAlign w:val="bottom"/>
          </w:tcPr>
          <w:p>
            <w:pPr>
              <w:jc w:val="right"/>
              <w:spacing w:after="0"/>
              <w:rPr>
                <w:sz w:val="20"/>
                <w:szCs w:val="20"/>
                <w:color w:val="auto"/>
              </w:rPr>
            </w:pPr>
            <w:r>
              <w:rPr>
                <w:rFonts w:ascii="Arial" w:cs="Arial" w:eastAsia="Arial" w:hAnsi="Arial"/>
                <w:sz w:val="18"/>
                <w:szCs w:val="18"/>
                <w:color w:val="auto"/>
              </w:rPr>
              <w:t>$3,817 / 107%</w:t>
            </w:r>
          </w:p>
        </w:tc>
        <w:tc>
          <w:tcPr>
            <w:tcW w:w="100" w:type="dxa"/>
            <w:vAlign w:val="bottom"/>
          </w:tcPr>
          <w:p>
            <w:pPr>
              <w:spacing w:after="0"/>
              <w:rPr>
                <w:sz w:val="19"/>
                <w:szCs w:val="19"/>
                <w:color w:val="auto"/>
              </w:rPr>
            </w:pPr>
          </w:p>
        </w:tc>
        <w:tc>
          <w:tcPr>
            <w:tcW w:w="1720" w:type="dxa"/>
            <w:vAlign w:val="bottom"/>
            <w:gridSpan w:val="2"/>
          </w:tcPr>
          <w:p>
            <w:pPr>
              <w:jc w:val="right"/>
              <w:ind w:right="130"/>
              <w:spacing w:after="0"/>
              <w:rPr>
                <w:sz w:val="20"/>
                <w:szCs w:val="20"/>
                <w:color w:val="auto"/>
              </w:rPr>
            </w:pPr>
            <w:r>
              <w:rPr>
                <w:rFonts w:ascii="Arial" w:cs="Arial" w:eastAsia="Arial" w:hAnsi="Arial"/>
                <w:sz w:val="18"/>
                <w:szCs w:val="18"/>
                <w:color w:val="auto"/>
              </w:rPr>
              <w:t>200 %</w:t>
            </w:r>
          </w:p>
        </w:tc>
        <w:tc>
          <w:tcPr>
            <w:tcW w:w="920" w:type="dxa"/>
            <w:vAlign w:val="bottom"/>
          </w:tcPr>
          <w:p>
            <w:pPr>
              <w:jc w:val="right"/>
              <w:spacing w:after="0"/>
              <w:rPr>
                <w:sz w:val="20"/>
                <w:szCs w:val="20"/>
                <w:color w:val="auto"/>
              </w:rPr>
            </w:pPr>
            <w:r>
              <w:rPr>
                <w:rFonts w:ascii="Arial" w:cs="Arial" w:eastAsia="Arial" w:hAnsi="Arial"/>
                <w:sz w:val="18"/>
                <w:szCs w:val="18"/>
                <w:color w:val="auto"/>
              </w:rPr>
              <w:t>20</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w w:val="87"/>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40</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1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328" w:lineRule="exact"/>
        <w:rPr>
          <w:sz w:val="20"/>
          <w:szCs w:val="20"/>
          <w:color w:val="auto"/>
        </w:rPr>
      </w:pPr>
    </w:p>
    <w:p>
      <w:pPr>
        <w:ind w:left="340" w:hanging="332"/>
        <w:spacing w:after="0" w:line="275" w:lineRule="auto"/>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 xml:space="preserve">Adjusted EBITDA is a non-GAAP financial measure. Refer to </w:t>
      </w:r>
      <w:r>
        <w:rPr>
          <w:rFonts w:ascii="Arial" w:cs="Arial" w:eastAsia="Arial" w:hAnsi="Arial"/>
          <w:sz w:val="16"/>
          <w:szCs w:val="16"/>
          <w:u w:val="single" w:color="auto"/>
          <w:color w:val="auto"/>
        </w:rPr>
        <w:t>Appendix A</w:t>
      </w:r>
      <w:r>
        <w:rPr>
          <w:rFonts w:ascii="Arial" w:cs="Arial" w:eastAsia="Arial" w:hAnsi="Arial"/>
          <w:sz w:val="16"/>
          <w:szCs w:val="16"/>
          <w:color w:val="auto"/>
        </w:rPr>
        <w:t xml:space="preserve"> to this Proxy Statement for a reconciliation of this non-GAAP financial measure to the corresponding GAAP measure.</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Based on the results as applied to the 2022 AIP as described above, the CNG Committee’s approval resulted in the payment of the following amounts to our NEOs under the 2022 AIP:</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72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95"/>
              </w:rPr>
              <w:t>2022 AIP</w:t>
            </w:r>
          </w:p>
        </w:tc>
      </w:tr>
      <w:tr>
        <w:trPr>
          <w:trHeight w:val="243"/>
        </w:trPr>
        <w:tc>
          <w:tcPr>
            <w:tcW w:w="9060" w:type="dxa"/>
            <w:vAlign w:val="bottom"/>
            <w:gridSpan w:val="2"/>
          </w:tcPr>
          <w:p>
            <w:pPr>
              <w:ind w:left="20"/>
              <w:spacing w:after="0"/>
              <w:rPr>
                <w:sz w:val="20"/>
                <w:szCs w:val="20"/>
                <w:color w:val="auto"/>
              </w:rPr>
            </w:pPr>
            <w:r>
              <w:rPr>
                <w:rFonts w:ascii="Arial" w:cs="Arial" w:eastAsia="Arial" w:hAnsi="Arial"/>
                <w:sz w:val="18"/>
                <w:szCs w:val="18"/>
                <w:b w:val="1"/>
                <w:bCs w:val="1"/>
                <w:color w:val="auto"/>
              </w:rPr>
              <w:t>Name</w:t>
            </w:r>
          </w:p>
        </w:tc>
        <w:tc>
          <w:tcPr>
            <w:tcW w:w="440" w:type="dxa"/>
            <w:vAlign w:val="bottom"/>
          </w:tcPr>
          <w:p>
            <w:pPr>
              <w:spacing w:after="0"/>
              <w:rPr>
                <w:sz w:val="21"/>
                <w:szCs w:val="21"/>
                <w:color w:val="auto"/>
              </w:rPr>
            </w:pPr>
          </w:p>
        </w:tc>
        <w:tc>
          <w:tcPr>
            <w:tcW w:w="172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w w:val="89"/>
              </w:rPr>
              <w:t>Payout</w:t>
            </w:r>
          </w:p>
        </w:tc>
      </w:tr>
      <w:tr>
        <w:trPr>
          <w:trHeight w:val="223"/>
        </w:trPr>
        <w:tc>
          <w:tcPr>
            <w:tcW w:w="89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Lance Mitchell</w:t>
            </w:r>
          </w:p>
        </w:tc>
        <w:tc>
          <w:tcPr>
            <w:tcW w:w="16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1,158,625</w:t>
            </w:r>
          </w:p>
        </w:tc>
        <w:tc>
          <w:tcPr>
            <w:tcW w:w="120" w:type="dxa"/>
            <w:vAlign w:val="bottom"/>
            <w:tcBorders>
              <w:top w:val="single" w:sz="8" w:color="CCEEFF"/>
            </w:tcBorders>
            <w:shd w:val="clear" w:color="auto" w:fill="CCEEFF"/>
          </w:tcPr>
          <w:p>
            <w:pPr>
              <w:spacing w:after="0"/>
              <w:rPr>
                <w:sz w:val="19"/>
                <w:szCs w:val="19"/>
                <w:color w:val="auto"/>
              </w:rPr>
            </w:pPr>
          </w:p>
        </w:tc>
      </w:tr>
      <w:tr>
        <w:trPr>
          <w:trHeight w:val="230"/>
        </w:trPr>
        <w:tc>
          <w:tcPr>
            <w:tcW w:w="9060" w:type="dxa"/>
            <w:vAlign w:val="bottom"/>
            <w:gridSpan w:val="2"/>
          </w:tcPr>
          <w:p>
            <w:pPr>
              <w:ind w:left="20"/>
              <w:spacing w:after="0"/>
              <w:rPr>
                <w:sz w:val="20"/>
                <w:szCs w:val="20"/>
                <w:color w:val="auto"/>
              </w:rPr>
            </w:pPr>
            <w:r>
              <w:rPr>
                <w:rFonts w:ascii="Arial" w:cs="Arial" w:eastAsia="Arial" w:hAnsi="Arial"/>
                <w:sz w:val="18"/>
                <w:szCs w:val="18"/>
                <w:color w:val="auto"/>
              </w:rPr>
              <w:t>Michael Graham</w:t>
            </w:r>
          </w:p>
        </w:tc>
        <w:tc>
          <w:tcPr>
            <w:tcW w:w="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320,844</w:t>
            </w:r>
          </w:p>
        </w:tc>
        <w:tc>
          <w:tcPr>
            <w:tcW w:w="120" w:type="dxa"/>
            <w:vAlign w:val="bottom"/>
          </w:tcPr>
          <w:p>
            <w:pPr>
              <w:spacing w:after="0"/>
              <w:rPr>
                <w:sz w:val="19"/>
                <w:szCs w:val="19"/>
                <w:color w:val="auto"/>
              </w:rPr>
            </w:pPr>
          </w:p>
        </w:tc>
      </w:tr>
      <w:tr>
        <w:trPr>
          <w:trHeight w:val="230"/>
        </w:trPr>
        <w:tc>
          <w:tcPr>
            <w:tcW w:w="9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Rachel Bishop</w:t>
            </w:r>
          </w:p>
        </w:tc>
        <w:tc>
          <w:tcPr>
            <w:tcW w:w="4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219,172</w:t>
            </w:r>
          </w:p>
        </w:tc>
        <w:tc>
          <w:tcPr>
            <w:tcW w:w="120" w:type="dxa"/>
            <w:vAlign w:val="bottom"/>
            <w:shd w:val="clear" w:color="auto" w:fill="CCEEFF"/>
          </w:tcPr>
          <w:p>
            <w:pPr>
              <w:spacing w:after="0"/>
              <w:rPr>
                <w:sz w:val="19"/>
                <w:szCs w:val="19"/>
                <w:color w:val="auto"/>
              </w:rPr>
            </w:pPr>
          </w:p>
        </w:tc>
      </w:tr>
      <w:tr>
        <w:trPr>
          <w:trHeight w:val="230"/>
        </w:trPr>
        <w:tc>
          <w:tcPr>
            <w:tcW w:w="9060" w:type="dxa"/>
            <w:vAlign w:val="bottom"/>
            <w:gridSpan w:val="2"/>
          </w:tcPr>
          <w:p>
            <w:pPr>
              <w:ind w:left="20"/>
              <w:spacing w:after="0"/>
              <w:rPr>
                <w:sz w:val="20"/>
                <w:szCs w:val="20"/>
                <w:color w:val="auto"/>
              </w:rPr>
            </w:pPr>
            <w:r>
              <w:rPr>
                <w:rFonts w:ascii="Arial" w:cs="Arial" w:eastAsia="Arial" w:hAnsi="Arial"/>
                <w:sz w:val="18"/>
                <w:szCs w:val="18"/>
                <w:color w:val="auto"/>
              </w:rPr>
              <w:t>Judith Buckner</w:t>
            </w:r>
          </w:p>
        </w:tc>
        <w:tc>
          <w:tcPr>
            <w:tcW w:w="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201,568</w:t>
            </w:r>
          </w:p>
        </w:tc>
        <w:tc>
          <w:tcPr>
            <w:tcW w:w="120" w:type="dxa"/>
            <w:vAlign w:val="bottom"/>
          </w:tcPr>
          <w:p>
            <w:pPr>
              <w:spacing w:after="0"/>
              <w:rPr>
                <w:sz w:val="19"/>
                <w:szCs w:val="19"/>
                <w:color w:val="auto"/>
              </w:rPr>
            </w:pPr>
          </w:p>
        </w:tc>
      </w:tr>
      <w:tr>
        <w:trPr>
          <w:trHeight w:val="229"/>
        </w:trPr>
        <w:tc>
          <w:tcPr>
            <w:tcW w:w="9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Lisa Smith</w:t>
            </w:r>
          </w:p>
        </w:tc>
        <w:tc>
          <w:tcPr>
            <w:tcW w:w="4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197,695</w:t>
            </w:r>
          </w:p>
        </w:tc>
        <w:tc>
          <w:tcPr>
            <w:tcW w:w="120" w:type="dxa"/>
            <w:vAlign w:val="bottom"/>
            <w:shd w:val="clear" w:color="auto" w:fill="CCEEFF"/>
          </w:tcPr>
          <w:p>
            <w:pPr>
              <w:spacing w:after="0"/>
              <w:rPr>
                <w:sz w:val="19"/>
                <w:szCs w:val="19"/>
                <w:color w:val="auto"/>
              </w:rPr>
            </w:pPr>
          </w:p>
        </w:tc>
      </w:tr>
      <w:tr>
        <w:trPr>
          <w:trHeight w:val="283"/>
        </w:trPr>
        <w:tc>
          <w:tcPr>
            <w:tcW w:w="906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Craig Cappel</w:t>
            </w:r>
            <w:r>
              <w:rPr>
                <w:rFonts w:ascii="MS PGothic" w:cs="MS PGothic" w:eastAsia="MS PGothic" w:hAnsi="MS PGothic"/>
                <w:sz w:val="18"/>
                <w:szCs w:val="18"/>
                <w:color w:val="auto"/>
              </w:rPr>
              <w:t>⁽</w:t>
            </w:r>
            <w:r>
              <w:rPr>
                <w:rFonts w:ascii="Arial" w:cs="Arial" w:eastAsia="Arial" w:hAnsi="Arial"/>
                <w:sz w:val="18"/>
                <w:szCs w:val="18"/>
                <w:color w:val="auto"/>
              </w:rPr>
              <w:t>¹</w:t>
            </w:r>
            <w:r>
              <w:rPr>
                <w:rFonts w:ascii="MS PGothic" w:cs="MS PGothic" w:eastAsia="MS PGothic" w:hAnsi="MS PGothic"/>
                <w:sz w:val="18"/>
                <w:szCs w:val="18"/>
                <w:color w:val="auto"/>
              </w:rPr>
              <w:t>⁾</w:t>
            </w:r>
          </w:p>
        </w:tc>
        <w:tc>
          <w:tcPr>
            <w:tcW w:w="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203,333</w:t>
            </w:r>
          </w:p>
        </w:tc>
        <w:tc>
          <w:tcPr>
            <w:tcW w:w="120" w:type="dxa"/>
            <w:vAlign w:val="bottom"/>
          </w:tcPr>
          <w:p>
            <w:pPr>
              <w:spacing w:after="0"/>
              <w:rPr>
                <w:sz w:val="24"/>
                <w:szCs w:val="24"/>
                <w:color w:val="auto"/>
              </w:rPr>
            </w:pPr>
          </w:p>
        </w:tc>
      </w:tr>
    </w:tbl>
    <w:p>
      <w:pPr>
        <w:spacing w:after="0" w:line="261" w:lineRule="exact"/>
        <w:rPr>
          <w:sz w:val="20"/>
          <w:szCs w:val="20"/>
          <w:color w:val="auto"/>
        </w:rPr>
      </w:pPr>
    </w:p>
    <w:p>
      <w:pPr>
        <w:ind w:left="340" w:right="20" w:hanging="332"/>
        <w:spacing w:after="0" w:line="293" w:lineRule="auto"/>
        <w:tabs>
          <w:tab w:leader="none" w:pos="3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Mr. Cappel’s AIP payout is based on his eligible earnings. Mr. Cappel’s eligible earnings included his base salary earned for his service in 2022 prior to his termination on November 2, 2022.</w:t>
      </w:r>
    </w:p>
    <w:p>
      <w:pPr>
        <w:spacing w:after="0" w:line="15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amounts paid to our NEOs pursuant to the 2022 AIP are set forth in the “Non-Equity Incentive Plan Compensation” column of our Summary Compensation Table, because the outcomes with respect to the relevant targets under the objectives were substantially uncertain at the time the targets were established by the CNG Committee and communicated to the NEOs.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4F81B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Incentive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Awards Granted in 2022</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LTI program for 2022 consisted of RSU and PSU awards. The CNG Committee believes that this mix emphasizes performance, further aligning with our stockholders’ interests, and promotes retention. The RSUs vest over a three-year period, with 1/3 vesting each year, beginning on the first anniversary of the date of grant. The PSUs would have been earned based on the extent to which specified performance metrics established at the date of the grant were achieved, which for the PSUs granted in 2022 consisted of adjusted earnings per share growth over the 2022 period. Participants had the ability to earn 50% of the target number of PSUs for achieving threshold performance and 200% of the target number of PSUs for achieving maximum performance. The number of PSUs earned, if any, would vest on the third anniversary of the date of grant.</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w w:val="95"/>
              </w:rPr>
              <w:t>The number of RSUs and the target number of PSUs granted to our NEOs in 2022 were as follows:</w:t>
            </w:r>
          </w:p>
        </w:tc>
        <w:tc>
          <w:tcPr>
            <w:tcW w:w="1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02"/>
        </w:trPr>
        <w:tc>
          <w:tcPr>
            <w:tcW w:w="7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40" w:type="dxa"/>
            <w:vAlign w:val="bottom"/>
            <w:gridSpan w:val="2"/>
          </w:tcPr>
          <w:p>
            <w:pPr>
              <w:jc w:val="center"/>
              <w:ind w:right="360"/>
              <w:spacing w:after="0" w:line="202" w:lineRule="exact"/>
              <w:rPr>
                <w:sz w:val="20"/>
                <w:szCs w:val="20"/>
                <w:color w:val="auto"/>
              </w:rPr>
            </w:pPr>
            <w:r>
              <w:rPr>
                <w:rFonts w:ascii="Arial" w:cs="Arial" w:eastAsia="Arial" w:hAnsi="Arial"/>
                <w:sz w:val="18"/>
                <w:szCs w:val="18"/>
                <w:b w:val="1"/>
                <w:bCs w:val="1"/>
                <w:color w:val="auto"/>
              </w:rPr>
              <w:t>LTI</w:t>
            </w:r>
          </w:p>
        </w:tc>
        <w:tc>
          <w:tcPr>
            <w:tcW w:w="1740" w:type="dxa"/>
            <w:vAlign w:val="bottom"/>
            <w:gridSpan w:val="2"/>
          </w:tcPr>
          <w:p>
            <w:pPr>
              <w:jc w:val="center"/>
              <w:ind w:right="160"/>
              <w:spacing w:after="0" w:line="202" w:lineRule="exact"/>
              <w:rPr>
                <w:sz w:val="20"/>
                <w:szCs w:val="20"/>
                <w:color w:val="auto"/>
              </w:rPr>
            </w:pPr>
            <w:r>
              <w:rPr>
                <w:rFonts w:ascii="Arial" w:cs="Arial" w:eastAsia="Arial" w:hAnsi="Arial"/>
                <w:sz w:val="18"/>
                <w:szCs w:val="18"/>
                <w:b w:val="1"/>
                <w:bCs w:val="1"/>
                <w:color w:val="auto"/>
              </w:rPr>
              <w:t>LTI</w:t>
            </w:r>
          </w:p>
        </w:tc>
      </w:tr>
      <w:tr>
        <w:trPr>
          <w:trHeight w:val="243"/>
        </w:trPr>
        <w:tc>
          <w:tcPr>
            <w:tcW w:w="7560" w:type="dxa"/>
            <w:vAlign w:val="bottom"/>
            <w:gridSpan w:val="2"/>
          </w:tcPr>
          <w:p>
            <w:pPr>
              <w:ind w:left="20"/>
              <w:spacing w:after="0"/>
              <w:rPr>
                <w:sz w:val="20"/>
                <w:szCs w:val="20"/>
                <w:color w:val="auto"/>
              </w:rPr>
            </w:pPr>
            <w:r>
              <w:rPr>
                <w:rFonts w:ascii="Arial" w:cs="Arial" w:eastAsia="Arial" w:hAnsi="Arial"/>
                <w:sz w:val="18"/>
                <w:szCs w:val="18"/>
                <w:b w:val="1"/>
                <w:bCs w:val="1"/>
                <w:color w:val="auto"/>
              </w:rPr>
              <w:t>Name</w:t>
            </w:r>
          </w:p>
        </w:tc>
        <w:tc>
          <w:tcPr>
            <w:tcW w:w="19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RSUs (#)</w:t>
            </w:r>
          </w:p>
        </w:tc>
        <w:tc>
          <w:tcPr>
            <w:tcW w:w="17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PSUs (#)</w:t>
            </w:r>
          </w:p>
        </w:tc>
      </w:tr>
      <w:tr>
        <w:trPr>
          <w:trHeight w:val="223"/>
        </w:trPr>
        <w:tc>
          <w:tcPr>
            <w:tcW w:w="73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Lance Mitchell</w:t>
            </w:r>
          </w:p>
        </w:tc>
        <w:tc>
          <w:tcPr>
            <w:tcW w:w="22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64,433</w:t>
            </w:r>
          </w:p>
        </w:tc>
        <w:tc>
          <w:tcPr>
            <w:tcW w:w="36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64,433</w:t>
            </w:r>
          </w:p>
        </w:tc>
        <w:tc>
          <w:tcPr>
            <w:tcW w:w="140" w:type="dxa"/>
            <w:vAlign w:val="bottom"/>
            <w:tcBorders>
              <w:top w:val="single" w:sz="8" w:color="CCEEFF"/>
            </w:tcBorders>
            <w:shd w:val="clear" w:color="auto" w:fill="CCEEFF"/>
          </w:tcPr>
          <w:p>
            <w:pPr>
              <w:spacing w:after="0"/>
              <w:rPr>
                <w:sz w:val="19"/>
                <w:szCs w:val="19"/>
                <w:color w:val="auto"/>
              </w:rPr>
            </w:pPr>
          </w:p>
        </w:tc>
      </w:tr>
      <w:tr>
        <w:trPr>
          <w:trHeight w:val="229"/>
        </w:trPr>
        <w:tc>
          <w:tcPr>
            <w:tcW w:w="7560" w:type="dxa"/>
            <w:vAlign w:val="bottom"/>
            <w:gridSpan w:val="2"/>
          </w:tcPr>
          <w:p>
            <w:pPr>
              <w:ind w:left="20"/>
              <w:spacing w:after="0"/>
              <w:rPr>
                <w:sz w:val="20"/>
                <w:szCs w:val="20"/>
                <w:color w:val="auto"/>
              </w:rPr>
            </w:pPr>
            <w:r>
              <w:rPr>
                <w:rFonts w:ascii="Arial" w:cs="Arial" w:eastAsia="Arial" w:hAnsi="Arial"/>
                <w:sz w:val="18"/>
                <w:szCs w:val="18"/>
                <w:color w:val="auto"/>
              </w:rPr>
              <w:t>Michael Graham</w:t>
            </w:r>
          </w:p>
        </w:tc>
        <w:tc>
          <w:tcPr>
            <w:tcW w:w="1580" w:type="dxa"/>
            <w:vAlign w:val="bottom"/>
          </w:tcPr>
          <w:p>
            <w:pPr>
              <w:jc w:val="right"/>
              <w:spacing w:after="0"/>
              <w:rPr>
                <w:sz w:val="20"/>
                <w:szCs w:val="20"/>
                <w:color w:val="auto"/>
              </w:rPr>
            </w:pPr>
            <w:r>
              <w:rPr>
                <w:rFonts w:ascii="Arial" w:cs="Arial" w:eastAsia="Arial" w:hAnsi="Arial"/>
                <w:sz w:val="18"/>
                <w:szCs w:val="18"/>
                <w:color w:val="auto"/>
              </w:rPr>
              <w:t>18,467</w:t>
            </w:r>
          </w:p>
        </w:tc>
        <w:tc>
          <w:tcPr>
            <w:tcW w:w="3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18,467</w:t>
            </w:r>
          </w:p>
        </w:tc>
        <w:tc>
          <w:tcPr>
            <w:tcW w:w="140" w:type="dxa"/>
            <w:vAlign w:val="bottom"/>
          </w:tcPr>
          <w:p>
            <w:pPr>
              <w:spacing w:after="0"/>
              <w:rPr>
                <w:sz w:val="19"/>
                <w:szCs w:val="19"/>
                <w:color w:val="auto"/>
              </w:rPr>
            </w:pPr>
          </w:p>
        </w:tc>
      </w:tr>
      <w:tr>
        <w:trPr>
          <w:trHeight w:val="229"/>
        </w:trPr>
        <w:tc>
          <w:tcPr>
            <w:tcW w:w="7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Rachel Bishop</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11,785</w:t>
            </w:r>
          </w:p>
        </w:tc>
        <w:tc>
          <w:tcPr>
            <w:tcW w:w="3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11,785</w:t>
            </w:r>
          </w:p>
        </w:tc>
        <w:tc>
          <w:tcPr>
            <w:tcW w:w="140" w:type="dxa"/>
            <w:vAlign w:val="bottom"/>
            <w:shd w:val="clear" w:color="auto" w:fill="CCEEFF"/>
          </w:tcPr>
          <w:p>
            <w:pPr>
              <w:spacing w:after="0"/>
              <w:rPr>
                <w:sz w:val="19"/>
                <w:szCs w:val="19"/>
                <w:color w:val="auto"/>
              </w:rPr>
            </w:pPr>
          </w:p>
        </w:tc>
      </w:tr>
      <w:tr>
        <w:trPr>
          <w:trHeight w:val="230"/>
        </w:trPr>
        <w:tc>
          <w:tcPr>
            <w:tcW w:w="7560" w:type="dxa"/>
            <w:vAlign w:val="bottom"/>
            <w:gridSpan w:val="2"/>
          </w:tcPr>
          <w:p>
            <w:pPr>
              <w:ind w:left="20"/>
              <w:spacing w:after="0"/>
              <w:rPr>
                <w:sz w:val="20"/>
                <w:szCs w:val="20"/>
                <w:color w:val="auto"/>
              </w:rPr>
            </w:pPr>
            <w:r>
              <w:rPr>
                <w:rFonts w:ascii="Arial" w:cs="Arial" w:eastAsia="Arial" w:hAnsi="Arial"/>
                <w:sz w:val="18"/>
                <w:szCs w:val="18"/>
                <w:color w:val="auto"/>
              </w:rPr>
              <w:t>Judith Buckner</w:t>
            </w:r>
          </w:p>
        </w:tc>
        <w:tc>
          <w:tcPr>
            <w:tcW w:w="1580" w:type="dxa"/>
            <w:vAlign w:val="bottom"/>
          </w:tcPr>
          <w:p>
            <w:pPr>
              <w:jc w:val="right"/>
              <w:spacing w:after="0"/>
              <w:rPr>
                <w:sz w:val="20"/>
                <w:szCs w:val="20"/>
                <w:color w:val="auto"/>
              </w:rPr>
            </w:pPr>
            <w:r>
              <w:rPr>
                <w:rFonts w:ascii="Arial" w:cs="Arial" w:eastAsia="Arial" w:hAnsi="Arial"/>
                <w:sz w:val="18"/>
                <w:szCs w:val="18"/>
                <w:color w:val="auto"/>
              </w:rPr>
              <w:t>10,663</w:t>
            </w:r>
          </w:p>
        </w:tc>
        <w:tc>
          <w:tcPr>
            <w:tcW w:w="3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10,662</w:t>
            </w:r>
          </w:p>
        </w:tc>
        <w:tc>
          <w:tcPr>
            <w:tcW w:w="140" w:type="dxa"/>
            <w:vAlign w:val="bottom"/>
          </w:tcPr>
          <w:p>
            <w:pPr>
              <w:spacing w:after="0"/>
              <w:rPr>
                <w:sz w:val="19"/>
                <w:szCs w:val="19"/>
                <w:color w:val="auto"/>
              </w:rPr>
            </w:pPr>
          </w:p>
        </w:tc>
      </w:tr>
      <w:tr>
        <w:trPr>
          <w:trHeight w:val="229"/>
        </w:trPr>
        <w:tc>
          <w:tcPr>
            <w:tcW w:w="7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Lisa Smith</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10,663</w:t>
            </w:r>
          </w:p>
        </w:tc>
        <w:tc>
          <w:tcPr>
            <w:tcW w:w="3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10,662</w:t>
            </w:r>
          </w:p>
        </w:tc>
        <w:tc>
          <w:tcPr>
            <w:tcW w:w="140" w:type="dxa"/>
            <w:vAlign w:val="bottom"/>
            <w:shd w:val="clear" w:color="auto" w:fill="CCEEFF"/>
          </w:tcPr>
          <w:p>
            <w:pPr>
              <w:spacing w:after="0"/>
              <w:rPr>
                <w:sz w:val="19"/>
                <w:szCs w:val="19"/>
                <w:color w:val="auto"/>
              </w:rPr>
            </w:pPr>
          </w:p>
        </w:tc>
      </w:tr>
      <w:tr>
        <w:trPr>
          <w:trHeight w:val="230"/>
        </w:trPr>
        <w:tc>
          <w:tcPr>
            <w:tcW w:w="7560" w:type="dxa"/>
            <w:vAlign w:val="bottom"/>
            <w:gridSpan w:val="2"/>
          </w:tcPr>
          <w:p>
            <w:pPr>
              <w:ind w:left="20"/>
              <w:spacing w:after="0"/>
              <w:rPr>
                <w:sz w:val="20"/>
                <w:szCs w:val="20"/>
                <w:color w:val="auto"/>
              </w:rPr>
            </w:pPr>
            <w:r>
              <w:rPr>
                <w:rFonts w:ascii="Arial" w:cs="Arial" w:eastAsia="Arial" w:hAnsi="Arial"/>
                <w:sz w:val="18"/>
                <w:szCs w:val="18"/>
                <w:color w:val="auto"/>
              </w:rPr>
              <w:t>Craig Cappel</w:t>
            </w:r>
          </w:p>
        </w:tc>
        <w:tc>
          <w:tcPr>
            <w:tcW w:w="1580" w:type="dxa"/>
            <w:vAlign w:val="bottom"/>
          </w:tcPr>
          <w:p>
            <w:pPr>
              <w:jc w:val="right"/>
              <w:spacing w:after="0"/>
              <w:rPr>
                <w:sz w:val="20"/>
                <w:szCs w:val="20"/>
                <w:color w:val="auto"/>
              </w:rPr>
            </w:pPr>
            <w:r>
              <w:rPr>
                <w:rFonts w:ascii="Arial" w:cs="Arial" w:eastAsia="Arial" w:hAnsi="Arial"/>
                <w:sz w:val="18"/>
                <w:szCs w:val="18"/>
                <w:color w:val="auto"/>
              </w:rPr>
              <w:t>11,785</w:t>
            </w:r>
          </w:p>
        </w:tc>
        <w:tc>
          <w:tcPr>
            <w:tcW w:w="36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11,785</w:t>
            </w:r>
          </w:p>
        </w:tc>
        <w:tc>
          <w:tcPr>
            <w:tcW w:w="140" w:type="dxa"/>
            <w:vAlign w:val="bottom"/>
          </w:tcPr>
          <w:p>
            <w:pPr>
              <w:spacing w:after="0"/>
              <w:rPr>
                <w:sz w:val="20"/>
                <w:szCs w:val="20"/>
                <w:color w:val="auto"/>
              </w:rPr>
            </w:pPr>
          </w:p>
        </w:tc>
      </w:tr>
    </w:tbl>
    <w:p>
      <w:pPr>
        <w:spacing w:after="0" w:line="3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January 2023, the CNG Committee reviewed the performance metric of adjusted earnings per share in 2022 and determined that the minimum performance condition of the 2022 PSUs was not satisfied and therefore all such PSUs were forfeited.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Compensation—Retirement and Welfare Benefits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Retirement and welfare benefit programs are a necessary element of the total compensation package to ensure a competitive position in attracting and retaining a committed workforce. Participation in these programs is not tied to performance.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Our specific contribution levels to these programs are adjusted annually to maintain a competitive position while considering costs.</w:t>
      </w:r>
    </w:p>
    <w:p>
      <w:pPr>
        <w:spacing w:after="0" w:line="225" w:lineRule="exact"/>
        <w:rPr>
          <w:sz w:val="20"/>
          <w:szCs w:val="20"/>
          <w:color w:val="auto"/>
        </w:rPr>
      </w:pPr>
    </w:p>
    <w:p>
      <w:pPr>
        <w:jc w:val="both"/>
        <w:ind w:left="660" w:hanging="328"/>
        <w:spacing w:after="0" w:line="263"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Employee Savings Plan. All non-union employees in the United States, including our NEOs, are eligible to participate in a tax-qualified retirement savings plan under Section 401(k) of the Internal Revenue Code of 1986, as amended (the “Code”). We make a 2% non-elective contribution and matching contributions of 100% of the first 6% of an employee’s elective deferral contribution.</w:t>
      </w:r>
    </w:p>
    <w:p>
      <w:pPr>
        <w:spacing w:after="0" w:line="18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Welfare Plans. Our executives are also eligible to participate in our broad-based health and welfare plans (including medical, dental, vision, life insurance and disability plans) upon the same terms and conditions as other employees.</w:t>
      </w:r>
    </w:p>
    <w:p>
      <w:pPr>
        <w:spacing w:after="0" w:line="170"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Pension Plan for Pactiv Evergreen (formerly known as the Pactiv Evergreen Pension Plan). Certain employees, including Mses. Buckner and Smith and Mr. Cappel, have frozen benefits under the Pension Plan for Pactiv Evergreen.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4F81B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Employees who are at a designated salary grade or above, including all NEOs, may defer a portion of their salary and bonus each year into a nonqualified deferred compensation plan, which is a tax-deferred plan. We also make contributions to this plan mirroring percentage contributions made to the 401(k) plan. This program is intended to promote retention by providing a long-term savings opportunity on a tax-efficient basis. The amounts deferred are our unsecured obligations, receive no preferential standing, and are subject to the same risks as any of our other unsecured obligations.</w:t>
      </w:r>
    </w:p>
    <w:p>
      <w:pPr>
        <w:spacing w:after="0" w:line="15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provide the NEOs with limited perquisites and other personal benefits, including reimbursement of relocation costs. Additionally, we purchase tickets to various cultural, charitable, civic, entertainment and sporting events for business development and relationship building purposes, and to maintain involvement in communities in which we operate and our employees live. Occasionally, our employees, including the NEOs, make personal use of tickets that would not otherwise be used for business purposes. The CNG Committee periodically reviews the levels of perquisites and other personal benefits provided to our NEOs. The CNG Committee intends to maintain only those perquisites and other benefits that it determines to be necessary components of total compensation and that are not inconsistent with stockholder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4F81B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22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We have entered into employment agreements with each of our NEOs. The employment agreements provide for an initial base salary and an annual cash target incentive percentage, which may be adjusted from time to time by the CNG Committee. Other key elements of these agreements are outlined below.</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1260" w:type="dxa"/>
            <w:vAlign w:val="bottom"/>
            <w:gridSpan w:val="3"/>
          </w:tcPr>
          <w:p>
            <w:pPr>
              <w:jc w:val="center"/>
              <w:ind w:right="440"/>
              <w:spacing w:after="0"/>
              <w:rPr>
                <w:sz w:val="20"/>
                <w:szCs w:val="20"/>
                <w:color w:val="auto"/>
              </w:rPr>
            </w:pPr>
            <w:r>
              <w:rPr>
                <w:rFonts w:ascii="Arial" w:cs="Arial" w:eastAsia="Arial" w:hAnsi="Arial"/>
                <w:sz w:val="16"/>
                <w:szCs w:val="16"/>
                <w:b w:val="1"/>
                <w:bCs w:val="1"/>
                <w:color w:val="auto"/>
                <w:w w:val="90"/>
              </w:rPr>
              <w:t>Restrictive</w:t>
            </w:r>
          </w:p>
        </w:tc>
        <w:tc>
          <w:tcPr>
            <w:tcW w:w="0" w:type="dxa"/>
            <w:vAlign w:val="bottom"/>
          </w:tcPr>
          <w:p>
            <w:pPr>
              <w:spacing w:after="0"/>
              <w:rPr>
                <w:sz w:val="1"/>
                <w:szCs w:val="1"/>
                <w:color w:val="auto"/>
              </w:rPr>
            </w:pPr>
          </w:p>
        </w:tc>
      </w:tr>
      <w:tr>
        <w:trPr>
          <w:trHeight w:val="122"/>
        </w:trPr>
        <w:tc>
          <w:tcPr>
            <w:tcW w:w="1740" w:type="dxa"/>
            <w:vAlign w:val="bottom"/>
            <w:gridSpan w:val="3"/>
            <w:vMerge w:val="restart"/>
          </w:tcPr>
          <w:p>
            <w:pPr>
              <w:jc w:val="center"/>
              <w:ind w:right="40"/>
              <w:spacing w:after="0" w:line="175" w:lineRule="exact"/>
              <w:rPr>
                <w:sz w:val="20"/>
                <w:szCs w:val="20"/>
                <w:color w:val="auto"/>
              </w:rPr>
            </w:pPr>
            <w:r>
              <w:rPr>
                <w:rFonts w:ascii="Arial" w:cs="Arial" w:eastAsia="Arial" w:hAnsi="Arial"/>
                <w:sz w:val="16"/>
                <w:szCs w:val="16"/>
                <w:b w:val="1"/>
                <w:bCs w:val="1"/>
                <w:color w:val="auto"/>
                <w:w w:val="92"/>
              </w:rPr>
              <w:t>Employee</w:t>
            </w:r>
          </w:p>
        </w:tc>
        <w:tc>
          <w:tcPr>
            <w:tcW w:w="3720" w:type="dxa"/>
            <w:vAlign w:val="bottom"/>
          </w:tcPr>
          <w:p>
            <w:pPr>
              <w:spacing w:after="0"/>
              <w:rPr>
                <w:sz w:val="10"/>
                <w:szCs w:val="10"/>
                <w:color w:val="auto"/>
              </w:rPr>
            </w:pPr>
          </w:p>
        </w:tc>
        <w:tc>
          <w:tcPr>
            <w:tcW w:w="700" w:type="dxa"/>
            <w:vAlign w:val="bottom"/>
            <w:vMerge w:val="restart"/>
          </w:tcPr>
          <w:p>
            <w:pPr>
              <w:spacing w:after="0" w:line="175" w:lineRule="exact"/>
              <w:rPr>
                <w:sz w:val="20"/>
                <w:szCs w:val="20"/>
                <w:color w:val="auto"/>
              </w:rPr>
            </w:pPr>
            <w:r>
              <w:rPr>
                <w:rFonts w:ascii="Arial" w:cs="Arial" w:eastAsia="Arial" w:hAnsi="Arial"/>
                <w:sz w:val="16"/>
                <w:szCs w:val="16"/>
                <w:b w:val="1"/>
                <w:bCs w:val="1"/>
                <w:color w:val="auto"/>
                <w:w w:val="84"/>
              </w:rPr>
              <w:t>Severance</w:t>
            </w:r>
          </w:p>
        </w:tc>
        <w:tc>
          <w:tcPr>
            <w:tcW w:w="120" w:type="dxa"/>
            <w:vAlign w:val="bottom"/>
            <w:tcBorders>
              <w:bottom w:val="single" w:sz="8" w:color="auto"/>
            </w:tcBorders>
          </w:tcPr>
          <w:p>
            <w:pPr>
              <w:jc w:val="right"/>
              <w:spacing w:after="0" w:line="102" w:lineRule="exact"/>
              <w:rPr>
                <w:sz w:val="20"/>
                <w:szCs w:val="20"/>
                <w:color w:val="auto"/>
              </w:rPr>
            </w:pPr>
            <w:r>
              <w:rPr>
                <w:rFonts w:ascii="Arial" w:cs="Arial" w:eastAsia="Arial" w:hAnsi="Arial"/>
                <w:sz w:val="11"/>
                <w:szCs w:val="11"/>
                <w:b w:val="1"/>
                <w:bCs w:val="1"/>
                <w:color w:val="auto"/>
                <w:w w:val="74"/>
              </w:rPr>
              <w:t>(1)</w:t>
            </w:r>
          </w:p>
        </w:tc>
        <w:tc>
          <w:tcPr>
            <w:tcW w:w="3700" w:type="dxa"/>
            <w:vAlign w:val="bottom"/>
            <w:vMerge w:val="restart"/>
          </w:tcPr>
          <w:p>
            <w:pPr>
              <w:spacing w:after="0"/>
              <w:rPr>
                <w:sz w:val="10"/>
                <w:szCs w:val="10"/>
                <w:color w:val="auto"/>
              </w:rPr>
            </w:pPr>
          </w:p>
        </w:tc>
        <w:tc>
          <w:tcPr>
            <w:tcW w:w="720" w:type="dxa"/>
            <w:vAlign w:val="bottom"/>
            <w:vMerge w:val="restart"/>
          </w:tcPr>
          <w:p>
            <w:pPr>
              <w:spacing w:after="0" w:line="175" w:lineRule="exact"/>
              <w:rPr>
                <w:sz w:val="20"/>
                <w:szCs w:val="20"/>
                <w:color w:val="auto"/>
              </w:rPr>
            </w:pPr>
            <w:r>
              <w:rPr>
                <w:rFonts w:ascii="Arial" w:cs="Arial" w:eastAsia="Arial" w:hAnsi="Arial"/>
                <w:sz w:val="16"/>
                <w:szCs w:val="16"/>
                <w:b w:val="1"/>
                <w:bCs w:val="1"/>
                <w:color w:val="auto"/>
                <w:w w:val="85"/>
              </w:rPr>
              <w:t>Covenants</w:t>
            </w:r>
          </w:p>
        </w:tc>
        <w:tc>
          <w:tcPr>
            <w:tcW w:w="120" w:type="dxa"/>
            <w:vAlign w:val="bottom"/>
            <w:tcBorders>
              <w:bottom w:val="single" w:sz="8" w:color="auto"/>
            </w:tcBorders>
          </w:tcPr>
          <w:p>
            <w:pPr>
              <w:jc w:val="right"/>
              <w:spacing w:after="0" w:line="102" w:lineRule="exact"/>
              <w:rPr>
                <w:sz w:val="20"/>
                <w:szCs w:val="20"/>
                <w:color w:val="auto"/>
              </w:rPr>
            </w:pPr>
            <w:r>
              <w:rPr>
                <w:rFonts w:ascii="Arial" w:cs="Arial" w:eastAsia="Arial" w:hAnsi="Arial"/>
                <w:sz w:val="11"/>
                <w:szCs w:val="11"/>
                <w:b w:val="1"/>
                <w:bCs w:val="1"/>
                <w:color w:val="auto"/>
                <w:w w:val="74"/>
              </w:rPr>
              <w:t>(2)</w:t>
            </w:r>
          </w:p>
        </w:tc>
        <w:tc>
          <w:tcPr>
            <w:tcW w:w="4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34"/>
        </w:trPr>
        <w:tc>
          <w:tcPr>
            <w:tcW w:w="1740" w:type="dxa"/>
            <w:vAlign w:val="bottom"/>
            <w:gridSpan w:val="3"/>
            <w:vMerge w:val="continue"/>
          </w:tcPr>
          <w:p>
            <w:pPr>
              <w:spacing w:after="0"/>
              <w:rPr>
                <w:sz w:val="2"/>
                <w:szCs w:val="2"/>
                <w:color w:val="auto"/>
              </w:rPr>
            </w:pPr>
          </w:p>
        </w:tc>
        <w:tc>
          <w:tcPr>
            <w:tcW w:w="372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3700" w:type="dxa"/>
            <w:vAlign w:val="bottom"/>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0" w:type="dxa"/>
            <w:vAlign w:val="bottom"/>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54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1740" w:type="dxa"/>
            <w:vAlign w:val="bottom"/>
            <w:gridSpan w:val="3"/>
            <w:shd w:val="clear" w:color="auto" w:fill="CCEEFF"/>
          </w:tcPr>
          <w:p>
            <w:pPr>
              <w:jc w:val="center"/>
              <w:ind w:right="40"/>
              <w:spacing w:after="0"/>
              <w:rPr>
                <w:sz w:val="20"/>
                <w:szCs w:val="20"/>
                <w:color w:val="auto"/>
              </w:rPr>
            </w:pPr>
            <w:r>
              <w:rPr>
                <w:rFonts w:ascii="Arial" w:cs="Arial" w:eastAsia="Arial" w:hAnsi="Arial"/>
                <w:sz w:val="16"/>
                <w:szCs w:val="16"/>
                <w:b w:val="1"/>
                <w:bCs w:val="1"/>
                <w:i w:val="1"/>
                <w:iCs w:val="1"/>
                <w:color w:val="auto"/>
                <w:w w:val="92"/>
              </w:rPr>
              <w:t>Lance Mitchell</w:t>
            </w:r>
          </w:p>
        </w:tc>
        <w:tc>
          <w:tcPr>
            <w:tcW w:w="8240" w:type="dxa"/>
            <w:vAlign w:val="bottom"/>
            <w:gridSpan w:val="4"/>
            <w:shd w:val="clear" w:color="auto" w:fill="CCEEFF"/>
          </w:tcPr>
          <w:p>
            <w:pPr>
              <w:ind w:left="300"/>
              <w:spacing w:after="0"/>
              <w:rPr>
                <w:sz w:val="20"/>
                <w:szCs w:val="20"/>
                <w:color w:val="auto"/>
              </w:rPr>
            </w:pPr>
            <w:r>
              <w:rPr>
                <w:rFonts w:ascii="Arial" w:cs="Arial" w:eastAsia="Arial" w:hAnsi="Arial"/>
                <w:sz w:val="16"/>
                <w:szCs w:val="16"/>
                <w:color w:val="auto"/>
              </w:rPr>
              <w:t>•  12 months base salary plus a prorated target annual incentive</w:t>
            </w:r>
          </w:p>
        </w:tc>
        <w:tc>
          <w:tcPr>
            <w:tcW w:w="1260" w:type="dxa"/>
            <w:vAlign w:val="bottom"/>
            <w:gridSpan w:val="3"/>
            <w:shd w:val="clear" w:color="auto" w:fill="CCEEFF"/>
          </w:tcPr>
          <w:p>
            <w:pPr>
              <w:jc w:val="center"/>
              <w:ind w:right="420"/>
              <w:spacing w:after="0"/>
              <w:rPr>
                <w:sz w:val="20"/>
                <w:szCs w:val="20"/>
                <w:color w:val="auto"/>
              </w:rPr>
            </w:pPr>
            <w:r>
              <w:rPr>
                <w:rFonts w:ascii="Arial" w:cs="Arial" w:eastAsia="Arial" w:hAnsi="Arial"/>
                <w:sz w:val="16"/>
                <w:szCs w:val="16"/>
                <w:color w:val="auto"/>
                <w:w w:val="86"/>
              </w:rPr>
              <w:t>Yes</w:t>
            </w:r>
          </w:p>
        </w:tc>
        <w:tc>
          <w:tcPr>
            <w:tcW w:w="0" w:type="dxa"/>
            <w:vAlign w:val="bottom"/>
          </w:tcPr>
          <w:p>
            <w:pPr>
              <w:spacing w:after="0"/>
              <w:rPr>
                <w:sz w:val="1"/>
                <w:szCs w:val="1"/>
                <w:color w:val="auto"/>
              </w:rPr>
            </w:pPr>
          </w:p>
        </w:tc>
      </w:tr>
      <w:tr>
        <w:trPr>
          <w:trHeight w:val="203"/>
        </w:trPr>
        <w:tc>
          <w:tcPr>
            <w:tcW w:w="5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240" w:type="dxa"/>
            <w:vAlign w:val="bottom"/>
            <w:gridSpan w:val="4"/>
            <w:shd w:val="clear" w:color="auto" w:fill="CCEEFF"/>
          </w:tcPr>
          <w:p>
            <w:pPr>
              <w:ind w:left="300"/>
              <w:spacing w:after="0" w:line="203" w:lineRule="exact"/>
              <w:rPr>
                <w:sz w:val="20"/>
                <w:szCs w:val="20"/>
                <w:color w:val="auto"/>
              </w:rPr>
            </w:pPr>
            <w:r>
              <w:rPr>
                <w:rFonts w:ascii="Arial" w:cs="Arial" w:eastAsia="Arial" w:hAnsi="Arial"/>
                <w:sz w:val="16"/>
                <w:szCs w:val="16"/>
                <w:color w:val="auto"/>
              </w:rPr>
              <w:t>•  24 months base salary plus a prorated target annual incentive if following a Sale of Business</w:t>
            </w:r>
            <w:r>
              <w:rPr>
                <w:rFonts w:ascii="Arial" w:cs="Arial" w:eastAsia="Arial" w:hAnsi="Arial"/>
                <w:sz w:val="21"/>
                <w:szCs w:val="21"/>
                <w:color w:val="auto"/>
                <w:vertAlign w:val="superscript"/>
              </w:rPr>
              <w:t>(3)</w:t>
            </w: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5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240" w:type="dxa"/>
            <w:vAlign w:val="bottom"/>
            <w:gridSpan w:val="4"/>
            <w:shd w:val="clear" w:color="auto" w:fill="CCEEFF"/>
          </w:tcPr>
          <w:p>
            <w:pPr>
              <w:ind w:left="300"/>
              <w:spacing w:after="0"/>
              <w:rPr>
                <w:sz w:val="20"/>
                <w:szCs w:val="20"/>
                <w:color w:val="auto"/>
              </w:rPr>
            </w:pPr>
            <w:r>
              <w:rPr>
                <w:rFonts w:ascii="Arial" w:cs="Arial" w:eastAsia="Arial" w:hAnsi="Arial"/>
                <w:sz w:val="16"/>
                <w:szCs w:val="16"/>
                <w:color w:val="auto"/>
              </w:rPr>
              <w:t>•  12 months COBRA premium assistance</w:t>
            </w: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22"/>
        </w:trPr>
        <w:tc>
          <w:tcPr>
            <w:tcW w:w="1740" w:type="dxa"/>
            <w:vAlign w:val="bottom"/>
            <w:gridSpan w:val="3"/>
          </w:tcPr>
          <w:p>
            <w:pPr>
              <w:jc w:val="center"/>
              <w:ind w:right="40"/>
              <w:spacing w:after="0"/>
              <w:rPr>
                <w:sz w:val="20"/>
                <w:szCs w:val="20"/>
                <w:color w:val="auto"/>
              </w:rPr>
            </w:pPr>
            <w:r>
              <w:rPr>
                <w:rFonts w:ascii="Arial" w:cs="Arial" w:eastAsia="Arial" w:hAnsi="Arial"/>
                <w:sz w:val="16"/>
                <w:szCs w:val="16"/>
                <w:b w:val="1"/>
                <w:bCs w:val="1"/>
                <w:i w:val="1"/>
                <w:iCs w:val="1"/>
                <w:color w:val="auto"/>
                <w:w w:val="92"/>
              </w:rPr>
              <w:t>Michael Graham</w:t>
            </w:r>
          </w:p>
        </w:tc>
        <w:tc>
          <w:tcPr>
            <w:tcW w:w="8240" w:type="dxa"/>
            <w:vAlign w:val="bottom"/>
            <w:gridSpan w:val="4"/>
          </w:tcPr>
          <w:p>
            <w:pPr>
              <w:ind w:left="300"/>
              <w:spacing w:after="0"/>
              <w:rPr>
                <w:sz w:val="20"/>
                <w:szCs w:val="20"/>
                <w:color w:val="auto"/>
              </w:rPr>
            </w:pPr>
            <w:r>
              <w:rPr>
                <w:rFonts w:ascii="Arial" w:cs="Arial" w:eastAsia="Arial" w:hAnsi="Arial"/>
                <w:sz w:val="16"/>
                <w:szCs w:val="16"/>
                <w:color w:val="auto"/>
              </w:rPr>
              <w:t>•  12 months base salary</w:t>
            </w:r>
          </w:p>
        </w:tc>
        <w:tc>
          <w:tcPr>
            <w:tcW w:w="1260" w:type="dxa"/>
            <w:vAlign w:val="bottom"/>
            <w:gridSpan w:val="3"/>
          </w:tcPr>
          <w:p>
            <w:pPr>
              <w:jc w:val="center"/>
              <w:ind w:right="420"/>
              <w:spacing w:after="0"/>
              <w:rPr>
                <w:sz w:val="20"/>
                <w:szCs w:val="20"/>
                <w:color w:val="auto"/>
              </w:rPr>
            </w:pPr>
            <w:r>
              <w:rPr>
                <w:rFonts w:ascii="Arial" w:cs="Arial" w:eastAsia="Arial" w:hAnsi="Arial"/>
                <w:sz w:val="16"/>
                <w:szCs w:val="16"/>
                <w:color w:val="auto"/>
                <w:w w:val="86"/>
              </w:rPr>
              <w:t>Yes</w:t>
            </w:r>
          </w:p>
        </w:tc>
        <w:tc>
          <w:tcPr>
            <w:tcW w:w="0" w:type="dxa"/>
            <w:vAlign w:val="bottom"/>
          </w:tcPr>
          <w:p>
            <w:pPr>
              <w:spacing w:after="0"/>
              <w:rPr>
                <w:sz w:val="1"/>
                <w:szCs w:val="1"/>
                <w:color w:val="auto"/>
              </w:rPr>
            </w:pPr>
          </w:p>
        </w:tc>
      </w:tr>
      <w:tr>
        <w:trPr>
          <w:trHeight w:val="203"/>
        </w:trPr>
        <w:tc>
          <w:tcPr>
            <w:tcW w:w="5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240" w:type="dxa"/>
            <w:vAlign w:val="bottom"/>
            <w:gridSpan w:val="4"/>
          </w:tcPr>
          <w:p>
            <w:pPr>
              <w:ind w:left="300"/>
              <w:spacing w:after="0" w:line="203" w:lineRule="exact"/>
              <w:rPr>
                <w:sz w:val="20"/>
                <w:szCs w:val="20"/>
                <w:color w:val="auto"/>
              </w:rPr>
            </w:pPr>
            <w:r>
              <w:rPr>
                <w:rFonts w:ascii="Arial" w:cs="Arial" w:eastAsia="Arial" w:hAnsi="Arial"/>
                <w:sz w:val="16"/>
                <w:szCs w:val="16"/>
                <w:color w:val="auto"/>
              </w:rPr>
              <w:t>•  24 months base salary plus a prorated target annual incentive if following a Sale of Business</w:t>
            </w:r>
            <w:r>
              <w:rPr>
                <w:rFonts w:ascii="Arial" w:cs="Arial" w:eastAsia="Arial" w:hAnsi="Arial"/>
                <w:sz w:val="21"/>
                <w:szCs w:val="21"/>
                <w:color w:val="auto"/>
                <w:vertAlign w:val="superscript"/>
              </w:rPr>
              <w:t>(3)</w:t>
            </w: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240" w:type="dxa"/>
            <w:vAlign w:val="bottom"/>
            <w:gridSpan w:val="4"/>
          </w:tcPr>
          <w:p>
            <w:pPr>
              <w:ind w:left="300"/>
              <w:spacing w:after="0"/>
              <w:rPr>
                <w:sz w:val="20"/>
                <w:szCs w:val="20"/>
                <w:color w:val="auto"/>
              </w:rPr>
            </w:pPr>
            <w:r>
              <w:rPr>
                <w:rFonts w:ascii="Arial" w:cs="Arial" w:eastAsia="Arial" w:hAnsi="Arial"/>
                <w:sz w:val="16"/>
                <w:szCs w:val="16"/>
                <w:color w:val="auto"/>
              </w:rPr>
              <w:t>•  12 months COBRA premium assistance</w:t>
            </w: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5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1740" w:type="dxa"/>
            <w:vAlign w:val="bottom"/>
            <w:gridSpan w:val="3"/>
            <w:shd w:val="clear" w:color="auto" w:fill="CCEEFF"/>
          </w:tcPr>
          <w:p>
            <w:pPr>
              <w:jc w:val="center"/>
              <w:ind w:right="40"/>
              <w:spacing w:after="0"/>
              <w:rPr>
                <w:sz w:val="20"/>
                <w:szCs w:val="20"/>
                <w:color w:val="auto"/>
              </w:rPr>
            </w:pPr>
            <w:r>
              <w:rPr>
                <w:rFonts w:ascii="Arial" w:cs="Arial" w:eastAsia="Arial" w:hAnsi="Arial"/>
                <w:sz w:val="16"/>
                <w:szCs w:val="16"/>
                <w:b w:val="1"/>
                <w:bCs w:val="1"/>
                <w:i w:val="1"/>
                <w:iCs w:val="1"/>
                <w:color w:val="auto"/>
                <w:w w:val="88"/>
              </w:rPr>
              <w:t>Rachel Bishop</w:t>
            </w:r>
          </w:p>
        </w:tc>
        <w:tc>
          <w:tcPr>
            <w:tcW w:w="8240" w:type="dxa"/>
            <w:vAlign w:val="bottom"/>
            <w:gridSpan w:val="4"/>
            <w:shd w:val="clear" w:color="auto" w:fill="CCEEFF"/>
          </w:tcPr>
          <w:p>
            <w:pPr>
              <w:ind w:left="300"/>
              <w:spacing w:after="0"/>
              <w:rPr>
                <w:sz w:val="20"/>
                <w:szCs w:val="20"/>
                <w:color w:val="auto"/>
              </w:rPr>
            </w:pPr>
            <w:r>
              <w:rPr>
                <w:rFonts w:ascii="Arial" w:cs="Arial" w:eastAsia="Arial" w:hAnsi="Arial"/>
                <w:sz w:val="16"/>
                <w:szCs w:val="16"/>
                <w:color w:val="auto"/>
              </w:rPr>
              <w:t>•  12 months base salary</w:t>
            </w:r>
          </w:p>
        </w:tc>
        <w:tc>
          <w:tcPr>
            <w:tcW w:w="1260" w:type="dxa"/>
            <w:vAlign w:val="bottom"/>
            <w:gridSpan w:val="3"/>
            <w:shd w:val="clear" w:color="auto" w:fill="CCEEFF"/>
          </w:tcPr>
          <w:p>
            <w:pPr>
              <w:jc w:val="center"/>
              <w:ind w:right="420"/>
              <w:spacing w:after="0"/>
              <w:rPr>
                <w:sz w:val="20"/>
                <w:szCs w:val="20"/>
                <w:color w:val="auto"/>
              </w:rPr>
            </w:pPr>
            <w:r>
              <w:rPr>
                <w:rFonts w:ascii="Arial" w:cs="Arial" w:eastAsia="Arial" w:hAnsi="Arial"/>
                <w:sz w:val="16"/>
                <w:szCs w:val="16"/>
                <w:color w:val="auto"/>
                <w:w w:val="86"/>
              </w:rPr>
              <w:t>Yes</w:t>
            </w:r>
          </w:p>
        </w:tc>
        <w:tc>
          <w:tcPr>
            <w:tcW w:w="0" w:type="dxa"/>
            <w:vAlign w:val="bottom"/>
          </w:tcPr>
          <w:p>
            <w:pPr>
              <w:spacing w:after="0"/>
              <w:rPr>
                <w:sz w:val="1"/>
                <w:szCs w:val="1"/>
                <w:color w:val="auto"/>
              </w:rPr>
            </w:pPr>
          </w:p>
        </w:tc>
      </w:tr>
      <w:tr>
        <w:trPr>
          <w:trHeight w:val="203"/>
        </w:trPr>
        <w:tc>
          <w:tcPr>
            <w:tcW w:w="5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240" w:type="dxa"/>
            <w:vAlign w:val="bottom"/>
            <w:gridSpan w:val="4"/>
            <w:shd w:val="clear" w:color="auto" w:fill="CCEEFF"/>
          </w:tcPr>
          <w:p>
            <w:pPr>
              <w:ind w:left="300"/>
              <w:spacing w:after="0" w:line="203" w:lineRule="exact"/>
              <w:rPr>
                <w:sz w:val="20"/>
                <w:szCs w:val="20"/>
                <w:color w:val="auto"/>
              </w:rPr>
            </w:pPr>
            <w:r>
              <w:rPr>
                <w:rFonts w:ascii="Arial" w:cs="Arial" w:eastAsia="Arial" w:hAnsi="Arial"/>
                <w:sz w:val="16"/>
                <w:szCs w:val="16"/>
                <w:color w:val="auto"/>
              </w:rPr>
              <w:t>•  24 months base salary plus a prorated target annual incentive if following a Sale of Business</w:t>
            </w:r>
            <w:r>
              <w:rPr>
                <w:rFonts w:ascii="Arial" w:cs="Arial" w:eastAsia="Arial" w:hAnsi="Arial"/>
                <w:sz w:val="21"/>
                <w:szCs w:val="21"/>
                <w:color w:val="auto"/>
                <w:vertAlign w:val="superscript"/>
              </w:rPr>
              <w:t>(3)</w:t>
            </w: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5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240" w:type="dxa"/>
            <w:vAlign w:val="bottom"/>
            <w:gridSpan w:val="4"/>
            <w:shd w:val="clear" w:color="auto" w:fill="CCEEFF"/>
          </w:tcPr>
          <w:p>
            <w:pPr>
              <w:ind w:left="300"/>
              <w:spacing w:after="0"/>
              <w:rPr>
                <w:sz w:val="20"/>
                <w:szCs w:val="20"/>
                <w:color w:val="auto"/>
              </w:rPr>
            </w:pPr>
            <w:r>
              <w:rPr>
                <w:rFonts w:ascii="Arial" w:cs="Arial" w:eastAsia="Arial" w:hAnsi="Arial"/>
                <w:sz w:val="16"/>
                <w:szCs w:val="16"/>
                <w:color w:val="auto"/>
              </w:rPr>
              <w:t>•  12 months COBRA premium assistance</w:t>
            </w: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22"/>
        </w:trPr>
        <w:tc>
          <w:tcPr>
            <w:tcW w:w="1740" w:type="dxa"/>
            <w:vAlign w:val="bottom"/>
            <w:gridSpan w:val="3"/>
          </w:tcPr>
          <w:p>
            <w:pPr>
              <w:jc w:val="center"/>
              <w:ind w:right="40"/>
              <w:spacing w:after="0"/>
              <w:rPr>
                <w:sz w:val="20"/>
                <w:szCs w:val="20"/>
                <w:color w:val="auto"/>
              </w:rPr>
            </w:pPr>
            <w:r>
              <w:rPr>
                <w:rFonts w:ascii="Arial" w:cs="Arial" w:eastAsia="Arial" w:hAnsi="Arial"/>
                <w:sz w:val="16"/>
                <w:szCs w:val="16"/>
                <w:b w:val="1"/>
                <w:bCs w:val="1"/>
                <w:i w:val="1"/>
                <w:iCs w:val="1"/>
                <w:color w:val="auto"/>
                <w:w w:val="90"/>
              </w:rPr>
              <w:t>Judith Buckner</w:t>
            </w:r>
          </w:p>
        </w:tc>
        <w:tc>
          <w:tcPr>
            <w:tcW w:w="8240" w:type="dxa"/>
            <w:vAlign w:val="bottom"/>
            <w:gridSpan w:val="4"/>
          </w:tcPr>
          <w:p>
            <w:pPr>
              <w:ind w:left="300"/>
              <w:spacing w:after="0"/>
              <w:rPr>
                <w:sz w:val="20"/>
                <w:szCs w:val="20"/>
                <w:color w:val="auto"/>
              </w:rPr>
            </w:pPr>
            <w:r>
              <w:rPr>
                <w:rFonts w:ascii="Arial" w:cs="Arial" w:eastAsia="Arial" w:hAnsi="Arial"/>
                <w:sz w:val="16"/>
                <w:szCs w:val="16"/>
                <w:color w:val="auto"/>
              </w:rPr>
              <w:t>•  12 months base salary</w:t>
            </w:r>
          </w:p>
        </w:tc>
        <w:tc>
          <w:tcPr>
            <w:tcW w:w="1260" w:type="dxa"/>
            <w:vAlign w:val="bottom"/>
            <w:gridSpan w:val="3"/>
          </w:tcPr>
          <w:p>
            <w:pPr>
              <w:jc w:val="center"/>
              <w:ind w:right="420"/>
              <w:spacing w:after="0"/>
              <w:rPr>
                <w:sz w:val="20"/>
                <w:szCs w:val="20"/>
                <w:color w:val="auto"/>
              </w:rPr>
            </w:pPr>
            <w:r>
              <w:rPr>
                <w:rFonts w:ascii="Arial" w:cs="Arial" w:eastAsia="Arial" w:hAnsi="Arial"/>
                <w:sz w:val="16"/>
                <w:szCs w:val="16"/>
                <w:color w:val="auto"/>
                <w:w w:val="86"/>
              </w:rPr>
              <w:t>Yes</w:t>
            </w:r>
          </w:p>
        </w:tc>
        <w:tc>
          <w:tcPr>
            <w:tcW w:w="0" w:type="dxa"/>
            <w:vAlign w:val="bottom"/>
          </w:tcPr>
          <w:p>
            <w:pPr>
              <w:spacing w:after="0"/>
              <w:rPr>
                <w:sz w:val="1"/>
                <w:szCs w:val="1"/>
                <w:color w:val="auto"/>
              </w:rPr>
            </w:pPr>
          </w:p>
        </w:tc>
      </w:tr>
      <w:tr>
        <w:trPr>
          <w:trHeight w:val="203"/>
        </w:trPr>
        <w:tc>
          <w:tcPr>
            <w:tcW w:w="5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240" w:type="dxa"/>
            <w:vAlign w:val="bottom"/>
            <w:gridSpan w:val="4"/>
          </w:tcPr>
          <w:p>
            <w:pPr>
              <w:ind w:left="300"/>
              <w:spacing w:after="0" w:line="203" w:lineRule="exact"/>
              <w:rPr>
                <w:sz w:val="20"/>
                <w:szCs w:val="20"/>
                <w:color w:val="auto"/>
              </w:rPr>
            </w:pPr>
            <w:r>
              <w:rPr>
                <w:rFonts w:ascii="Arial" w:cs="Arial" w:eastAsia="Arial" w:hAnsi="Arial"/>
                <w:sz w:val="16"/>
                <w:szCs w:val="16"/>
                <w:color w:val="auto"/>
              </w:rPr>
              <w:t>•  24 months base salary plus a prorated target annual incentive if following a Sale of Business</w:t>
            </w:r>
            <w:r>
              <w:rPr>
                <w:rFonts w:ascii="Arial" w:cs="Arial" w:eastAsia="Arial" w:hAnsi="Arial"/>
                <w:sz w:val="21"/>
                <w:szCs w:val="21"/>
                <w:color w:val="auto"/>
                <w:vertAlign w:val="superscript"/>
              </w:rPr>
              <w:t>(3)</w:t>
            </w: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240" w:type="dxa"/>
            <w:vAlign w:val="bottom"/>
            <w:gridSpan w:val="4"/>
          </w:tcPr>
          <w:p>
            <w:pPr>
              <w:ind w:left="300"/>
              <w:spacing w:after="0"/>
              <w:rPr>
                <w:sz w:val="20"/>
                <w:szCs w:val="20"/>
                <w:color w:val="auto"/>
              </w:rPr>
            </w:pPr>
            <w:r>
              <w:rPr>
                <w:rFonts w:ascii="Arial" w:cs="Arial" w:eastAsia="Arial" w:hAnsi="Arial"/>
                <w:sz w:val="16"/>
                <w:szCs w:val="16"/>
                <w:color w:val="auto"/>
              </w:rPr>
              <w:t>•  12 months COBRA premium assistance</w:t>
            </w: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5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1740" w:type="dxa"/>
            <w:vAlign w:val="bottom"/>
            <w:gridSpan w:val="3"/>
            <w:shd w:val="clear" w:color="auto" w:fill="CCEEFF"/>
          </w:tcPr>
          <w:p>
            <w:pPr>
              <w:jc w:val="center"/>
              <w:ind w:right="40"/>
              <w:spacing w:after="0"/>
              <w:rPr>
                <w:sz w:val="20"/>
                <w:szCs w:val="20"/>
                <w:color w:val="auto"/>
              </w:rPr>
            </w:pPr>
            <w:r>
              <w:rPr>
                <w:rFonts w:ascii="Arial" w:cs="Arial" w:eastAsia="Arial" w:hAnsi="Arial"/>
                <w:sz w:val="16"/>
                <w:szCs w:val="16"/>
                <w:b w:val="1"/>
                <w:bCs w:val="1"/>
                <w:i w:val="1"/>
                <w:iCs w:val="1"/>
                <w:color w:val="auto"/>
                <w:w w:val="91"/>
              </w:rPr>
              <w:t>Lisa Smith</w:t>
            </w:r>
          </w:p>
        </w:tc>
        <w:tc>
          <w:tcPr>
            <w:tcW w:w="8240" w:type="dxa"/>
            <w:vAlign w:val="bottom"/>
            <w:gridSpan w:val="4"/>
            <w:shd w:val="clear" w:color="auto" w:fill="CCEEFF"/>
          </w:tcPr>
          <w:p>
            <w:pPr>
              <w:ind w:left="300"/>
              <w:spacing w:after="0"/>
              <w:rPr>
                <w:sz w:val="20"/>
                <w:szCs w:val="20"/>
                <w:color w:val="auto"/>
              </w:rPr>
            </w:pPr>
            <w:r>
              <w:rPr>
                <w:rFonts w:ascii="Arial" w:cs="Arial" w:eastAsia="Arial" w:hAnsi="Arial"/>
                <w:sz w:val="16"/>
                <w:szCs w:val="16"/>
                <w:color w:val="auto"/>
              </w:rPr>
              <w:t>•  12 months base salary</w:t>
            </w:r>
          </w:p>
        </w:tc>
        <w:tc>
          <w:tcPr>
            <w:tcW w:w="1260" w:type="dxa"/>
            <w:vAlign w:val="bottom"/>
            <w:gridSpan w:val="3"/>
            <w:shd w:val="clear" w:color="auto" w:fill="CCEEFF"/>
          </w:tcPr>
          <w:p>
            <w:pPr>
              <w:jc w:val="center"/>
              <w:ind w:right="420"/>
              <w:spacing w:after="0"/>
              <w:rPr>
                <w:sz w:val="20"/>
                <w:szCs w:val="20"/>
                <w:color w:val="auto"/>
              </w:rPr>
            </w:pPr>
            <w:r>
              <w:rPr>
                <w:rFonts w:ascii="Arial" w:cs="Arial" w:eastAsia="Arial" w:hAnsi="Arial"/>
                <w:sz w:val="16"/>
                <w:szCs w:val="16"/>
                <w:color w:val="auto"/>
                <w:w w:val="86"/>
              </w:rPr>
              <w:t>Yes</w:t>
            </w:r>
          </w:p>
        </w:tc>
        <w:tc>
          <w:tcPr>
            <w:tcW w:w="0" w:type="dxa"/>
            <w:vAlign w:val="bottom"/>
          </w:tcPr>
          <w:p>
            <w:pPr>
              <w:spacing w:after="0"/>
              <w:rPr>
                <w:sz w:val="1"/>
                <w:szCs w:val="1"/>
                <w:color w:val="auto"/>
              </w:rPr>
            </w:pPr>
          </w:p>
        </w:tc>
      </w:tr>
      <w:tr>
        <w:trPr>
          <w:trHeight w:val="203"/>
        </w:trPr>
        <w:tc>
          <w:tcPr>
            <w:tcW w:w="5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240" w:type="dxa"/>
            <w:vAlign w:val="bottom"/>
            <w:gridSpan w:val="4"/>
            <w:shd w:val="clear" w:color="auto" w:fill="CCEEFF"/>
          </w:tcPr>
          <w:p>
            <w:pPr>
              <w:ind w:left="300"/>
              <w:spacing w:after="0" w:line="203" w:lineRule="exact"/>
              <w:rPr>
                <w:sz w:val="20"/>
                <w:szCs w:val="20"/>
                <w:color w:val="auto"/>
              </w:rPr>
            </w:pPr>
            <w:r>
              <w:rPr>
                <w:rFonts w:ascii="Arial" w:cs="Arial" w:eastAsia="Arial" w:hAnsi="Arial"/>
                <w:sz w:val="16"/>
                <w:szCs w:val="16"/>
                <w:color w:val="auto"/>
              </w:rPr>
              <w:t>•  24 months base salary plus a prorated target annual incentive if following a Sale of Business</w:t>
            </w:r>
            <w:r>
              <w:rPr>
                <w:rFonts w:ascii="Arial" w:cs="Arial" w:eastAsia="Arial" w:hAnsi="Arial"/>
                <w:sz w:val="21"/>
                <w:szCs w:val="21"/>
                <w:color w:val="auto"/>
                <w:vertAlign w:val="superscript"/>
              </w:rPr>
              <w:t>(3)</w:t>
            </w: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5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240" w:type="dxa"/>
            <w:vAlign w:val="bottom"/>
            <w:gridSpan w:val="4"/>
            <w:shd w:val="clear" w:color="auto" w:fill="CCEEFF"/>
          </w:tcPr>
          <w:p>
            <w:pPr>
              <w:ind w:left="300"/>
              <w:spacing w:after="0"/>
              <w:rPr>
                <w:sz w:val="20"/>
                <w:szCs w:val="20"/>
                <w:color w:val="auto"/>
              </w:rPr>
            </w:pPr>
            <w:r>
              <w:rPr>
                <w:rFonts w:ascii="Arial" w:cs="Arial" w:eastAsia="Arial" w:hAnsi="Arial"/>
                <w:sz w:val="16"/>
                <w:szCs w:val="16"/>
                <w:color w:val="auto"/>
              </w:rPr>
              <w:t>•  12 months COBRA premium assistance</w:t>
            </w: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1740" w:type="dxa"/>
            <w:vAlign w:val="bottom"/>
            <w:gridSpan w:val="3"/>
          </w:tcPr>
          <w:p>
            <w:pPr>
              <w:jc w:val="center"/>
              <w:ind w:right="40"/>
              <w:spacing w:after="0" w:line="184" w:lineRule="exact"/>
              <w:rPr>
                <w:sz w:val="20"/>
                <w:szCs w:val="20"/>
                <w:color w:val="auto"/>
              </w:rPr>
            </w:pPr>
            <w:r>
              <w:rPr>
                <w:rFonts w:ascii="Arial" w:cs="Arial" w:eastAsia="Arial" w:hAnsi="Arial"/>
                <w:sz w:val="16"/>
                <w:szCs w:val="16"/>
                <w:b w:val="1"/>
                <w:bCs w:val="1"/>
                <w:i w:val="1"/>
                <w:iCs w:val="1"/>
                <w:color w:val="auto"/>
                <w:w w:val="92"/>
              </w:rPr>
              <w:t>Craig Cappel</w:t>
            </w:r>
            <w:r>
              <w:rPr>
                <w:rFonts w:ascii="MS PGothic" w:cs="MS PGothic" w:eastAsia="MS PGothic" w:hAnsi="MS PGothic"/>
                <w:sz w:val="16"/>
                <w:szCs w:val="16"/>
                <w:i w:val="1"/>
                <w:iCs w:val="1"/>
                <w:color w:val="auto"/>
                <w:highlight w:val="black"/>
                <w:w w:val="92"/>
              </w:rPr>
              <w:t>⁽⁴⁾</w:t>
            </w:r>
          </w:p>
        </w:tc>
        <w:tc>
          <w:tcPr>
            <w:tcW w:w="8240" w:type="dxa"/>
            <w:vAlign w:val="bottom"/>
            <w:gridSpan w:val="4"/>
          </w:tcPr>
          <w:p>
            <w:pPr>
              <w:ind w:left="300"/>
              <w:spacing w:after="0"/>
              <w:rPr>
                <w:sz w:val="20"/>
                <w:szCs w:val="20"/>
                <w:color w:val="auto"/>
              </w:rPr>
            </w:pPr>
            <w:r>
              <w:rPr>
                <w:rFonts w:ascii="Arial" w:cs="Arial" w:eastAsia="Arial" w:hAnsi="Arial"/>
                <w:sz w:val="16"/>
                <w:szCs w:val="16"/>
                <w:color w:val="auto"/>
              </w:rPr>
              <w:t>•  12 months base salary</w:t>
            </w:r>
          </w:p>
        </w:tc>
        <w:tc>
          <w:tcPr>
            <w:tcW w:w="1260" w:type="dxa"/>
            <w:vAlign w:val="bottom"/>
            <w:gridSpan w:val="3"/>
          </w:tcPr>
          <w:p>
            <w:pPr>
              <w:jc w:val="center"/>
              <w:ind w:right="420"/>
              <w:spacing w:after="0"/>
              <w:rPr>
                <w:sz w:val="20"/>
                <w:szCs w:val="20"/>
                <w:color w:val="auto"/>
              </w:rPr>
            </w:pPr>
            <w:r>
              <w:rPr>
                <w:rFonts w:ascii="Arial" w:cs="Arial" w:eastAsia="Arial" w:hAnsi="Arial"/>
                <w:sz w:val="16"/>
                <w:szCs w:val="16"/>
                <w:color w:val="auto"/>
                <w:w w:val="86"/>
              </w:rPr>
              <w:t>Yes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6057265</wp:posOffset>
            </wp:positionH>
            <wp:positionV relativeFrom="paragraph">
              <wp:posOffset>-3206115</wp:posOffset>
            </wp:positionV>
            <wp:extent cx="8255" cy="3471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255" cy="3471545"/>
                    </a:xfrm>
                    <a:prstGeom prst="rect">
                      <a:avLst/>
                    </a:prstGeom>
                    <a:noFill/>
                  </pic:spPr>
                </pic:pic>
              </a:graphicData>
            </a:graphic>
          </wp:anchor>
        </w:drawing>
        <w:drawing>
          <wp:anchor simplePos="0" relativeHeight="251657728" behindDoc="1" locked="0" layoutInCell="0" allowOverlap="1">
            <wp:simplePos x="0" y="0"/>
            <wp:positionH relativeFrom="column">
              <wp:posOffset>1188085</wp:posOffset>
            </wp:positionH>
            <wp:positionV relativeFrom="paragraph">
              <wp:posOffset>-3206115</wp:posOffset>
            </wp:positionV>
            <wp:extent cx="8890" cy="3471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890" cy="3471545"/>
                    </a:xfrm>
                    <a:prstGeom prst="rect">
                      <a:avLst/>
                    </a:prstGeom>
                    <a:noFill/>
                  </pic:spPr>
                </pic:pic>
              </a:graphicData>
            </a:graphic>
          </wp:anchor>
        </w:drawing>
      </w:r>
    </w:p>
    <w:p>
      <w:pPr>
        <w:ind w:left="2260" w:hanging="212"/>
        <w:spacing w:after="0" w:line="204" w:lineRule="auto"/>
        <w:tabs>
          <w:tab w:leader="none" w:pos="2260" w:val="left"/>
        </w:tabs>
        <w:numPr>
          <w:ilvl w:val="1"/>
          <w:numId w:val="27"/>
        </w:numPr>
        <w:rPr>
          <w:rFonts w:ascii="Arial" w:cs="Arial" w:eastAsia="Arial" w:hAnsi="Arial"/>
          <w:sz w:val="16"/>
          <w:szCs w:val="16"/>
          <w:color w:val="auto"/>
        </w:rPr>
      </w:pPr>
      <w:r>
        <w:rPr>
          <w:rFonts w:ascii="Arial" w:cs="Arial" w:eastAsia="Arial" w:hAnsi="Arial"/>
          <w:sz w:val="16"/>
          <w:szCs w:val="16"/>
          <w:color w:val="auto"/>
        </w:rPr>
        <w:t>24 months base salary plus a prorated target annual incentive if following a Sale of Business</w:t>
      </w:r>
      <w:r>
        <w:rPr>
          <w:rFonts w:ascii="Arial" w:cs="Arial" w:eastAsia="Arial" w:hAnsi="Arial"/>
          <w:sz w:val="21"/>
          <w:szCs w:val="21"/>
          <w:color w:val="auto"/>
          <w:vertAlign w:val="superscript"/>
        </w:rPr>
        <w:t>(3)</w:t>
      </w:r>
    </w:p>
    <w:p>
      <w:pPr>
        <w:ind w:left="2260" w:hanging="212"/>
        <w:spacing w:after="0"/>
        <w:tabs>
          <w:tab w:leader="none" w:pos="2260" w:val="left"/>
        </w:tabs>
        <w:numPr>
          <w:ilvl w:val="1"/>
          <w:numId w:val="27"/>
        </w:numPr>
        <w:rPr>
          <w:rFonts w:ascii="Arial" w:cs="Arial" w:eastAsia="Arial" w:hAnsi="Arial"/>
          <w:sz w:val="16"/>
          <w:szCs w:val="16"/>
          <w:color w:val="auto"/>
        </w:rPr>
      </w:pPr>
      <w:r>
        <w:rPr>
          <w:rFonts w:ascii="Arial" w:cs="Arial" w:eastAsia="Arial" w:hAnsi="Arial"/>
          <w:sz w:val="16"/>
          <w:szCs w:val="16"/>
          <w:color w:val="auto"/>
        </w:rPr>
        <w:t>12 months COBRA premium assistance</w:t>
      </w:r>
    </w:p>
    <w:p>
      <w:pPr>
        <w:spacing w:after="0" w:line="351" w:lineRule="exact"/>
        <w:rPr>
          <w:rFonts w:ascii="Arial" w:cs="Arial" w:eastAsia="Arial" w:hAnsi="Arial"/>
          <w:sz w:val="16"/>
          <w:szCs w:val="16"/>
          <w:color w:val="auto"/>
        </w:rPr>
      </w:pPr>
    </w:p>
    <w:p>
      <w:pPr>
        <w:ind w:left="340" w:hanging="332"/>
        <w:spacing w:after="0" w:line="274" w:lineRule="auto"/>
        <w:tabs>
          <w:tab w:leader="none" w:pos="431" w:val="left"/>
        </w:tabs>
        <w:numPr>
          <w:ilvl w:val="0"/>
          <w:numId w:val="27"/>
        </w:numPr>
        <w:rPr>
          <w:rFonts w:ascii="Arial" w:cs="Arial" w:eastAsia="Arial" w:hAnsi="Arial"/>
          <w:sz w:val="17"/>
          <w:szCs w:val="17"/>
          <w:color w:val="auto"/>
        </w:rPr>
      </w:pPr>
      <w:r>
        <w:rPr>
          <w:rFonts w:ascii="Arial" w:cs="Arial" w:eastAsia="Arial" w:hAnsi="Arial"/>
          <w:sz w:val="17"/>
          <w:szCs w:val="17"/>
          <w:color w:val="auto"/>
        </w:rPr>
        <w:t>Upon termination of employment, equity awards will be treated based on individual equity agreements, or in the case of Mr. Cappel, as agreed to by the Company. See the “Potential Payments upon Termination or Change in Control – Equity Awards” section below for further discussion.</w:t>
      </w:r>
    </w:p>
    <w:p>
      <w:pPr>
        <w:ind w:left="340" w:right="20" w:hanging="332"/>
        <w:spacing w:after="0" w:line="250" w:lineRule="auto"/>
        <w:tabs>
          <w:tab w:leader="none" w:pos="562"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Restrictive covenants include non-competition and non-solicitation covenants during employment and for one year following termination of employment for any reason.</w:t>
      </w:r>
    </w:p>
    <w:p>
      <w:pPr>
        <w:ind w:left="340" w:hanging="332"/>
        <w:spacing w:after="0" w:line="250" w:lineRule="auto"/>
        <w:tabs>
          <w:tab w:leader="none" w:pos="479"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Increased severance provided if within 12 months following a Sale of Business, the employee is terminated without cause or resigns following a material reduction in his or her remuneration or scope of duties.</w:t>
      </w:r>
    </w:p>
    <w:p>
      <w:pPr>
        <w:jc w:val="both"/>
        <w:ind w:left="340" w:hanging="332"/>
        <w:spacing w:after="0" w:line="255" w:lineRule="auto"/>
        <w:tabs>
          <w:tab w:leader="none" w:pos="417" w:val="left"/>
        </w:tabs>
        <w:numPr>
          <w:ilvl w:val="0"/>
          <w:numId w:val="27"/>
        </w:numPr>
        <w:rPr>
          <w:rFonts w:ascii="Arial" w:cs="Arial" w:eastAsia="Arial" w:hAnsi="Arial"/>
          <w:sz w:val="18"/>
          <w:szCs w:val="18"/>
          <w:color w:val="auto"/>
        </w:rPr>
      </w:pPr>
      <w:r>
        <w:rPr>
          <w:rFonts w:ascii="Arial" w:cs="Arial" w:eastAsia="Arial" w:hAnsi="Arial"/>
          <w:sz w:val="18"/>
          <w:szCs w:val="18"/>
          <w:color w:val="auto"/>
        </w:rPr>
        <w:t>Effective November 2, 2022, the Company terminated the employment of Craig Cappel. Mr. Cappel’s employment termination on November 2, 2022 was of the type that resulted in him being paid 12 months base salary and 12 months COBRA premium assistance pursuant to the terms of his Employment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4F81B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Incentive Plan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purpose of the Equity Incentive Plan is to motivate and reward our employees, directors, consultants and advisors to perform at the highest level and to further our best interests and those of our shareholders.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Administration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CNG Committee administers the Equity Incentive Plan. To the extent not inconsistent with applicable law, our CNG Committee may delegate to one or more of our officers some or all of the authority under the Equity Incentive Plan, including the authority to grant all types of awards authorized under the Equity Incentive Plan, except for grants to executive officers.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Eligibility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Generally, all employees, directors, consultants or other advisors of the Company or any of its affiliates are eligible to receive awards.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 Repricing</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Except as provided in the adjustment provision of the Equity Incentive Plan, no action will directly or indirectly, through cancellation and regrant or any other method, reduce, or have the effect of reducing, the exercise price of any option or an SAR established at the time of grant thereof without approval of our shareholders.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 Pay Cap</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Subject to the adjustment provision of the Equity Incentive Plan, an individual who is a non-employee director may not receive awards, in cash or otherwise, for any calendar year that total more than $750,000 in the aggregate.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Anti-Hedging and Anti-Pledging Policy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employees and directors are prohibited from (i) engaging in any hedging transactions (including transactions involving options, puts, calls, prepaid variable forward contracts, equity swaps, collars and exchange funds or other derivatives) that are designed to hedge or speculate on any change in the market value of the Company’s equity securities, and (ii) pledging Company securities in any circumstance, including by purchasing Company securities on margin or holding Company securities in a margin account.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Clawback Policy</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 Compensation Recoupment Policy that permits us to recover from our executive officers incentive-based compensation received by him or her during any of the three years completed before any financial restatement trigger date. In the event of a financial restatement, if the amount of incentive compensation actually paid to an executive officer exceeds the amount of such compensation that would have been paid as calculated based on the financial restatement, the CNG Committee may seek to recover from such executive for the benefit of the Company an amount equal to the excess of the awarded compensation over the adjusted compensation.</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SEC recently adopted final rules under the Dodd-Frank Act directing national securities exchanges to establish listing standards requiring listed companies to adopt compensation recoupment policies containing certain provisions. The CNG Committee will consider appropriate additions and modifications to our compensation recoupment policy to comply with the new rules and listing standards once they are finalized by the national securities exchanges.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4F81B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Ownership Guidelines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have adopted Stock Ownership Guidelines applicable to our executive officers that will become effective on July 1, 2023. Under the Guidelines, the following officers are expected to own shares of our common stock with a value at least equal to the following:</w:t>
      </w:r>
    </w:p>
    <w:p>
      <w:pPr>
        <w:spacing w:after="0" w:line="170"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Chief Executive Officer: 5x annual base salary;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Business Unit Presidents and Chief Financial Officer: 3x annual base salary;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Other executive officers: 2x annual base salary</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Shares owned directly and indirectly, as well as full-value equity awards (such as RSUs) with only a time-based vesting condition, count toward the ownership level under the Guidelines. Unearned PSUs and stock options (if any were to be granted by the Company) do not count toward the ownership level under the Guidelines.</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applicable ownership level is to be achieved within the later of July 1, 2028 (five years after the effective date of the Guidelines) or five years following when the officer becomes subject to the Guidelines. Prior to the first applicable Compliance Date, until an executive officer has satisfied the applicable level of ownership, he or she is required to retain not less than 50% of the net shares received (shares received after any shares are withheld to satisfy the applicable withholding taxes) from the vesting or settlement of any equity award granted after the effective date of the Guidelines. As of and following the first applicable Compliance Date, if the applicable level of ownership has not been achieved, or if it has been achieved but an executive officer falls below the applicable level of ownership, he or she will be required to retain 100% of the net shares received from the vesting or settlement of any equity award granted until the applicable level of ownership is achieved.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and Accounting Considerations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Considerations of Our Executive Compensation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Section 162(m) of the Code generally limits the tax deductibility of annual compensation paid by public companies for certain executive officers to $1 million. Although our CNG Committee is mindful of the benefits of tax deductibility when determining executive compensation, the CNG Committee may approve compensation that will not be fully-deductible in order to ensure competitive levels of total compensation for its executive officers.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Our Stock-Based Compensation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account for stock-based payments, including grants under each of our equity compensation plans, in accordance with the requirements of Financial Accounting Standards Board (“FASB”) Accounting Standards Codification (“ASC”) Topic 718.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4F81B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NOMINATING AND CORPORATE GOVERNANCE COMMITTEE REPORT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Compensation, Nominating and Corporate Governance Committee has reviewed and discussed the Compensation Discussion and Analysis with management. Based upon this review and discussion, the Compensation, Nominating and Corporate Governance Committee recommended to the Board of Directors that the Compensation Discussion and Analysis be included in this Proxy Statement and incorporated by reference in the Company’s Annual Report on Form 10-K for the year ended December 31, 2022.</w:t>
      </w:r>
    </w:p>
    <w:p>
      <w:pPr>
        <w:spacing w:after="0" w:line="268"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THE COMPENSATION, NOMINATING AND CORPORATE GOVERNANCE COMMITTEE</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8"/>
          <w:szCs w:val="18"/>
          <w:color w:val="auto"/>
        </w:rPr>
        <w:t>Gregory Cole, Chair</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Helen Golding</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Richard Noll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4F81B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The following table sets forth information concerning the compensation paid to our NEOs during our fiscal years ended December 31, 2022, 2021 and 2020.</w:t>
      </w:r>
    </w:p>
    <w:tbl>
      <w:tblPr>
        <w:tblLayout w:type="fixed"/>
        <w:tblInd w:w="0" w:type="dxa"/>
        <w:tblCellMar>
          <w:top w:w="0" w:type="dxa"/>
          <w:left w:w="0" w:type="dxa"/>
          <w:bottom w:w="0" w:type="dxa"/>
          <w:right w:w="0" w:type="dxa"/>
        </w:tblCellMar>
      </w:tblPr>
      <w:tr>
        <w:trPr>
          <w:trHeight w:val="149"/>
        </w:trPr>
        <w:tc>
          <w:tcPr>
            <w:tcW w:w="1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Change in</w:t>
            </w: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88"/>
              </w:rPr>
              <w:t>Pension</w:t>
            </w: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center"/>
              <w:ind w:right="120"/>
              <w:spacing w:after="0" w:line="139" w:lineRule="exact"/>
              <w:rPr>
                <w:sz w:val="20"/>
                <w:szCs w:val="20"/>
                <w:color w:val="auto"/>
              </w:rPr>
            </w:pPr>
            <w:r>
              <w:rPr>
                <w:rFonts w:ascii="Arial" w:cs="Arial" w:eastAsia="Arial" w:hAnsi="Arial"/>
                <w:sz w:val="14"/>
                <w:szCs w:val="14"/>
                <w:b w:val="1"/>
                <w:bCs w:val="1"/>
                <w:color w:val="auto"/>
                <w:w w:val="93"/>
              </w:rPr>
              <w:t>Value and</w:t>
            </w: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6"/>
              </w:rPr>
              <w:t>Non-Equity</w:t>
            </w: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Nonqualified</w:t>
            </w: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Stock</w:t>
            </w:r>
          </w:p>
        </w:tc>
        <w:tc>
          <w:tcPr>
            <w:tcW w:w="1580" w:type="dxa"/>
            <w:vAlign w:val="bottom"/>
            <w:gridSpan w:val="2"/>
            <w:vMerge w:val="continue"/>
          </w:tcPr>
          <w:p>
            <w:pPr>
              <w:spacing w:after="0"/>
              <w:rPr>
                <w:sz w:val="12"/>
                <w:szCs w:val="12"/>
                <w:color w:val="auto"/>
              </w:rPr>
            </w:pPr>
          </w:p>
        </w:tc>
        <w:tc>
          <w:tcPr>
            <w:tcW w:w="146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w w:val="93"/>
              </w:rPr>
              <w:t>Deferred</w:t>
            </w:r>
          </w:p>
        </w:tc>
        <w:tc>
          <w:tcPr>
            <w:tcW w:w="15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8"/>
              </w:rPr>
              <w:t>All Other</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6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 and Principal</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Salary</w:t>
            </w:r>
          </w:p>
        </w:tc>
        <w:tc>
          <w:tcPr>
            <w:tcW w:w="1020" w:type="dxa"/>
            <w:vAlign w:val="bottom"/>
            <w:gridSpan w:val="2"/>
            <w:vMerge w:val="restart"/>
          </w:tcPr>
          <w:p>
            <w:pPr>
              <w:ind w:left="200"/>
              <w:spacing w:after="0" w:line="161" w:lineRule="exact"/>
              <w:rPr>
                <w:sz w:val="20"/>
                <w:szCs w:val="20"/>
                <w:color w:val="auto"/>
              </w:rPr>
            </w:pPr>
            <w:r>
              <w:rPr>
                <w:rFonts w:ascii="Arial" w:cs="Arial" w:eastAsia="Arial" w:hAnsi="Arial"/>
                <w:sz w:val="14"/>
                <w:szCs w:val="14"/>
                <w:b w:val="1"/>
                <w:bCs w:val="1"/>
                <w:color w:val="auto"/>
              </w:rPr>
              <w:t>Bonus</w:t>
            </w:r>
            <w:r>
              <w:rPr>
                <w:rFonts w:ascii="MS PGothic" w:cs="MS PGothic" w:eastAsia="MS PGothic" w:hAnsi="MS PGothic"/>
                <w:sz w:val="14"/>
                <w:szCs w:val="14"/>
                <w:color w:val="auto"/>
              </w:rPr>
              <w:t>⁽</w:t>
            </w:r>
            <w:r>
              <w:rPr>
                <w:rFonts w:ascii="Arial" w:cs="Arial" w:eastAsia="Arial" w:hAnsi="Arial"/>
                <w:sz w:val="14"/>
                <w:szCs w:val="14"/>
                <w:b w:val="1"/>
                <w:bCs w:val="1"/>
                <w:color w:val="auto"/>
              </w:rPr>
              <w:t>¹</w:t>
            </w:r>
            <w:r>
              <w:rPr>
                <w:rFonts w:ascii="MS PGothic" w:cs="MS PGothic" w:eastAsia="MS PGothic" w:hAnsi="MS PGothic"/>
                <w:sz w:val="14"/>
                <w:szCs w:val="14"/>
                <w:color w:val="auto"/>
              </w:rPr>
              <w:t>⁾</w:t>
            </w:r>
          </w:p>
        </w:tc>
        <w:tc>
          <w:tcPr>
            <w:tcW w:w="1060" w:type="dxa"/>
            <w:vAlign w:val="bottom"/>
            <w:gridSpan w:val="2"/>
            <w:vMerge w:val="continue"/>
          </w:tcPr>
          <w:p>
            <w:pPr>
              <w:spacing w:after="0"/>
              <w:rPr>
                <w:sz w:val="11"/>
                <w:szCs w:val="11"/>
                <w:color w:val="auto"/>
              </w:rPr>
            </w:pPr>
          </w:p>
        </w:tc>
        <w:tc>
          <w:tcPr>
            <w:tcW w:w="15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3"/>
              </w:rPr>
              <w:t>Incentive Plan</w:t>
            </w:r>
          </w:p>
        </w:tc>
        <w:tc>
          <w:tcPr>
            <w:tcW w:w="146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2"/>
              </w:rPr>
              <w:t>Compensation</w:t>
            </w:r>
          </w:p>
        </w:tc>
        <w:tc>
          <w:tcPr>
            <w:tcW w:w="1580" w:type="dxa"/>
            <w:vAlign w:val="bottom"/>
            <w:gridSpan w:val="2"/>
            <w:vMerge w:val="continue"/>
          </w:tcPr>
          <w:p>
            <w:pPr>
              <w:spacing w:after="0"/>
              <w:rPr>
                <w:sz w:val="11"/>
                <w:szCs w:val="11"/>
                <w:color w:val="auto"/>
              </w:rPr>
            </w:pPr>
          </w:p>
        </w:tc>
        <w:tc>
          <w:tcPr>
            <w:tcW w:w="110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16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Year</w:t>
            </w:r>
          </w:p>
        </w:tc>
        <w:tc>
          <w:tcPr>
            <w:tcW w:w="1020" w:type="dxa"/>
            <w:vAlign w:val="bottom"/>
            <w:gridSpan w:val="2"/>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Awards</w:t>
            </w:r>
            <w:r>
              <w:rPr>
                <w:rFonts w:ascii="MS PGothic" w:cs="MS PGothic" w:eastAsia="MS PGothic" w:hAnsi="MS PGothic"/>
                <w:sz w:val="14"/>
                <w:szCs w:val="14"/>
                <w:color w:val="auto"/>
                <w:w w:val="94"/>
              </w:rPr>
              <w:t>⁽</w:t>
            </w:r>
            <w:r>
              <w:rPr>
                <w:rFonts w:ascii="Arial" w:cs="Arial" w:eastAsia="Arial" w:hAnsi="Arial"/>
                <w:sz w:val="14"/>
                <w:szCs w:val="14"/>
                <w:b w:val="1"/>
                <w:bCs w:val="1"/>
                <w:color w:val="auto"/>
                <w:w w:val="94"/>
              </w:rPr>
              <w:t>²</w:t>
            </w:r>
            <w:r>
              <w:rPr>
                <w:rFonts w:ascii="MS PGothic" w:cs="MS PGothic" w:eastAsia="MS PGothic" w:hAnsi="MS PGothic"/>
                <w:sz w:val="14"/>
                <w:szCs w:val="14"/>
                <w:color w:val="auto"/>
                <w:w w:val="94"/>
              </w:rPr>
              <w:t>⁾</w:t>
            </w:r>
          </w:p>
        </w:tc>
        <w:tc>
          <w:tcPr>
            <w:tcW w:w="15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Compensation</w:t>
            </w:r>
            <w:r>
              <w:rPr>
                <w:rFonts w:ascii="MS PGothic" w:cs="MS PGothic" w:eastAsia="MS PGothic" w:hAnsi="MS PGothic"/>
                <w:sz w:val="14"/>
                <w:szCs w:val="14"/>
                <w:color w:val="auto"/>
                <w:w w:val="94"/>
              </w:rPr>
              <w:t>⁽</w:t>
            </w:r>
            <w:r>
              <w:rPr>
                <w:rFonts w:ascii="Arial" w:cs="Arial" w:eastAsia="Arial" w:hAnsi="Arial"/>
                <w:sz w:val="14"/>
                <w:szCs w:val="14"/>
                <w:b w:val="1"/>
                <w:bCs w:val="1"/>
                <w:color w:val="auto"/>
                <w:w w:val="94"/>
              </w:rPr>
              <w:t>³</w:t>
            </w:r>
            <w:r>
              <w:rPr>
                <w:rFonts w:ascii="MS PGothic" w:cs="MS PGothic" w:eastAsia="MS PGothic" w:hAnsi="MS PGothic"/>
                <w:sz w:val="14"/>
                <w:szCs w:val="14"/>
                <w:color w:val="auto"/>
                <w:w w:val="94"/>
              </w:rPr>
              <w:t>⁾</w:t>
            </w: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Earnings</w:t>
            </w:r>
            <w:r>
              <w:rPr>
                <w:rFonts w:ascii="MS PGothic" w:cs="MS PGothic" w:eastAsia="MS PGothic" w:hAnsi="MS PGothic"/>
                <w:sz w:val="14"/>
                <w:szCs w:val="14"/>
                <w:color w:val="auto"/>
                <w:highlight w:val="black"/>
              </w:rPr>
              <w:t>⁽⁴⁾</w:t>
            </w:r>
          </w:p>
        </w:tc>
        <w:tc>
          <w:tcPr>
            <w:tcW w:w="15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Compensation</w:t>
            </w:r>
            <w:r>
              <w:rPr>
                <w:rFonts w:ascii="MS PGothic" w:cs="MS PGothic" w:eastAsia="MS PGothic" w:hAnsi="MS PGothic"/>
                <w:sz w:val="14"/>
                <w:szCs w:val="14"/>
                <w:color w:val="auto"/>
                <w:highlight w:val="black"/>
                <w:w w:val="95"/>
              </w:rPr>
              <w:t>⁽⁵⁾</w:t>
            </w: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660" w:type="dxa"/>
            <w:vAlign w:val="bottom"/>
          </w:tcPr>
          <w:p>
            <w:pPr>
              <w:ind w:left="20"/>
              <w:spacing w:after="0"/>
              <w:rPr>
                <w:sz w:val="20"/>
                <w:szCs w:val="20"/>
                <w:color w:val="auto"/>
              </w:rPr>
            </w:pPr>
            <w:r>
              <w:rPr>
                <w:rFonts w:ascii="Arial" w:cs="Arial" w:eastAsia="Arial" w:hAnsi="Arial"/>
                <w:sz w:val="14"/>
                <w:szCs w:val="14"/>
                <w:b w:val="1"/>
                <w:bCs w:val="1"/>
                <w:color w:val="auto"/>
              </w:rPr>
              <w:t>Position</w:t>
            </w:r>
          </w:p>
        </w:tc>
        <w:tc>
          <w:tcPr>
            <w:tcW w:w="80" w:type="dxa"/>
            <w:vAlign w:val="bottom"/>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900" w:type="dxa"/>
            <w:vAlign w:val="bottom"/>
          </w:tcPr>
          <w:p>
            <w:pPr>
              <w:jc w:val="right"/>
              <w:ind w:right="288"/>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7"/>
                <w:szCs w:val="17"/>
                <w:color w:val="auto"/>
              </w:rPr>
            </w:pPr>
          </w:p>
        </w:tc>
        <w:tc>
          <w:tcPr>
            <w:tcW w:w="900" w:type="dxa"/>
            <w:vAlign w:val="bottom"/>
          </w:tcPr>
          <w:p>
            <w:pPr>
              <w:jc w:val="right"/>
              <w:ind w:right="288"/>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7"/>
                <w:szCs w:val="17"/>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7"/>
                <w:szCs w:val="17"/>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7"/>
                <w:szCs w:val="17"/>
                <w:color w:val="auto"/>
              </w:rPr>
            </w:pPr>
          </w:p>
        </w:tc>
        <w:tc>
          <w:tcPr>
            <w:tcW w:w="1000" w:type="dxa"/>
            <w:vAlign w:val="bottom"/>
          </w:tcPr>
          <w:p>
            <w:pPr>
              <w:jc w:val="right"/>
              <w:ind w:right="34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1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Lance Mitchell</w:t>
            </w:r>
          </w:p>
        </w:tc>
        <w:tc>
          <w:tcPr>
            <w:tcW w:w="8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1,550,000</w:t>
            </w:r>
          </w:p>
        </w:tc>
        <w:tc>
          <w:tcPr>
            <w:tcW w:w="12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3,875,000</w:t>
            </w:r>
          </w:p>
        </w:tc>
        <w:tc>
          <w:tcPr>
            <w:tcW w:w="120" w:type="dxa"/>
            <w:vAlign w:val="bottom"/>
            <w:tcBorders>
              <w:top w:val="single" w:sz="8" w:color="CCEEFF"/>
            </w:tcBorders>
            <w:shd w:val="clear" w:color="auto" w:fill="CCEEFF"/>
          </w:tcPr>
          <w:p>
            <w:pPr>
              <w:spacing w:after="0"/>
              <w:rPr>
                <w:sz w:val="16"/>
                <w:szCs w:val="16"/>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1,158,625</w:t>
            </w:r>
          </w:p>
        </w:tc>
        <w:tc>
          <w:tcPr>
            <w:tcW w:w="120" w:type="dxa"/>
            <w:vAlign w:val="bottom"/>
            <w:tcBorders>
              <w:top w:val="single" w:sz="8" w:color="CCEEFF"/>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CCEEFF"/>
            </w:tcBorders>
            <w:shd w:val="clear" w:color="auto" w:fill="CCEEFF"/>
          </w:tcPr>
          <w:p>
            <w:pPr>
              <w:spacing w:after="0"/>
              <w:rPr>
                <w:sz w:val="16"/>
                <w:szCs w:val="16"/>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221,536</w:t>
            </w:r>
          </w:p>
        </w:tc>
        <w:tc>
          <w:tcPr>
            <w:tcW w:w="12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6,805,161</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166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color w:val="auto"/>
              </w:rPr>
              <w:t>President and Chief</w:t>
            </w:r>
          </w:p>
        </w:tc>
        <w:tc>
          <w:tcPr>
            <w:tcW w:w="80" w:type="dxa"/>
            <w:vAlign w:val="bottom"/>
            <w:shd w:val="clear" w:color="auto" w:fill="CCEEFF"/>
          </w:tcPr>
          <w:p>
            <w:pPr>
              <w:spacing w:after="0"/>
              <w:rPr>
                <w:sz w:val="13"/>
                <w:szCs w:val="13"/>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2021</w:t>
            </w:r>
          </w:p>
        </w:tc>
        <w:tc>
          <w:tcPr>
            <w:tcW w:w="12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1,550,000</w:t>
            </w:r>
          </w:p>
        </w:tc>
        <w:tc>
          <w:tcPr>
            <w:tcW w:w="120" w:type="dxa"/>
            <w:vAlign w:val="bottom"/>
            <w:shd w:val="clear" w:color="auto" w:fill="CCEEFF"/>
          </w:tcPr>
          <w:p>
            <w:pPr>
              <w:spacing w:after="0"/>
              <w:rPr>
                <w:sz w:val="13"/>
                <w:szCs w:val="13"/>
                <w:color w:val="auto"/>
              </w:rPr>
            </w:pPr>
          </w:p>
        </w:tc>
        <w:tc>
          <w:tcPr>
            <w:tcW w:w="10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3,487,508</w:t>
            </w:r>
          </w:p>
        </w:tc>
        <w:tc>
          <w:tcPr>
            <w:tcW w:w="120" w:type="dxa"/>
            <w:vAlign w:val="bottom"/>
            <w:shd w:val="clear" w:color="auto" w:fill="CCEEFF"/>
          </w:tcPr>
          <w:p>
            <w:pPr>
              <w:spacing w:after="0"/>
              <w:rPr>
                <w:sz w:val="13"/>
                <w:szCs w:val="13"/>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713,000</w:t>
            </w:r>
          </w:p>
        </w:tc>
        <w:tc>
          <w:tcPr>
            <w:tcW w:w="120" w:type="dxa"/>
            <w:vAlign w:val="bottom"/>
            <w:shd w:val="clear" w:color="auto" w:fill="CCEEFF"/>
          </w:tcPr>
          <w:p>
            <w:pPr>
              <w:spacing w:after="0"/>
              <w:rPr>
                <w:sz w:val="13"/>
                <w:szCs w:val="13"/>
                <w:color w:val="auto"/>
              </w:rPr>
            </w:pPr>
          </w:p>
        </w:tc>
        <w:tc>
          <w:tcPr>
            <w:tcW w:w="14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189,869</w:t>
            </w:r>
          </w:p>
        </w:tc>
        <w:tc>
          <w:tcPr>
            <w:tcW w:w="12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5,940,377</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Executive Officer</w:t>
            </w:r>
          </w:p>
        </w:tc>
        <w:tc>
          <w:tcPr>
            <w:tcW w:w="80" w:type="dxa"/>
            <w:vAlign w:val="bottom"/>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gridSpan w:val="2"/>
            <w:vMerge w:val="continue"/>
            <w:shd w:val="clear" w:color="auto" w:fill="CCEEFF"/>
          </w:tcPr>
          <w:p>
            <w:pPr>
              <w:spacing w:after="0"/>
              <w:rPr>
                <w:sz w:val="15"/>
                <w:szCs w:val="15"/>
                <w:color w:val="auto"/>
              </w:rPr>
            </w:pPr>
          </w:p>
        </w:tc>
        <w:tc>
          <w:tcPr>
            <w:tcW w:w="9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6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60" w:type="dxa"/>
            <w:vAlign w:val="bottom"/>
            <w:gridSpan w:val="2"/>
            <w:vMerge w:val="continue"/>
            <w:shd w:val="clear" w:color="auto" w:fill="CCEEFF"/>
          </w:tcPr>
          <w:p>
            <w:pPr>
              <w:spacing w:after="0"/>
              <w:rPr>
                <w:sz w:val="15"/>
                <w:szCs w:val="15"/>
                <w:color w:val="auto"/>
              </w:rPr>
            </w:pPr>
          </w:p>
        </w:tc>
        <w:tc>
          <w:tcPr>
            <w:tcW w:w="146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16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2020</w:t>
            </w:r>
          </w:p>
        </w:tc>
        <w:tc>
          <w:tcPr>
            <w:tcW w:w="1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1,550,000</w:t>
            </w:r>
          </w:p>
        </w:tc>
        <w:tc>
          <w:tcPr>
            <w:tcW w:w="1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1,782,500</w:t>
            </w:r>
          </w:p>
        </w:tc>
        <w:tc>
          <w:tcPr>
            <w:tcW w:w="12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3,488,004</w:t>
            </w:r>
          </w:p>
        </w:tc>
        <w:tc>
          <w:tcPr>
            <w:tcW w:w="12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4,421,153</w:t>
            </w:r>
          </w:p>
        </w:tc>
        <w:tc>
          <w:tcPr>
            <w:tcW w:w="12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168,564</w:t>
            </w:r>
          </w:p>
        </w:tc>
        <w:tc>
          <w:tcPr>
            <w:tcW w:w="1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11,410,221</w:t>
            </w: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660" w:type="dxa"/>
            <w:vAlign w:val="bottom"/>
          </w:tcPr>
          <w:p>
            <w:pPr>
              <w:ind w:left="20"/>
              <w:spacing w:after="0"/>
              <w:rPr>
                <w:sz w:val="20"/>
                <w:szCs w:val="20"/>
                <w:color w:val="auto"/>
              </w:rPr>
            </w:pPr>
            <w:r>
              <w:rPr>
                <w:rFonts w:ascii="Arial" w:cs="Arial" w:eastAsia="Arial" w:hAnsi="Arial"/>
                <w:sz w:val="14"/>
                <w:szCs w:val="14"/>
                <w:b w:val="1"/>
                <w:bCs w:val="1"/>
                <w:color w:val="auto"/>
              </w:rPr>
              <w:t>Michael Graham</w:t>
            </w:r>
          </w:p>
        </w:tc>
        <w:tc>
          <w:tcPr>
            <w:tcW w:w="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822,678</w:t>
            </w:r>
          </w:p>
        </w:tc>
        <w:tc>
          <w:tcPr>
            <w:tcW w:w="12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1,110,606</w:t>
            </w:r>
          </w:p>
        </w:tc>
        <w:tc>
          <w:tcPr>
            <w:tcW w:w="1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b w:val="1"/>
                <w:bCs w:val="1"/>
                <w:color w:val="auto"/>
              </w:rPr>
              <w:t>320,844</w:t>
            </w:r>
          </w:p>
        </w:tc>
        <w:tc>
          <w:tcPr>
            <w:tcW w:w="120" w:type="dxa"/>
            <w:vAlign w:val="bottom"/>
          </w:tcPr>
          <w:p>
            <w:pPr>
              <w:spacing w:after="0"/>
              <w:rPr>
                <w:sz w:val="16"/>
                <w:szCs w:val="16"/>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1460" w:type="dxa"/>
            <w:vAlign w:val="bottom"/>
          </w:tcPr>
          <w:p>
            <w:pPr>
              <w:jc w:val="right"/>
              <w:spacing w:after="0"/>
              <w:rPr>
                <w:sz w:val="20"/>
                <w:szCs w:val="20"/>
                <w:color w:val="auto"/>
              </w:rPr>
            </w:pPr>
            <w:r>
              <w:rPr>
                <w:rFonts w:ascii="Arial" w:cs="Arial" w:eastAsia="Arial" w:hAnsi="Arial"/>
                <w:sz w:val="14"/>
                <w:szCs w:val="14"/>
                <w:b w:val="1"/>
                <w:bCs w:val="1"/>
                <w:color w:val="auto"/>
              </w:rPr>
              <w:t>92,907</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2,347,035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660" w:type="dxa"/>
            <w:vAlign w:val="bottom"/>
          </w:tcPr>
          <w:p>
            <w:pPr>
              <w:ind w:left="20"/>
              <w:spacing w:after="0"/>
              <w:rPr>
                <w:sz w:val="20"/>
                <w:szCs w:val="20"/>
                <w:color w:val="auto"/>
              </w:rPr>
            </w:pPr>
            <w:r>
              <w:rPr>
                <w:rFonts w:ascii="Arial" w:cs="Arial" w:eastAsia="Arial" w:hAnsi="Arial"/>
                <w:sz w:val="14"/>
                <w:szCs w:val="14"/>
                <w:color w:val="auto"/>
              </w:rPr>
              <w:t>Chief Financial Officer</w:t>
            </w: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2021</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822,678</w:t>
            </w:r>
          </w:p>
        </w:tc>
        <w:tc>
          <w:tcPr>
            <w:tcW w:w="12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1,028,356</w:t>
            </w:r>
          </w:p>
        </w:tc>
        <w:tc>
          <w:tcPr>
            <w:tcW w:w="1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197,443</w:t>
            </w:r>
          </w:p>
        </w:tc>
        <w:tc>
          <w:tcPr>
            <w:tcW w:w="120" w:type="dxa"/>
            <w:vAlign w:val="bottom"/>
          </w:tcPr>
          <w:p>
            <w:pPr>
              <w:spacing w:after="0"/>
              <w:rPr>
                <w:sz w:val="16"/>
                <w:szCs w:val="16"/>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128,572</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2,177,049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660" w:type="dxa"/>
            <w:vAlign w:val="bottom"/>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2020</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812,694</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798,716</w:t>
            </w: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998,380</w:t>
            </w:r>
          </w:p>
        </w:tc>
        <w:tc>
          <w:tcPr>
            <w:tcW w:w="1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1,305,874</w:t>
            </w:r>
          </w:p>
        </w:tc>
        <w:tc>
          <w:tcPr>
            <w:tcW w:w="120" w:type="dxa"/>
            <w:vAlign w:val="bottom"/>
          </w:tcPr>
          <w:p>
            <w:pPr>
              <w:spacing w:after="0"/>
              <w:rPr>
                <w:sz w:val="17"/>
                <w:szCs w:val="17"/>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97,350</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4,013,014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166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16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Rachel Bishop</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2022</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518,750</w:t>
            </w:r>
          </w:p>
        </w:tc>
        <w:tc>
          <w:tcPr>
            <w:tcW w:w="1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708,750</w:t>
            </w:r>
          </w:p>
        </w:tc>
        <w:tc>
          <w:tcPr>
            <w:tcW w:w="12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219,172</w:t>
            </w:r>
          </w:p>
        </w:tc>
        <w:tc>
          <w:tcPr>
            <w:tcW w:w="12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58,204</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1,504,876</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660" w:type="dxa"/>
            <w:vAlign w:val="bottom"/>
            <w:shd w:val="clear" w:color="auto" w:fill="CCEEFF"/>
          </w:tcPr>
          <w:p>
            <w:pPr>
              <w:ind w:left="20"/>
              <w:spacing w:after="0"/>
              <w:rPr>
                <w:sz w:val="20"/>
                <w:szCs w:val="20"/>
                <w:color w:val="auto"/>
              </w:rPr>
            </w:pPr>
            <w:r>
              <w:rPr>
                <w:rFonts w:ascii="Arial" w:cs="Arial" w:eastAsia="Arial" w:hAnsi="Arial"/>
                <w:sz w:val="14"/>
                <w:szCs w:val="14"/>
                <w:color w:val="auto"/>
                <w:w w:val="95"/>
              </w:rPr>
              <w:t>President, Hefty Tableware</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2021</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447,863</w:t>
            </w:r>
          </w:p>
        </w:tc>
        <w:tc>
          <w:tcPr>
            <w:tcW w:w="1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562,516</w:t>
            </w:r>
          </w:p>
        </w:tc>
        <w:tc>
          <w:tcPr>
            <w:tcW w:w="12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116,444</w:t>
            </w:r>
          </w:p>
        </w:tc>
        <w:tc>
          <w:tcPr>
            <w:tcW w:w="12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74,443</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1,201,266</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16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2020</w:t>
            </w: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419,210</w:t>
            </w: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412,000</w:t>
            </w:r>
          </w:p>
        </w:tc>
        <w:tc>
          <w:tcPr>
            <w:tcW w:w="1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515,014</w:t>
            </w:r>
          </w:p>
        </w:tc>
        <w:tc>
          <w:tcPr>
            <w:tcW w:w="12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604,052</w:t>
            </w:r>
          </w:p>
        </w:tc>
        <w:tc>
          <w:tcPr>
            <w:tcW w:w="12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56,274</w:t>
            </w: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2,006,550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1660" w:type="dxa"/>
            <w:vAlign w:val="bottom"/>
          </w:tcPr>
          <w:p>
            <w:pPr>
              <w:ind w:left="20"/>
              <w:spacing w:after="0" w:line="161" w:lineRule="exact"/>
              <w:rPr>
                <w:sz w:val="20"/>
                <w:szCs w:val="20"/>
                <w:color w:val="auto"/>
              </w:rPr>
            </w:pPr>
            <w:r>
              <w:rPr>
                <w:rFonts w:ascii="Arial" w:cs="Arial" w:eastAsia="Arial" w:hAnsi="Arial"/>
                <w:sz w:val="14"/>
                <w:szCs w:val="14"/>
                <w:b w:val="1"/>
                <w:bCs w:val="1"/>
                <w:color w:val="auto"/>
              </w:rPr>
              <w:t>Judith Buckner</w:t>
            </w:r>
            <w:r>
              <w:rPr>
                <w:rFonts w:ascii="MS PGothic" w:cs="MS PGothic" w:eastAsia="MS PGothic" w:hAnsi="MS PGothic"/>
                <w:sz w:val="14"/>
                <w:szCs w:val="14"/>
                <w:color w:val="auto"/>
                <w:highlight w:val="black"/>
              </w:rPr>
              <w:t>⁽⁶⁾</w:t>
            </w: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477,083</w:t>
            </w:r>
          </w:p>
        </w:tc>
        <w:tc>
          <w:tcPr>
            <w:tcW w:w="12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641,242</w:t>
            </w:r>
          </w:p>
        </w:tc>
        <w:tc>
          <w:tcPr>
            <w:tcW w:w="1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b w:val="1"/>
                <w:bCs w:val="1"/>
                <w:color w:val="auto"/>
              </w:rPr>
              <w:t>201,568</w:t>
            </w:r>
          </w:p>
        </w:tc>
        <w:tc>
          <w:tcPr>
            <w:tcW w:w="120" w:type="dxa"/>
            <w:vAlign w:val="bottom"/>
          </w:tcPr>
          <w:p>
            <w:pPr>
              <w:spacing w:after="0"/>
              <w:rPr>
                <w:sz w:val="17"/>
                <w:szCs w:val="17"/>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1460" w:type="dxa"/>
            <w:vAlign w:val="bottom"/>
          </w:tcPr>
          <w:p>
            <w:pPr>
              <w:jc w:val="right"/>
              <w:spacing w:after="0"/>
              <w:rPr>
                <w:sz w:val="20"/>
                <w:szCs w:val="20"/>
                <w:color w:val="auto"/>
              </w:rPr>
            </w:pPr>
            <w:r>
              <w:rPr>
                <w:rFonts w:ascii="Arial" w:cs="Arial" w:eastAsia="Arial" w:hAnsi="Arial"/>
                <w:sz w:val="14"/>
                <w:szCs w:val="14"/>
                <w:b w:val="1"/>
                <w:bCs w:val="1"/>
                <w:color w:val="auto"/>
              </w:rPr>
              <w:t>57,276</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1,377,169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1660" w:type="dxa"/>
            <w:vAlign w:val="bottom"/>
          </w:tcPr>
          <w:p>
            <w:pPr>
              <w:ind w:left="20"/>
              <w:spacing w:after="0" w:line="149" w:lineRule="exact"/>
              <w:rPr>
                <w:sz w:val="20"/>
                <w:szCs w:val="20"/>
                <w:color w:val="auto"/>
              </w:rPr>
            </w:pPr>
            <w:r>
              <w:rPr>
                <w:rFonts w:ascii="Arial" w:cs="Arial" w:eastAsia="Arial" w:hAnsi="Arial"/>
                <w:sz w:val="14"/>
                <w:szCs w:val="14"/>
                <w:color w:val="auto"/>
              </w:rPr>
              <w:t>President, Reynolds</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660" w:type="dxa"/>
            <w:vAlign w:val="bottom"/>
          </w:tcPr>
          <w:p>
            <w:pPr>
              <w:ind w:left="20"/>
              <w:spacing w:after="0"/>
              <w:rPr>
                <w:sz w:val="20"/>
                <w:szCs w:val="20"/>
                <w:color w:val="auto"/>
              </w:rPr>
            </w:pPr>
            <w:r>
              <w:rPr>
                <w:rFonts w:ascii="Arial" w:cs="Arial" w:eastAsia="Arial" w:hAnsi="Arial"/>
                <w:sz w:val="14"/>
                <w:szCs w:val="14"/>
                <w:color w:val="auto"/>
              </w:rPr>
              <w:t>Cooking &amp; Baking</w:t>
            </w: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1660" w:type="dxa"/>
            <w:vAlign w:val="bottom"/>
            <w:shd w:val="clear" w:color="auto" w:fill="CCEEFF"/>
          </w:tcPr>
          <w:p>
            <w:pPr>
              <w:ind w:left="20"/>
              <w:spacing w:after="0" w:line="161" w:lineRule="exact"/>
              <w:rPr>
                <w:sz w:val="20"/>
                <w:szCs w:val="20"/>
                <w:color w:val="auto"/>
              </w:rPr>
            </w:pPr>
            <w:r>
              <w:rPr>
                <w:rFonts w:ascii="Arial" w:cs="Arial" w:eastAsia="Arial" w:hAnsi="Arial"/>
                <w:sz w:val="14"/>
                <w:szCs w:val="14"/>
                <w:b w:val="1"/>
                <w:bCs w:val="1"/>
                <w:color w:val="auto"/>
              </w:rPr>
              <w:t>Lisa Smith</w:t>
            </w:r>
            <w:r>
              <w:rPr>
                <w:rFonts w:ascii="MS PGothic" w:cs="MS PGothic" w:eastAsia="MS PGothic" w:hAnsi="MS PGothic"/>
                <w:sz w:val="14"/>
                <w:szCs w:val="14"/>
                <w:color w:val="auto"/>
                <w:highlight w:val="black"/>
              </w:rPr>
              <w:t>⁽⁶⁾</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2022</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467,917</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641,242</w:t>
            </w: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197,695</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230</w:t>
            </w: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51,986</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1,359,070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166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w w:val="95"/>
              </w:rPr>
              <w:t>President, Hefty Waste and</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Storage</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660" w:type="dxa"/>
            <w:vAlign w:val="bottom"/>
          </w:tcPr>
          <w:p>
            <w:pPr>
              <w:ind w:left="20"/>
              <w:spacing w:after="0"/>
              <w:rPr>
                <w:sz w:val="20"/>
                <w:szCs w:val="20"/>
                <w:color w:val="auto"/>
              </w:rPr>
            </w:pPr>
            <w:r>
              <w:rPr>
                <w:rFonts w:ascii="Arial" w:cs="Arial" w:eastAsia="Arial" w:hAnsi="Arial"/>
                <w:sz w:val="14"/>
                <w:szCs w:val="14"/>
                <w:b w:val="1"/>
                <w:bCs w:val="1"/>
                <w:color w:val="auto"/>
              </w:rPr>
              <w:t>Craig Cappel</w:t>
            </w:r>
          </w:p>
        </w:tc>
        <w:tc>
          <w:tcPr>
            <w:tcW w:w="6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481,261</w:t>
            </w:r>
          </w:p>
        </w:tc>
        <w:tc>
          <w:tcPr>
            <w:tcW w:w="12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708,750</w:t>
            </w:r>
          </w:p>
        </w:tc>
        <w:tc>
          <w:tcPr>
            <w:tcW w:w="1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b w:val="1"/>
                <w:bCs w:val="1"/>
                <w:color w:val="auto"/>
              </w:rPr>
              <w:t>203,333</w:t>
            </w:r>
          </w:p>
        </w:tc>
        <w:tc>
          <w:tcPr>
            <w:tcW w:w="120" w:type="dxa"/>
            <w:vAlign w:val="bottom"/>
          </w:tcPr>
          <w:p>
            <w:pPr>
              <w:spacing w:after="0"/>
              <w:rPr>
                <w:sz w:val="16"/>
                <w:szCs w:val="16"/>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1460" w:type="dxa"/>
            <w:vAlign w:val="bottom"/>
          </w:tcPr>
          <w:p>
            <w:pPr>
              <w:jc w:val="right"/>
              <w:spacing w:after="0"/>
              <w:rPr>
                <w:sz w:val="20"/>
                <w:szCs w:val="20"/>
                <w:color w:val="auto"/>
              </w:rPr>
            </w:pPr>
            <w:r>
              <w:rPr>
                <w:rFonts w:ascii="Arial" w:cs="Arial" w:eastAsia="Arial" w:hAnsi="Arial"/>
                <w:sz w:val="14"/>
                <w:szCs w:val="14"/>
                <w:b w:val="1"/>
                <w:bCs w:val="1"/>
                <w:color w:val="auto"/>
              </w:rPr>
              <w:t>598,212</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1,991,556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1660" w:type="dxa"/>
            <w:vAlign w:val="bottom"/>
          </w:tcPr>
          <w:p>
            <w:pPr>
              <w:ind w:left="20"/>
              <w:spacing w:after="0" w:line="159" w:lineRule="exact"/>
              <w:rPr>
                <w:sz w:val="20"/>
                <w:szCs w:val="20"/>
                <w:color w:val="auto"/>
              </w:rPr>
            </w:pPr>
            <w:r>
              <w:rPr>
                <w:rFonts w:ascii="Arial" w:cs="Arial" w:eastAsia="Arial" w:hAnsi="Arial"/>
                <w:sz w:val="14"/>
                <w:szCs w:val="14"/>
                <w:color w:val="auto"/>
                <w:w w:val="92"/>
              </w:rPr>
              <w:t>Former President, Reynolds</w:t>
            </w:r>
          </w:p>
        </w:tc>
        <w:tc>
          <w:tcPr>
            <w:tcW w:w="640" w:type="dxa"/>
            <w:vAlign w:val="bottom"/>
            <w:gridSpan w:val="2"/>
            <w:vMerge w:val="restart"/>
          </w:tcPr>
          <w:p>
            <w:pPr>
              <w:jc w:val="right"/>
              <w:spacing w:after="0"/>
              <w:rPr>
                <w:sz w:val="20"/>
                <w:szCs w:val="20"/>
                <w:color w:val="auto"/>
              </w:rPr>
            </w:pPr>
            <w:r>
              <w:rPr>
                <w:rFonts w:ascii="Arial" w:cs="Arial" w:eastAsia="Arial" w:hAnsi="Arial"/>
                <w:sz w:val="14"/>
                <w:szCs w:val="14"/>
                <w:color w:val="auto"/>
              </w:rPr>
              <w:t>2021</w:t>
            </w:r>
          </w:p>
        </w:tc>
        <w:tc>
          <w:tcPr>
            <w:tcW w:w="12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477,405</w:t>
            </w:r>
          </w:p>
        </w:tc>
        <w:tc>
          <w:tcPr>
            <w:tcW w:w="120" w:type="dxa"/>
            <w:vAlign w:val="bottom"/>
          </w:tcPr>
          <w:p>
            <w:pPr>
              <w:spacing w:after="0"/>
              <w:rPr>
                <w:sz w:val="13"/>
                <w:szCs w:val="13"/>
                <w:color w:val="auto"/>
              </w:rPr>
            </w:pPr>
          </w:p>
        </w:tc>
        <w:tc>
          <w:tcPr>
            <w:tcW w:w="10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596,754</w:t>
            </w:r>
          </w:p>
        </w:tc>
        <w:tc>
          <w:tcPr>
            <w:tcW w:w="120" w:type="dxa"/>
            <w:vAlign w:val="bottom"/>
          </w:tcPr>
          <w:p>
            <w:pPr>
              <w:spacing w:after="0"/>
              <w:rPr>
                <w:sz w:val="13"/>
                <w:szCs w:val="13"/>
                <w:color w:val="auto"/>
              </w:rPr>
            </w:pPr>
          </w:p>
        </w:tc>
        <w:tc>
          <w:tcPr>
            <w:tcW w:w="1460" w:type="dxa"/>
            <w:vAlign w:val="bottom"/>
            <w:vMerge w:val="restart"/>
          </w:tcPr>
          <w:p>
            <w:pPr>
              <w:jc w:val="right"/>
              <w:spacing w:after="0"/>
              <w:rPr>
                <w:sz w:val="20"/>
                <w:szCs w:val="20"/>
                <w:color w:val="auto"/>
              </w:rPr>
            </w:pPr>
            <w:r>
              <w:rPr>
                <w:rFonts w:ascii="Arial" w:cs="Arial" w:eastAsia="Arial" w:hAnsi="Arial"/>
                <w:sz w:val="14"/>
                <w:szCs w:val="14"/>
                <w:color w:val="auto"/>
              </w:rPr>
              <w:t>124,125</w:t>
            </w:r>
          </w:p>
        </w:tc>
        <w:tc>
          <w:tcPr>
            <w:tcW w:w="120" w:type="dxa"/>
            <w:vAlign w:val="bottom"/>
          </w:tcPr>
          <w:p>
            <w:pPr>
              <w:spacing w:after="0"/>
              <w:rPr>
                <w:sz w:val="13"/>
                <w:szCs w:val="13"/>
                <w:color w:val="auto"/>
              </w:rPr>
            </w:pPr>
          </w:p>
        </w:tc>
        <w:tc>
          <w:tcPr>
            <w:tcW w:w="14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60" w:type="dxa"/>
            <w:vAlign w:val="bottom"/>
            <w:vMerge w:val="restart"/>
          </w:tcPr>
          <w:p>
            <w:pPr>
              <w:jc w:val="right"/>
              <w:spacing w:after="0"/>
              <w:rPr>
                <w:sz w:val="20"/>
                <w:szCs w:val="20"/>
                <w:color w:val="auto"/>
              </w:rPr>
            </w:pPr>
            <w:r>
              <w:rPr>
                <w:rFonts w:ascii="Arial" w:cs="Arial" w:eastAsia="Arial" w:hAnsi="Arial"/>
                <w:sz w:val="14"/>
                <w:szCs w:val="14"/>
                <w:color w:val="auto"/>
              </w:rPr>
              <w:t>82,439</w:t>
            </w:r>
          </w:p>
        </w:tc>
        <w:tc>
          <w:tcPr>
            <w:tcW w:w="12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1,280,723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660" w:type="dxa"/>
            <w:vAlign w:val="bottom"/>
          </w:tcPr>
          <w:p>
            <w:pPr>
              <w:ind w:left="20"/>
              <w:spacing w:after="0"/>
              <w:rPr>
                <w:sz w:val="20"/>
                <w:szCs w:val="20"/>
                <w:color w:val="auto"/>
              </w:rPr>
            </w:pPr>
            <w:r>
              <w:rPr>
                <w:rFonts w:ascii="Arial" w:cs="Arial" w:eastAsia="Arial" w:hAnsi="Arial"/>
                <w:sz w:val="14"/>
                <w:szCs w:val="14"/>
                <w:color w:val="auto"/>
              </w:rPr>
              <w:t>Cooking &amp; Baking</w:t>
            </w:r>
          </w:p>
        </w:tc>
        <w:tc>
          <w:tcPr>
            <w:tcW w:w="6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14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660" w:type="dxa"/>
            <w:vAlign w:val="bottom"/>
          </w:tcPr>
          <w:p>
            <w:pPr>
              <w:spacing w:after="0"/>
              <w:rPr>
                <w:sz w:val="16"/>
                <w:szCs w:val="16"/>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2020</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471,611</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463,500</w:t>
            </w: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579,742</w:t>
            </w:r>
          </w:p>
        </w:tc>
        <w:tc>
          <w:tcPr>
            <w:tcW w:w="1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748,286</w:t>
            </w: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55,125</w:t>
            </w:r>
          </w:p>
        </w:tc>
        <w:tc>
          <w:tcPr>
            <w:tcW w:w="1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64,564</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2,382,828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2544445</wp:posOffset>
            </wp:positionH>
            <wp:positionV relativeFrom="paragraph">
              <wp:posOffset>-2606040</wp:posOffset>
            </wp:positionV>
            <wp:extent cx="94615" cy="749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94615" cy="74930"/>
                    </a:xfrm>
                    <a:prstGeom prst="rect">
                      <a:avLst/>
                    </a:prstGeom>
                    <a:noFill/>
                  </pic:spPr>
                </pic:pic>
              </a:graphicData>
            </a:graphic>
          </wp:anchor>
        </w:drawing>
        <w:drawing>
          <wp:anchor simplePos="0" relativeHeight="251657728" behindDoc="1" locked="0" layoutInCell="0" allowOverlap="1">
            <wp:simplePos x="0" y="0"/>
            <wp:positionH relativeFrom="column">
              <wp:posOffset>3231515</wp:posOffset>
            </wp:positionH>
            <wp:positionV relativeFrom="paragraph">
              <wp:posOffset>-2606040</wp:posOffset>
            </wp:positionV>
            <wp:extent cx="94615" cy="749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94615" cy="74930"/>
                    </a:xfrm>
                    <a:prstGeom prst="rect">
                      <a:avLst/>
                    </a:prstGeom>
                    <a:noFill/>
                  </pic:spPr>
                </pic:pic>
              </a:graphicData>
            </a:graphic>
          </wp:anchor>
        </w:drawing>
        <w:drawing>
          <wp:anchor simplePos="0" relativeHeight="251657728" behindDoc="1" locked="0" layoutInCell="0" allowOverlap="1">
            <wp:simplePos x="0" y="0"/>
            <wp:positionH relativeFrom="column">
              <wp:posOffset>4204335</wp:posOffset>
            </wp:positionH>
            <wp:positionV relativeFrom="paragraph">
              <wp:posOffset>-2614295</wp:posOffset>
            </wp:positionV>
            <wp:extent cx="94615" cy="749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94615" cy="74930"/>
                    </a:xfrm>
                    <a:prstGeom prst="rect">
                      <a:avLst/>
                    </a:prstGeom>
                    <a:noFill/>
                  </pic:spPr>
                </pic:pic>
              </a:graphicData>
            </a:graphic>
          </wp:anchor>
        </w:drawing>
      </w:r>
    </w:p>
    <w:p>
      <w:pPr>
        <w:spacing w:after="0" w:line="333" w:lineRule="exact"/>
        <w:rPr>
          <w:sz w:val="20"/>
          <w:szCs w:val="20"/>
          <w:color w:val="auto"/>
        </w:rPr>
      </w:pPr>
    </w:p>
    <w:p>
      <w:pPr>
        <w:ind w:left="360" w:hanging="352"/>
        <w:spacing w:after="0"/>
        <w:tabs>
          <w:tab w:leader="none" w:pos="3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For 2020, represents amounts awarded pursuant to IPO success transition bonuses.</w:t>
      </w:r>
    </w:p>
    <w:p>
      <w:pPr>
        <w:spacing w:after="0" w:line="248" w:lineRule="exact"/>
        <w:rPr>
          <w:rFonts w:ascii="Arial" w:cs="Arial" w:eastAsia="Arial" w:hAnsi="Arial"/>
          <w:sz w:val="16"/>
          <w:szCs w:val="16"/>
          <w:color w:val="auto"/>
        </w:rPr>
      </w:pPr>
    </w:p>
    <w:p>
      <w:pPr>
        <w:jc w:val="both"/>
        <w:ind w:left="340" w:hanging="332"/>
        <w:spacing w:after="0" w:line="262" w:lineRule="auto"/>
        <w:tabs>
          <w:tab w:leader="none" w:pos="461" w:val="left"/>
        </w:tabs>
        <w:numPr>
          <w:ilvl w:val="0"/>
          <w:numId w:val="29"/>
        </w:numPr>
        <w:rPr>
          <w:rFonts w:ascii="Arial" w:cs="Arial" w:eastAsia="Arial" w:hAnsi="Arial"/>
          <w:sz w:val="16"/>
          <w:szCs w:val="16"/>
          <w:color w:val="auto"/>
        </w:rPr>
      </w:pPr>
      <w:r>
        <w:rPr>
          <w:rFonts w:ascii="Arial" w:cs="Arial" w:eastAsia="Arial" w:hAnsi="Arial"/>
          <w:sz w:val="16"/>
          <w:szCs w:val="16"/>
          <w:color w:val="auto"/>
        </w:rPr>
        <w:t>Represents the aggregate grant date fair value of RSU and PSU awards granted during 2022, 2021 and 2020, computed in accordance with FASB ASC Topic 718, which for RSUs was equal to the number of RSUs in the grant, multiplied by the closing price of a share of our common stock on the date of grant, and for PSUs was equal to the closing price of a share of our common stock on the date of grant, multiplied by the number of shares that would be earned based on the probable outcome of the applicable performance conditions.</w:t>
      </w:r>
    </w:p>
    <w:p>
      <w:pPr>
        <w:spacing w:after="0" w:line="34" w:lineRule="exact"/>
        <w:rPr>
          <w:sz w:val="20"/>
          <w:szCs w:val="20"/>
          <w:color w:val="auto"/>
        </w:rPr>
      </w:pPr>
    </w:p>
    <w:p>
      <w:pPr>
        <w:ind w:left="340"/>
        <w:spacing w:after="0" w:line="275" w:lineRule="auto"/>
        <w:rPr>
          <w:sz w:val="20"/>
          <w:szCs w:val="20"/>
          <w:color w:val="auto"/>
        </w:rPr>
      </w:pPr>
      <w:r>
        <w:rPr>
          <w:rFonts w:ascii="Arial" w:cs="Arial" w:eastAsia="Arial" w:hAnsi="Arial"/>
          <w:sz w:val="16"/>
          <w:szCs w:val="16"/>
          <w:color w:val="auto"/>
        </w:rPr>
        <w:t>The following tables present the grant date fair value of the RSUs included in the stock awards column above, as well as the grant date fair value of the PSUs and the grant date fair value of the PSUs assuming that the highest level of performance conditions would be achieved: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4F81B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80" w:type="dxa"/>
            <w:vAlign w:val="bottom"/>
            <w:gridSpan w:val="5"/>
            <w:vMerge w:val="restart"/>
          </w:tcPr>
          <w:p>
            <w:pPr>
              <w:jc w:val="right"/>
              <w:ind w:right="1528"/>
              <w:spacing w:after="0"/>
              <w:rPr>
                <w:sz w:val="20"/>
                <w:szCs w:val="20"/>
                <w:color w:val="auto"/>
              </w:rPr>
            </w:pPr>
            <w:r>
              <w:rPr>
                <w:rFonts w:ascii="Arial" w:cs="Arial" w:eastAsia="Arial" w:hAnsi="Arial"/>
                <w:sz w:val="14"/>
                <w:szCs w:val="14"/>
                <w:b w:val="1"/>
                <w:bCs w:val="1"/>
                <w:color w:val="auto"/>
              </w:rPr>
              <w:t>2022 Annual PSUs</w:t>
            </w:r>
          </w:p>
        </w:tc>
        <w:tc>
          <w:tcPr>
            <w:tcW w:w="300" w:type="dxa"/>
            <w:vAlign w:val="bottom"/>
            <w:gridSpan w:val="2"/>
            <w:vMerge w:val="restart"/>
          </w:tcPr>
          <w:p>
            <w:pPr>
              <w:spacing w:after="0"/>
              <w:rPr>
                <w:sz w:val="14"/>
                <w:szCs w:val="14"/>
                <w:color w:val="auto"/>
              </w:rPr>
            </w:pPr>
          </w:p>
        </w:tc>
        <w:tc>
          <w:tcPr>
            <w:tcW w:w="22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2022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280" w:type="dxa"/>
            <w:vAlign w:val="bottom"/>
            <w:tcBorders>
              <w:bottom w:val="single" w:sz="8" w:color="auto"/>
            </w:tcBorders>
            <w:gridSpan w:val="5"/>
            <w:vMerge w:val="continue"/>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Annual RSUs</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00" w:type="dxa"/>
            <w:vAlign w:val="bottom"/>
            <w:gridSpan w:val="3"/>
          </w:tcPr>
          <w:p>
            <w:pPr>
              <w:jc w:val="center"/>
              <w:ind w:right="340"/>
              <w:spacing w:after="0" w:line="139" w:lineRule="exact"/>
              <w:rPr>
                <w:sz w:val="20"/>
                <w:szCs w:val="20"/>
                <w:color w:val="auto"/>
              </w:rPr>
            </w:pPr>
            <w:r>
              <w:rPr>
                <w:rFonts w:ascii="Arial" w:cs="Arial" w:eastAsia="Arial" w:hAnsi="Arial"/>
                <w:sz w:val="14"/>
                <w:szCs w:val="14"/>
                <w:b w:val="1"/>
                <w:bCs w:val="1"/>
                <w:color w:val="auto"/>
                <w:w w:val="98"/>
              </w:rPr>
              <w:t>Grant Date Fair</w:t>
            </w:r>
          </w:p>
        </w:tc>
        <w:tc>
          <w:tcPr>
            <w:tcW w:w="40" w:type="dxa"/>
            <w:vAlign w:val="bottom"/>
          </w:tcPr>
          <w:p>
            <w:pPr>
              <w:spacing w:after="0"/>
              <w:rPr>
                <w:sz w:val="12"/>
                <w:szCs w:val="12"/>
                <w:color w:val="auto"/>
              </w:rPr>
            </w:pPr>
          </w:p>
        </w:tc>
        <w:tc>
          <w:tcPr>
            <w:tcW w:w="214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8"/>
              </w:rPr>
              <w:t>Grant Date Fair</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3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44"/>
        </w:trPr>
        <w:tc>
          <w:tcPr>
            <w:tcW w:w="2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00" w:type="dxa"/>
            <w:vAlign w:val="bottom"/>
            <w:gridSpan w:val="3"/>
          </w:tcPr>
          <w:p>
            <w:pPr>
              <w:jc w:val="center"/>
              <w:ind w:right="360"/>
              <w:spacing w:after="0" w:line="145" w:lineRule="exact"/>
              <w:rPr>
                <w:sz w:val="20"/>
                <w:szCs w:val="20"/>
                <w:color w:val="auto"/>
              </w:rPr>
            </w:pPr>
            <w:r>
              <w:rPr>
                <w:rFonts w:ascii="Arial" w:cs="Arial" w:eastAsia="Arial" w:hAnsi="Arial"/>
                <w:sz w:val="14"/>
                <w:szCs w:val="14"/>
                <w:b w:val="1"/>
                <w:bCs w:val="1"/>
                <w:color w:val="auto"/>
                <w:w w:val="89"/>
              </w:rPr>
              <w:t>Value (Based on</w:t>
            </w:r>
          </w:p>
        </w:tc>
        <w:tc>
          <w:tcPr>
            <w:tcW w:w="40" w:type="dxa"/>
            <w:vAlign w:val="bottom"/>
          </w:tcPr>
          <w:p>
            <w:pPr>
              <w:spacing w:after="0"/>
              <w:rPr>
                <w:sz w:val="12"/>
                <w:szCs w:val="12"/>
                <w:color w:val="auto"/>
              </w:rPr>
            </w:pPr>
          </w:p>
        </w:tc>
        <w:tc>
          <w:tcPr>
            <w:tcW w:w="2440" w:type="dxa"/>
            <w:vAlign w:val="bottom"/>
            <w:gridSpan w:val="3"/>
          </w:tcPr>
          <w:p>
            <w:pPr>
              <w:jc w:val="center"/>
              <w:ind w:right="340"/>
              <w:spacing w:after="0" w:line="145" w:lineRule="exact"/>
              <w:rPr>
                <w:sz w:val="20"/>
                <w:szCs w:val="20"/>
                <w:color w:val="auto"/>
              </w:rPr>
            </w:pPr>
            <w:r>
              <w:rPr>
                <w:rFonts w:ascii="Arial" w:cs="Arial" w:eastAsia="Arial" w:hAnsi="Arial"/>
                <w:sz w:val="14"/>
                <w:szCs w:val="14"/>
                <w:b w:val="1"/>
                <w:bCs w:val="1"/>
                <w:color w:val="auto"/>
                <w:w w:val="89"/>
              </w:rPr>
              <w:t>Value (Based on</w:t>
            </w:r>
          </w:p>
        </w:tc>
        <w:tc>
          <w:tcPr>
            <w:tcW w:w="40" w:type="dxa"/>
            <w:vAlign w:val="bottom"/>
          </w:tcPr>
          <w:p>
            <w:pPr>
              <w:spacing w:after="0"/>
              <w:rPr>
                <w:sz w:val="12"/>
                <w:szCs w:val="12"/>
                <w:color w:val="auto"/>
              </w:rPr>
            </w:pPr>
          </w:p>
        </w:tc>
        <w:tc>
          <w:tcPr>
            <w:tcW w:w="23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2"/>
              </w:rPr>
              <w:t>Probable Outcome)</w:t>
            </w:r>
          </w:p>
        </w:tc>
        <w:tc>
          <w:tcPr>
            <w:tcW w:w="40" w:type="dxa"/>
            <w:vAlign w:val="bottom"/>
          </w:tcPr>
          <w:p>
            <w:pPr>
              <w:spacing w:after="0"/>
              <w:rPr>
                <w:sz w:val="16"/>
                <w:szCs w:val="16"/>
                <w:color w:val="auto"/>
              </w:rPr>
            </w:pPr>
          </w:p>
        </w:tc>
        <w:tc>
          <w:tcPr>
            <w:tcW w:w="24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5"/>
              </w:rPr>
              <w:t>Maximum Performance)</w:t>
            </w:r>
          </w:p>
        </w:tc>
        <w:tc>
          <w:tcPr>
            <w:tcW w:w="40" w:type="dxa"/>
            <w:vAlign w:val="bottom"/>
          </w:tcPr>
          <w:p>
            <w:pPr>
              <w:spacing w:after="0"/>
              <w:rPr>
                <w:sz w:val="16"/>
                <w:szCs w:val="16"/>
                <w:color w:val="auto"/>
              </w:rPr>
            </w:pPr>
          </w:p>
        </w:tc>
        <w:tc>
          <w:tcPr>
            <w:tcW w:w="23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89"/>
        </w:trPr>
        <w:tc>
          <w:tcPr>
            <w:tcW w:w="2360" w:type="dxa"/>
            <w:vAlign w:val="bottom"/>
            <w:gridSpan w:val="2"/>
          </w:tcPr>
          <w:p>
            <w:pPr>
              <w:ind w:left="20"/>
              <w:spacing w:after="0"/>
              <w:rPr>
                <w:sz w:val="20"/>
                <w:szCs w:val="20"/>
                <w:color w:val="auto"/>
              </w:rPr>
            </w:pPr>
            <w:r>
              <w:rPr>
                <w:rFonts w:ascii="Arial" w:cs="Arial" w:eastAsia="Arial" w:hAnsi="Arial"/>
                <w:sz w:val="14"/>
                <w:szCs w:val="14"/>
                <w:b w:val="1"/>
                <w:bCs w:val="1"/>
                <w:color w:val="auto"/>
              </w:rPr>
              <w:t>Name</w:t>
            </w:r>
          </w:p>
        </w:tc>
        <w:tc>
          <w:tcPr>
            <w:tcW w:w="1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20" w:type="dxa"/>
            <w:vAlign w:val="bottom"/>
            <w:gridSpan w:val="2"/>
          </w:tcPr>
          <w:p>
            <w:pPr>
              <w:jc w:val="center"/>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80" w:type="dxa"/>
            <w:vAlign w:val="bottom"/>
            <w:gridSpan w:val="2"/>
          </w:tcPr>
          <w:p>
            <w:pPr>
              <w:jc w:val="center"/>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20" w:type="dxa"/>
            <w:vAlign w:val="bottom"/>
            <w:gridSpan w:val="2"/>
          </w:tcPr>
          <w:p>
            <w:pPr>
              <w:jc w:val="center"/>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2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Lance Mitchell</w:t>
            </w:r>
          </w:p>
        </w:tc>
        <w:tc>
          <w:tcPr>
            <w:tcW w:w="17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1,937,500</w:t>
            </w:r>
          </w:p>
        </w:tc>
        <w:tc>
          <w:tcPr>
            <w:tcW w:w="6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2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3,875,000</w:t>
            </w:r>
          </w:p>
        </w:tc>
        <w:tc>
          <w:tcPr>
            <w:tcW w:w="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2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1,937,500</w:t>
            </w:r>
          </w:p>
        </w:tc>
        <w:tc>
          <w:tcPr>
            <w:tcW w:w="1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Michael Graham</w:t>
            </w:r>
          </w:p>
        </w:tc>
        <w:tc>
          <w:tcPr>
            <w:tcW w:w="17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555,303</w:t>
            </w:r>
          </w:p>
        </w:tc>
        <w:tc>
          <w:tcPr>
            <w:tcW w:w="6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2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1,110,606</w:t>
            </w:r>
          </w:p>
        </w:tc>
        <w:tc>
          <w:tcPr>
            <w:tcW w:w="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2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555,303</w:t>
            </w:r>
          </w:p>
        </w:tc>
        <w:tc>
          <w:tcPr>
            <w:tcW w:w="1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Rachel Bishop</w:t>
            </w:r>
          </w:p>
        </w:tc>
        <w:tc>
          <w:tcPr>
            <w:tcW w:w="17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354,375</w:t>
            </w:r>
          </w:p>
        </w:tc>
        <w:tc>
          <w:tcPr>
            <w:tcW w:w="6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2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708,750</w:t>
            </w:r>
          </w:p>
        </w:tc>
        <w:tc>
          <w:tcPr>
            <w:tcW w:w="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2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354,375</w:t>
            </w:r>
          </w:p>
        </w:tc>
        <w:tc>
          <w:tcPr>
            <w:tcW w:w="1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Judith Buckner</w:t>
            </w:r>
          </w:p>
        </w:tc>
        <w:tc>
          <w:tcPr>
            <w:tcW w:w="17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320,606</w:t>
            </w:r>
          </w:p>
        </w:tc>
        <w:tc>
          <w:tcPr>
            <w:tcW w:w="6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2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641,212</w:t>
            </w:r>
          </w:p>
        </w:tc>
        <w:tc>
          <w:tcPr>
            <w:tcW w:w="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2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320,636</w:t>
            </w:r>
          </w:p>
        </w:tc>
        <w:tc>
          <w:tcPr>
            <w:tcW w:w="1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Lisa Smith</w:t>
            </w:r>
          </w:p>
        </w:tc>
        <w:tc>
          <w:tcPr>
            <w:tcW w:w="17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320,606</w:t>
            </w:r>
          </w:p>
        </w:tc>
        <w:tc>
          <w:tcPr>
            <w:tcW w:w="6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2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641,212</w:t>
            </w:r>
          </w:p>
        </w:tc>
        <w:tc>
          <w:tcPr>
            <w:tcW w:w="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2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320,636</w:t>
            </w:r>
          </w:p>
        </w:tc>
        <w:tc>
          <w:tcPr>
            <w:tcW w:w="1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Craig Cappel</w:t>
            </w:r>
          </w:p>
        </w:tc>
        <w:tc>
          <w:tcPr>
            <w:tcW w:w="17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354,375</w:t>
            </w:r>
          </w:p>
        </w:tc>
        <w:tc>
          <w:tcPr>
            <w:tcW w:w="6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2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708,750</w:t>
            </w:r>
          </w:p>
        </w:tc>
        <w:tc>
          <w:tcPr>
            <w:tcW w:w="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2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354,375</w:t>
            </w:r>
          </w:p>
        </w:tc>
        <w:tc>
          <w:tcPr>
            <w:tcW w:w="1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499"/>
        </w:trPr>
        <w:tc>
          <w:tcPr>
            <w:tcW w:w="2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80" w:type="dxa"/>
            <w:vAlign w:val="bottom"/>
            <w:gridSpan w:val="5"/>
            <w:vMerge w:val="restart"/>
          </w:tcPr>
          <w:p>
            <w:pPr>
              <w:jc w:val="right"/>
              <w:ind w:right="1528"/>
              <w:spacing w:after="0"/>
              <w:rPr>
                <w:sz w:val="20"/>
                <w:szCs w:val="20"/>
                <w:color w:val="auto"/>
              </w:rPr>
            </w:pPr>
            <w:r>
              <w:rPr>
                <w:rFonts w:ascii="Arial" w:cs="Arial" w:eastAsia="Arial" w:hAnsi="Arial"/>
                <w:sz w:val="14"/>
                <w:szCs w:val="14"/>
                <w:b w:val="1"/>
                <w:bCs w:val="1"/>
                <w:color w:val="auto"/>
              </w:rPr>
              <w:t>2021 Annual PSUs</w:t>
            </w:r>
          </w:p>
        </w:tc>
        <w:tc>
          <w:tcPr>
            <w:tcW w:w="300" w:type="dxa"/>
            <w:vAlign w:val="bottom"/>
            <w:gridSpan w:val="2"/>
            <w:vMerge w:val="restart"/>
          </w:tcPr>
          <w:p>
            <w:pPr>
              <w:spacing w:after="0"/>
              <w:rPr>
                <w:sz w:val="24"/>
                <w:szCs w:val="24"/>
                <w:color w:val="auto"/>
              </w:rPr>
            </w:pPr>
          </w:p>
        </w:tc>
        <w:tc>
          <w:tcPr>
            <w:tcW w:w="22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2021</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280" w:type="dxa"/>
            <w:vAlign w:val="bottom"/>
            <w:tcBorders>
              <w:bottom w:val="single" w:sz="8" w:color="auto"/>
            </w:tcBorders>
            <w:gridSpan w:val="5"/>
            <w:vMerge w:val="continue"/>
          </w:tcPr>
          <w:p>
            <w:pPr>
              <w:spacing w:after="0"/>
              <w:rPr>
                <w:sz w:val="17"/>
                <w:szCs w:val="17"/>
                <w:color w:val="auto"/>
              </w:rPr>
            </w:pPr>
          </w:p>
        </w:tc>
        <w:tc>
          <w:tcPr>
            <w:tcW w:w="300" w:type="dxa"/>
            <w:vAlign w:val="bottom"/>
            <w:gridSpan w:val="2"/>
            <w:vMerge w:val="continue"/>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Annual RSUs</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00" w:type="dxa"/>
            <w:vAlign w:val="bottom"/>
            <w:gridSpan w:val="3"/>
          </w:tcPr>
          <w:p>
            <w:pPr>
              <w:jc w:val="center"/>
              <w:ind w:right="340"/>
              <w:spacing w:after="0" w:line="135" w:lineRule="exact"/>
              <w:rPr>
                <w:sz w:val="20"/>
                <w:szCs w:val="20"/>
                <w:color w:val="auto"/>
              </w:rPr>
            </w:pPr>
            <w:r>
              <w:rPr>
                <w:rFonts w:ascii="Arial" w:cs="Arial" w:eastAsia="Arial" w:hAnsi="Arial"/>
                <w:sz w:val="14"/>
                <w:szCs w:val="14"/>
                <w:b w:val="1"/>
                <w:bCs w:val="1"/>
                <w:color w:val="auto"/>
                <w:w w:val="98"/>
              </w:rPr>
              <w:t>Grant Date Fair</w:t>
            </w:r>
          </w:p>
        </w:tc>
        <w:tc>
          <w:tcPr>
            <w:tcW w:w="40" w:type="dxa"/>
            <w:vAlign w:val="bottom"/>
          </w:tcPr>
          <w:p>
            <w:pPr>
              <w:spacing w:after="0"/>
              <w:rPr>
                <w:sz w:val="11"/>
                <w:szCs w:val="11"/>
                <w:color w:val="auto"/>
              </w:rPr>
            </w:pPr>
          </w:p>
        </w:tc>
        <w:tc>
          <w:tcPr>
            <w:tcW w:w="21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8"/>
              </w:rPr>
              <w:t>Grant Date Fair</w:t>
            </w: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3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48"/>
        </w:trPr>
        <w:tc>
          <w:tcPr>
            <w:tcW w:w="2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0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Value (Based on</w:t>
            </w:r>
          </w:p>
        </w:tc>
        <w:tc>
          <w:tcPr>
            <w:tcW w:w="40" w:type="dxa"/>
            <w:vAlign w:val="bottom"/>
          </w:tcPr>
          <w:p>
            <w:pPr>
              <w:spacing w:after="0"/>
              <w:rPr>
                <w:sz w:val="12"/>
                <w:szCs w:val="12"/>
                <w:color w:val="auto"/>
              </w:rPr>
            </w:pPr>
          </w:p>
        </w:tc>
        <w:tc>
          <w:tcPr>
            <w:tcW w:w="244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Value (Based on</w:t>
            </w:r>
          </w:p>
        </w:tc>
        <w:tc>
          <w:tcPr>
            <w:tcW w:w="40" w:type="dxa"/>
            <w:vAlign w:val="bottom"/>
          </w:tcPr>
          <w:p>
            <w:pPr>
              <w:spacing w:after="0"/>
              <w:rPr>
                <w:sz w:val="12"/>
                <w:szCs w:val="12"/>
                <w:color w:val="auto"/>
              </w:rPr>
            </w:pPr>
          </w:p>
        </w:tc>
        <w:tc>
          <w:tcPr>
            <w:tcW w:w="23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2"/>
              </w:rPr>
              <w:t>Probable Outcome)</w:t>
            </w:r>
          </w:p>
        </w:tc>
        <w:tc>
          <w:tcPr>
            <w:tcW w:w="40" w:type="dxa"/>
            <w:vAlign w:val="bottom"/>
          </w:tcPr>
          <w:p>
            <w:pPr>
              <w:spacing w:after="0"/>
              <w:rPr>
                <w:sz w:val="16"/>
                <w:szCs w:val="16"/>
                <w:color w:val="auto"/>
              </w:rPr>
            </w:pPr>
          </w:p>
        </w:tc>
        <w:tc>
          <w:tcPr>
            <w:tcW w:w="24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5"/>
              </w:rPr>
              <w:t>Maximum Performance)</w:t>
            </w:r>
          </w:p>
        </w:tc>
        <w:tc>
          <w:tcPr>
            <w:tcW w:w="40" w:type="dxa"/>
            <w:vAlign w:val="bottom"/>
          </w:tcPr>
          <w:p>
            <w:pPr>
              <w:spacing w:after="0"/>
              <w:rPr>
                <w:sz w:val="16"/>
                <w:szCs w:val="16"/>
                <w:color w:val="auto"/>
              </w:rPr>
            </w:pPr>
          </w:p>
        </w:tc>
        <w:tc>
          <w:tcPr>
            <w:tcW w:w="23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93"/>
        </w:trPr>
        <w:tc>
          <w:tcPr>
            <w:tcW w:w="2360" w:type="dxa"/>
            <w:vAlign w:val="bottom"/>
            <w:gridSpan w:val="2"/>
          </w:tcPr>
          <w:p>
            <w:pPr>
              <w:ind w:left="20"/>
              <w:spacing w:after="0"/>
              <w:rPr>
                <w:sz w:val="20"/>
                <w:szCs w:val="20"/>
                <w:color w:val="auto"/>
              </w:rPr>
            </w:pPr>
            <w:r>
              <w:rPr>
                <w:rFonts w:ascii="Arial" w:cs="Arial" w:eastAsia="Arial" w:hAnsi="Arial"/>
                <w:sz w:val="14"/>
                <w:szCs w:val="14"/>
                <w:b w:val="1"/>
                <w:bCs w:val="1"/>
                <w:color w:val="auto"/>
              </w:rPr>
              <w:t>Name</w:t>
            </w:r>
          </w:p>
        </w:tc>
        <w:tc>
          <w:tcPr>
            <w:tcW w:w="1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20" w:type="dxa"/>
            <w:vAlign w:val="bottom"/>
            <w:gridSpan w:val="2"/>
          </w:tcPr>
          <w:p>
            <w:pPr>
              <w:jc w:val="center"/>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80" w:type="dxa"/>
            <w:vAlign w:val="bottom"/>
            <w:gridSpan w:val="2"/>
          </w:tcPr>
          <w:p>
            <w:pPr>
              <w:jc w:val="center"/>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20" w:type="dxa"/>
            <w:vAlign w:val="bottom"/>
            <w:gridSpan w:val="2"/>
          </w:tcPr>
          <w:p>
            <w:pPr>
              <w:jc w:val="center"/>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2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Lance Mitchell</w:t>
            </w:r>
          </w:p>
        </w:tc>
        <w:tc>
          <w:tcPr>
            <w:tcW w:w="17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1,743,754</w:t>
            </w:r>
          </w:p>
        </w:tc>
        <w:tc>
          <w:tcPr>
            <w:tcW w:w="6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2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3,487,508</w:t>
            </w:r>
          </w:p>
        </w:tc>
        <w:tc>
          <w:tcPr>
            <w:tcW w:w="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2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1,743,754</w:t>
            </w:r>
          </w:p>
        </w:tc>
        <w:tc>
          <w:tcPr>
            <w:tcW w:w="1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Michael Graham</w:t>
            </w:r>
          </w:p>
        </w:tc>
        <w:tc>
          <w:tcPr>
            <w:tcW w:w="17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514,163</w:t>
            </w:r>
          </w:p>
        </w:tc>
        <w:tc>
          <w:tcPr>
            <w:tcW w:w="6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2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1,028,326</w:t>
            </w:r>
          </w:p>
        </w:tc>
        <w:tc>
          <w:tcPr>
            <w:tcW w:w="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2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514,193</w:t>
            </w:r>
          </w:p>
        </w:tc>
        <w:tc>
          <w:tcPr>
            <w:tcW w:w="1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Rachel Bishop</w:t>
            </w:r>
          </w:p>
        </w:tc>
        <w:tc>
          <w:tcPr>
            <w:tcW w:w="17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281,258</w:t>
            </w:r>
          </w:p>
        </w:tc>
        <w:tc>
          <w:tcPr>
            <w:tcW w:w="6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2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562,516</w:t>
            </w:r>
          </w:p>
        </w:tc>
        <w:tc>
          <w:tcPr>
            <w:tcW w:w="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2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281,258</w:t>
            </w:r>
          </w:p>
        </w:tc>
        <w:tc>
          <w:tcPr>
            <w:tcW w:w="1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Craig Cappel</w:t>
            </w:r>
          </w:p>
        </w:tc>
        <w:tc>
          <w:tcPr>
            <w:tcW w:w="17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298,362</w:t>
            </w:r>
          </w:p>
        </w:tc>
        <w:tc>
          <w:tcPr>
            <w:tcW w:w="6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2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596,724</w:t>
            </w:r>
          </w:p>
        </w:tc>
        <w:tc>
          <w:tcPr>
            <w:tcW w:w="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2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298,392</w:t>
            </w:r>
          </w:p>
        </w:tc>
        <w:tc>
          <w:tcPr>
            <w:tcW w:w="1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490"/>
        </w:trPr>
        <w:tc>
          <w:tcPr>
            <w:tcW w:w="2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tcPr>
          <w:p>
            <w:pPr>
              <w:jc w:val="right"/>
              <w:ind w:right="608"/>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300" w:type="dxa"/>
            <w:vAlign w:val="bottom"/>
            <w:gridSpan w:val="6"/>
            <w:vMerge w:val="restart"/>
          </w:tcPr>
          <w:p>
            <w:pPr>
              <w:jc w:val="right"/>
              <w:ind w:right="1580"/>
              <w:spacing w:after="0"/>
              <w:rPr>
                <w:sz w:val="20"/>
                <w:szCs w:val="20"/>
                <w:color w:val="auto"/>
              </w:rPr>
            </w:pPr>
            <w:r>
              <w:rPr>
                <w:rFonts w:ascii="Arial" w:cs="Arial" w:eastAsia="Arial" w:hAnsi="Arial"/>
                <w:sz w:val="14"/>
                <w:szCs w:val="14"/>
                <w:b w:val="1"/>
                <w:bCs w:val="1"/>
                <w:color w:val="auto"/>
              </w:rPr>
              <w:t>2020 Annual PSUs</w:t>
            </w:r>
          </w:p>
        </w:tc>
        <w:tc>
          <w:tcPr>
            <w:tcW w:w="280" w:type="dxa"/>
            <w:vAlign w:val="bottom"/>
            <w:vMerge w:val="restart"/>
          </w:tcPr>
          <w:p>
            <w:pPr>
              <w:spacing w:after="0"/>
              <w:rPr>
                <w:sz w:val="24"/>
                <w:szCs w:val="24"/>
                <w:color w:val="auto"/>
              </w:rPr>
            </w:pPr>
          </w:p>
        </w:tc>
        <w:tc>
          <w:tcPr>
            <w:tcW w:w="2220" w:type="dxa"/>
            <w:vAlign w:val="bottom"/>
            <w:gridSpan w:val="2"/>
          </w:tcPr>
          <w:p>
            <w:pPr>
              <w:jc w:val="right"/>
              <w:ind w:right="888"/>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2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IPO RSUs</w:t>
            </w: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300" w:type="dxa"/>
            <w:vAlign w:val="bottom"/>
            <w:tcBorders>
              <w:bottom w:val="single" w:sz="8" w:color="auto"/>
            </w:tcBorders>
            <w:gridSpan w:val="6"/>
            <w:vMerge w:val="continue"/>
          </w:tcPr>
          <w:p>
            <w:pPr>
              <w:spacing w:after="0"/>
              <w:rPr>
                <w:sz w:val="16"/>
                <w:szCs w:val="16"/>
                <w:color w:val="auto"/>
              </w:rPr>
            </w:pPr>
          </w:p>
        </w:tc>
        <w:tc>
          <w:tcPr>
            <w:tcW w:w="2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Annual RSUs</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2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7"/>
              </w:rPr>
              <w:t>Grant Date</w:t>
            </w:r>
          </w:p>
        </w:tc>
        <w:tc>
          <w:tcPr>
            <w:tcW w:w="40" w:type="dxa"/>
            <w:vAlign w:val="bottom"/>
          </w:tcPr>
          <w:p>
            <w:pPr>
              <w:spacing w:after="0"/>
              <w:rPr>
                <w:sz w:val="12"/>
                <w:szCs w:val="12"/>
                <w:color w:val="auto"/>
              </w:rPr>
            </w:pPr>
          </w:p>
        </w:tc>
        <w:tc>
          <w:tcPr>
            <w:tcW w:w="2100" w:type="dxa"/>
            <w:vAlign w:val="bottom"/>
            <w:gridSpan w:val="3"/>
          </w:tcPr>
          <w:p>
            <w:pPr>
              <w:jc w:val="center"/>
              <w:ind w:right="260"/>
              <w:spacing w:after="0" w:line="139" w:lineRule="exact"/>
              <w:rPr>
                <w:sz w:val="20"/>
                <w:szCs w:val="20"/>
                <w:color w:val="auto"/>
              </w:rPr>
            </w:pPr>
            <w:r>
              <w:rPr>
                <w:rFonts w:ascii="Arial" w:cs="Arial" w:eastAsia="Arial" w:hAnsi="Arial"/>
                <w:sz w:val="14"/>
                <w:szCs w:val="14"/>
                <w:b w:val="1"/>
                <w:bCs w:val="1"/>
                <w:color w:val="auto"/>
                <w:w w:val="98"/>
              </w:rPr>
              <w:t>Grant Date Fair</w:t>
            </w:r>
          </w:p>
        </w:tc>
        <w:tc>
          <w:tcPr>
            <w:tcW w:w="40" w:type="dxa"/>
            <w:vAlign w:val="bottom"/>
          </w:tcPr>
          <w:p>
            <w:pPr>
              <w:spacing w:after="0"/>
              <w:rPr>
                <w:sz w:val="12"/>
                <w:szCs w:val="12"/>
                <w:color w:val="auto"/>
              </w:rPr>
            </w:pPr>
          </w:p>
        </w:tc>
        <w:tc>
          <w:tcPr>
            <w:tcW w:w="2160" w:type="dxa"/>
            <w:vAlign w:val="bottom"/>
            <w:gridSpan w:val="2"/>
          </w:tcPr>
          <w:p>
            <w:pPr>
              <w:jc w:val="center"/>
              <w:spacing w:after="0" w:line="139" w:lineRule="exact"/>
              <w:rPr>
                <w:sz w:val="20"/>
                <w:szCs w:val="20"/>
                <w:color w:val="auto"/>
              </w:rPr>
            </w:pPr>
            <w:r>
              <w:rPr>
                <w:rFonts w:ascii="Arial" w:cs="Arial" w:eastAsia="Arial" w:hAnsi="Arial"/>
                <w:sz w:val="14"/>
                <w:szCs w:val="14"/>
                <w:b w:val="1"/>
                <w:bCs w:val="1"/>
                <w:color w:val="auto"/>
                <w:w w:val="98"/>
              </w:rPr>
              <w:t>Grant Date Fair</w:t>
            </w: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3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49"/>
        </w:trPr>
        <w:tc>
          <w:tcPr>
            <w:tcW w:w="2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2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210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Value (Based on</w:t>
            </w:r>
          </w:p>
        </w:tc>
        <w:tc>
          <w:tcPr>
            <w:tcW w:w="40" w:type="dxa"/>
            <w:vAlign w:val="bottom"/>
          </w:tcPr>
          <w:p>
            <w:pPr>
              <w:spacing w:after="0"/>
              <w:rPr>
                <w:sz w:val="12"/>
                <w:szCs w:val="12"/>
                <w:color w:val="auto"/>
              </w:rPr>
            </w:pPr>
          </w:p>
        </w:tc>
        <w:tc>
          <w:tcPr>
            <w:tcW w:w="244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Value (Based on</w:t>
            </w:r>
          </w:p>
        </w:tc>
        <w:tc>
          <w:tcPr>
            <w:tcW w:w="40" w:type="dxa"/>
            <w:vAlign w:val="bottom"/>
          </w:tcPr>
          <w:p>
            <w:pPr>
              <w:spacing w:after="0"/>
              <w:rPr>
                <w:sz w:val="12"/>
                <w:szCs w:val="12"/>
                <w:color w:val="auto"/>
              </w:rPr>
            </w:pPr>
          </w:p>
        </w:tc>
        <w:tc>
          <w:tcPr>
            <w:tcW w:w="23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8"/>
              </w:rPr>
              <w:t>Fair Value</w:t>
            </w:r>
          </w:p>
        </w:tc>
        <w:tc>
          <w:tcPr>
            <w:tcW w:w="40" w:type="dxa"/>
            <w:vAlign w:val="bottom"/>
          </w:tcPr>
          <w:p>
            <w:pPr>
              <w:spacing w:after="0"/>
              <w:rPr>
                <w:sz w:val="16"/>
                <w:szCs w:val="16"/>
                <w:color w:val="auto"/>
              </w:rPr>
            </w:pPr>
          </w:p>
        </w:tc>
        <w:tc>
          <w:tcPr>
            <w:tcW w:w="21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2"/>
              </w:rPr>
              <w:t>Probable Outcome)</w:t>
            </w:r>
          </w:p>
        </w:tc>
        <w:tc>
          <w:tcPr>
            <w:tcW w:w="40" w:type="dxa"/>
            <w:vAlign w:val="bottom"/>
          </w:tcPr>
          <w:p>
            <w:pPr>
              <w:spacing w:after="0"/>
              <w:rPr>
                <w:sz w:val="16"/>
                <w:szCs w:val="16"/>
                <w:color w:val="auto"/>
              </w:rPr>
            </w:pPr>
          </w:p>
        </w:tc>
        <w:tc>
          <w:tcPr>
            <w:tcW w:w="24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5"/>
              </w:rPr>
              <w:t>Maximum Performance)</w:t>
            </w:r>
          </w:p>
        </w:tc>
        <w:tc>
          <w:tcPr>
            <w:tcW w:w="40" w:type="dxa"/>
            <w:vAlign w:val="bottom"/>
          </w:tcPr>
          <w:p>
            <w:pPr>
              <w:spacing w:after="0"/>
              <w:rPr>
                <w:sz w:val="16"/>
                <w:szCs w:val="16"/>
                <w:color w:val="auto"/>
              </w:rPr>
            </w:pPr>
          </w:p>
        </w:tc>
        <w:tc>
          <w:tcPr>
            <w:tcW w:w="23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89"/>
        </w:trPr>
        <w:tc>
          <w:tcPr>
            <w:tcW w:w="2360" w:type="dxa"/>
            <w:vAlign w:val="bottom"/>
            <w:gridSpan w:val="2"/>
          </w:tcPr>
          <w:p>
            <w:pPr>
              <w:ind w:left="20"/>
              <w:spacing w:after="0"/>
              <w:rPr>
                <w:sz w:val="20"/>
                <w:szCs w:val="20"/>
                <w:color w:val="auto"/>
              </w:rPr>
            </w:pPr>
            <w:r>
              <w:rPr>
                <w:rFonts w:ascii="Arial" w:cs="Arial" w:eastAsia="Arial" w:hAnsi="Arial"/>
                <w:sz w:val="14"/>
                <w:szCs w:val="14"/>
                <w:b w:val="1"/>
                <w:bCs w:val="1"/>
                <w:color w:val="auto"/>
              </w:rPr>
              <w:t>Name</w:t>
            </w:r>
          </w:p>
        </w:tc>
        <w:tc>
          <w:tcPr>
            <w:tcW w:w="1720" w:type="dxa"/>
            <w:vAlign w:val="bottom"/>
          </w:tcPr>
          <w:p>
            <w:pPr>
              <w:jc w:val="right"/>
              <w:ind w:right="668"/>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20" w:type="dxa"/>
            <w:vAlign w:val="bottom"/>
            <w:gridSpan w:val="2"/>
          </w:tcPr>
          <w:p>
            <w:pPr>
              <w:jc w:val="center"/>
              <w:ind w:left="28"/>
              <w:spacing w:after="0"/>
              <w:rPr>
                <w:sz w:val="20"/>
                <w:szCs w:val="20"/>
                <w:color w:val="auto"/>
              </w:rPr>
            </w:pPr>
            <w:r>
              <w:rPr>
                <w:rFonts w:ascii="Arial" w:cs="Arial" w:eastAsia="Arial" w:hAnsi="Arial"/>
                <w:sz w:val="14"/>
                <w:szCs w:val="14"/>
                <w:b w:val="1"/>
                <w:bCs w:val="1"/>
                <w:color w:val="auto"/>
                <w:w w:val="93"/>
              </w:rPr>
              <w:t>($)</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20" w:type="dxa"/>
            <w:vAlign w:val="bottom"/>
            <w:gridSpan w:val="2"/>
          </w:tcPr>
          <w:p>
            <w:pPr>
              <w:jc w:val="right"/>
              <w:ind w:right="948"/>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1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Lance Mitchell</w:t>
            </w:r>
          </w:p>
        </w:tc>
        <w:tc>
          <w:tcPr>
            <w:tcW w:w="200" w:type="dxa"/>
            <w:vAlign w:val="bottom"/>
            <w:tcBorders>
              <w:bottom w:val="single" w:sz="8" w:color="CCEEFF"/>
            </w:tcBorders>
            <w:shd w:val="clear" w:color="auto" w:fill="CCEEFF"/>
          </w:tcPr>
          <w:p>
            <w:pPr>
              <w:spacing w:after="0"/>
              <w:rPr>
                <w:sz w:val="15"/>
                <w:szCs w:val="15"/>
                <w:color w:val="auto"/>
              </w:rPr>
            </w:pPr>
          </w:p>
        </w:tc>
        <w:tc>
          <w:tcPr>
            <w:tcW w:w="17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1,549,990</w:t>
            </w:r>
          </w:p>
        </w:tc>
        <w:tc>
          <w:tcPr>
            <w:tcW w:w="1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8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969,007</w:t>
            </w:r>
          </w:p>
        </w:tc>
        <w:tc>
          <w:tcPr>
            <w:tcW w:w="2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1,938,014</w:t>
            </w:r>
          </w:p>
        </w:tc>
        <w:tc>
          <w:tcPr>
            <w:tcW w:w="28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969,007</w:t>
            </w:r>
          </w:p>
        </w:tc>
        <w:tc>
          <w:tcPr>
            <w:tcW w:w="1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80" w:type="dxa"/>
            <w:vAlign w:val="bottom"/>
            <w:gridSpan w:val="2"/>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40" w:type="dxa"/>
            <w:vAlign w:val="bottom"/>
            <w:gridSpan w:val="2"/>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160" w:type="dxa"/>
            <w:vAlign w:val="bottom"/>
            <w:gridSpan w:val="2"/>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Michael Graham</w:t>
            </w:r>
          </w:p>
        </w:tc>
        <w:tc>
          <w:tcPr>
            <w:tcW w:w="17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399,360</w:t>
            </w:r>
          </w:p>
        </w:tc>
        <w:tc>
          <w:tcPr>
            <w:tcW w:w="140" w:type="dxa"/>
            <w:vAlign w:val="bottom"/>
            <w:tcBorders>
              <w:bottom w:val="single" w:sz="8" w:color="CCEEFF"/>
            </w:tcBorders>
            <w:shd w:val="clear" w:color="auto" w:fill="CCEEFF"/>
          </w:tcPr>
          <w:p>
            <w:pPr>
              <w:spacing w:after="0"/>
              <w:rPr>
                <w:sz w:val="15"/>
                <w:szCs w:val="15"/>
                <w:color w:val="auto"/>
              </w:rPr>
            </w:pPr>
          </w:p>
        </w:tc>
        <w:tc>
          <w:tcPr>
            <w:tcW w:w="18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299,510</w:t>
            </w:r>
          </w:p>
        </w:tc>
        <w:tc>
          <w:tcPr>
            <w:tcW w:w="260" w:type="dxa"/>
            <w:vAlign w:val="bottom"/>
            <w:tcBorders>
              <w:bottom w:val="single" w:sz="8" w:color="CCEEFF"/>
            </w:tcBorders>
            <w:shd w:val="clear" w:color="auto" w:fill="CCEEFF"/>
          </w:tcPr>
          <w:p>
            <w:pPr>
              <w:spacing w:after="0"/>
              <w:rPr>
                <w:sz w:val="15"/>
                <w:szCs w:val="15"/>
                <w:color w:val="auto"/>
              </w:rPr>
            </w:pPr>
          </w:p>
        </w:tc>
        <w:tc>
          <w:tcPr>
            <w:tcW w:w="22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599,020</w:t>
            </w:r>
          </w:p>
        </w:tc>
        <w:tc>
          <w:tcPr>
            <w:tcW w:w="280" w:type="dxa"/>
            <w:vAlign w:val="bottom"/>
            <w:tcBorders>
              <w:bottom w:val="single" w:sz="8" w:color="CCEEFF"/>
            </w:tcBorders>
            <w:shd w:val="clear" w:color="auto" w:fill="CCEEFF"/>
          </w:tcPr>
          <w:p>
            <w:pPr>
              <w:spacing w:after="0"/>
              <w:rPr>
                <w:sz w:val="15"/>
                <w:szCs w:val="15"/>
                <w:color w:val="auto"/>
              </w:rPr>
            </w:pPr>
          </w:p>
        </w:tc>
        <w:tc>
          <w:tcPr>
            <w:tcW w:w="2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299,510</w:t>
            </w:r>
          </w:p>
        </w:tc>
        <w:tc>
          <w:tcPr>
            <w:tcW w:w="1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80" w:type="dxa"/>
            <w:vAlign w:val="bottom"/>
            <w:gridSpan w:val="2"/>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40" w:type="dxa"/>
            <w:vAlign w:val="bottom"/>
            <w:gridSpan w:val="2"/>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160" w:type="dxa"/>
            <w:vAlign w:val="bottom"/>
            <w:gridSpan w:val="2"/>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Rachel Bishop</w:t>
            </w:r>
          </w:p>
        </w:tc>
        <w:tc>
          <w:tcPr>
            <w:tcW w:w="17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205,998</w:t>
            </w:r>
          </w:p>
        </w:tc>
        <w:tc>
          <w:tcPr>
            <w:tcW w:w="140" w:type="dxa"/>
            <w:vAlign w:val="bottom"/>
            <w:tcBorders>
              <w:bottom w:val="single" w:sz="8" w:color="CCEEFF"/>
            </w:tcBorders>
            <w:shd w:val="clear" w:color="auto" w:fill="CCEEFF"/>
          </w:tcPr>
          <w:p>
            <w:pPr>
              <w:spacing w:after="0"/>
              <w:rPr>
                <w:sz w:val="15"/>
                <w:szCs w:val="15"/>
                <w:color w:val="auto"/>
              </w:rPr>
            </w:pPr>
          </w:p>
        </w:tc>
        <w:tc>
          <w:tcPr>
            <w:tcW w:w="18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154,508</w:t>
            </w:r>
          </w:p>
        </w:tc>
        <w:tc>
          <w:tcPr>
            <w:tcW w:w="260" w:type="dxa"/>
            <w:vAlign w:val="bottom"/>
            <w:tcBorders>
              <w:bottom w:val="single" w:sz="8" w:color="CCEEFF"/>
            </w:tcBorders>
            <w:shd w:val="clear" w:color="auto" w:fill="CCEEFF"/>
          </w:tcPr>
          <w:p>
            <w:pPr>
              <w:spacing w:after="0"/>
              <w:rPr>
                <w:sz w:val="15"/>
                <w:szCs w:val="15"/>
                <w:color w:val="auto"/>
              </w:rPr>
            </w:pPr>
          </w:p>
        </w:tc>
        <w:tc>
          <w:tcPr>
            <w:tcW w:w="22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309,016</w:t>
            </w:r>
          </w:p>
        </w:tc>
        <w:tc>
          <w:tcPr>
            <w:tcW w:w="280" w:type="dxa"/>
            <w:vAlign w:val="bottom"/>
            <w:tcBorders>
              <w:bottom w:val="single" w:sz="8" w:color="CCEEFF"/>
            </w:tcBorders>
            <w:shd w:val="clear" w:color="auto" w:fill="CCEEFF"/>
          </w:tcPr>
          <w:p>
            <w:pPr>
              <w:spacing w:after="0"/>
              <w:rPr>
                <w:sz w:val="15"/>
                <w:szCs w:val="15"/>
                <w:color w:val="auto"/>
              </w:rPr>
            </w:pPr>
          </w:p>
        </w:tc>
        <w:tc>
          <w:tcPr>
            <w:tcW w:w="2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154,508</w:t>
            </w:r>
          </w:p>
        </w:tc>
        <w:tc>
          <w:tcPr>
            <w:tcW w:w="1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80" w:type="dxa"/>
            <w:vAlign w:val="bottom"/>
            <w:gridSpan w:val="2"/>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40" w:type="dxa"/>
            <w:vAlign w:val="bottom"/>
            <w:gridSpan w:val="2"/>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160" w:type="dxa"/>
            <w:vAlign w:val="bottom"/>
            <w:gridSpan w:val="2"/>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Craig Cappel</w:t>
            </w: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231,738</w:t>
            </w:r>
          </w:p>
        </w:tc>
        <w:tc>
          <w:tcPr>
            <w:tcW w:w="140" w:type="dxa"/>
            <w:vAlign w:val="bottom"/>
            <w:shd w:val="clear" w:color="auto" w:fill="CCEEFF"/>
          </w:tcPr>
          <w:p>
            <w:pPr>
              <w:spacing w:after="0"/>
              <w:rPr>
                <w:sz w:val="15"/>
                <w:szCs w:val="15"/>
                <w:color w:val="auto"/>
              </w:rPr>
            </w:pPr>
          </w:p>
        </w:tc>
        <w:tc>
          <w:tcPr>
            <w:tcW w:w="188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174,002</w:t>
            </w:r>
          </w:p>
        </w:tc>
        <w:tc>
          <w:tcPr>
            <w:tcW w:w="260" w:type="dxa"/>
            <w:vAlign w:val="bottom"/>
            <w:shd w:val="clear" w:color="auto" w:fill="CCEEFF"/>
          </w:tcPr>
          <w:p>
            <w:pPr>
              <w:spacing w:after="0"/>
              <w:rPr>
                <w:sz w:val="15"/>
                <w:szCs w:val="15"/>
                <w:color w:val="auto"/>
              </w:rPr>
            </w:pPr>
          </w:p>
        </w:tc>
        <w:tc>
          <w:tcPr>
            <w:tcW w:w="220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348,004</w:t>
            </w:r>
          </w:p>
        </w:tc>
        <w:tc>
          <w:tcPr>
            <w:tcW w:w="280" w:type="dxa"/>
            <w:vAlign w:val="bottom"/>
            <w:shd w:val="clear" w:color="auto" w:fill="CCEEFF"/>
          </w:tcPr>
          <w:p>
            <w:pPr>
              <w:spacing w:after="0"/>
              <w:rPr>
                <w:sz w:val="15"/>
                <w:szCs w:val="15"/>
                <w:color w:val="auto"/>
              </w:rPr>
            </w:pP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174,002</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7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7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1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8" w:lineRule="exact"/>
        <w:rPr>
          <w:sz w:val="20"/>
          <w:szCs w:val="20"/>
          <w:color w:val="auto"/>
        </w:rPr>
      </w:pPr>
    </w:p>
    <w:p>
      <w:pPr>
        <w:ind w:left="340" w:right="20" w:hanging="332"/>
        <w:spacing w:after="0" w:line="275" w:lineRule="auto"/>
        <w:tabs>
          <w:tab w:leader="none" w:pos="385"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Represents the NEO’s payouts under (a) for 2022, the 2022 AIP, (b) for 2021, the 2021 AIP, and (c) for 2020, the 2020 AIP and the PEI LTIP, a cash based long-term incentive program established by PEI prior to IPO.</w:t>
      </w:r>
    </w:p>
    <w:p>
      <w:pPr>
        <w:spacing w:after="0" w:line="212" w:lineRule="exact"/>
        <w:rPr>
          <w:rFonts w:ascii="Arial" w:cs="Arial" w:eastAsia="Arial" w:hAnsi="Arial"/>
          <w:sz w:val="16"/>
          <w:szCs w:val="16"/>
          <w:color w:val="auto"/>
        </w:rPr>
      </w:pPr>
    </w:p>
    <w:p>
      <w:pPr>
        <w:jc w:val="both"/>
        <w:ind w:left="340" w:hanging="332"/>
        <w:spacing w:after="0" w:line="258" w:lineRule="auto"/>
        <w:tabs>
          <w:tab w:leader="none" w:pos="369"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Represents the aggregate change in the actuarial present value of the accumulated benefit under the legacy entitlements under the Pension Plan for Pactiv Evergreen for each of Ms. Buckner, Ms. Smith and Mr. Cappel (the only three NEOs who are participants in such plan), from December 31, 2021 to December 31, 2022 for the 2022 amounts and from December 31, 2019 to December 31, 2020 for the 2020 amounts. In 2022, there was a decrease in the value of plan benefits for Ms. Buckner and Mr. Cappel ($82,550 and $101,675, respectively), so these values are reported as $0. Similarly, in 2021, there was a decrease in the value of plan benefits for Mr. Cappel ($18,164), so this value is reported as $0.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4F81B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left="340" w:hanging="332"/>
        <w:spacing w:after="0" w:line="262" w:lineRule="auto"/>
        <w:tabs>
          <w:tab w:leader="none" w:pos="403"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amounts reported in this column for 2022 include employer contributions to the 401(k) Retirement Plan and the Nonqualified Deferred Compensation Plan, the amount of dividend equivalents paid on unvested RSUs, group term life insurance and wellness credits, and for Mr. Cappel, the amount of payments he received or is receiving in connection with his termination (consisting of severance payments of $525,000, accrued but unpaid vacation of $28,269 and COBRA premium assistance of $13,441) as follows:</w:t>
      </w:r>
    </w:p>
    <w:p>
      <w:pPr>
        <w:jc w:val="center"/>
        <w:ind w:right="4160"/>
        <w:spacing w:after="0" w:line="235" w:lineRule="auto"/>
        <w:rPr>
          <w:sz w:val="20"/>
          <w:szCs w:val="20"/>
          <w:color w:val="auto"/>
        </w:rPr>
      </w:pPr>
      <w:r>
        <w:rPr>
          <w:rFonts w:ascii="Arial" w:cs="Arial" w:eastAsia="Arial" w:hAnsi="Arial"/>
          <w:sz w:val="14"/>
          <w:szCs w:val="14"/>
          <w:b w:val="1"/>
          <w:bCs w:val="1"/>
          <w:color w:val="auto"/>
        </w:rPr>
        <w:t>Company</w:t>
      </w:r>
    </w:p>
    <w:p>
      <w:pPr>
        <w:jc w:val="center"/>
        <w:ind w:right="4160"/>
        <w:spacing w:after="0" w:line="222" w:lineRule="auto"/>
        <w:rPr>
          <w:sz w:val="20"/>
          <w:szCs w:val="20"/>
          <w:color w:val="auto"/>
        </w:rPr>
      </w:pPr>
      <w:r>
        <w:rPr>
          <w:rFonts w:ascii="Arial" w:cs="Arial" w:eastAsia="Arial" w:hAnsi="Arial"/>
          <w:sz w:val="14"/>
          <w:szCs w:val="14"/>
          <w:b w:val="1"/>
          <w:bCs w:val="1"/>
          <w:color w:val="auto"/>
        </w:rPr>
        <w:t>Contributions To</w:t>
      </w:r>
    </w:p>
    <w:tbl>
      <w:tblPr>
        <w:tblLayout w:type="fixed"/>
        <w:tblInd w:w="0" w:type="dxa"/>
        <w:tblCellMar>
          <w:top w:w="0" w:type="dxa"/>
          <w:left w:w="0" w:type="dxa"/>
          <w:bottom w:w="0" w:type="dxa"/>
          <w:right w:w="0" w:type="dxa"/>
        </w:tblCellMar>
      </w:tblPr>
      <w:tr>
        <w:trPr>
          <w:trHeight w:val="128"/>
        </w:trPr>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93"/>
              </w:rPr>
              <w:t>Company</w:t>
            </w:r>
          </w:p>
        </w:tc>
        <w:tc>
          <w:tcPr>
            <w:tcW w:w="1680" w:type="dxa"/>
            <w:vAlign w:val="bottom"/>
            <w:gridSpan w:val="2"/>
          </w:tcPr>
          <w:p>
            <w:pPr>
              <w:jc w:val="center"/>
              <w:ind w:right="80"/>
              <w:spacing w:after="0" w:line="129" w:lineRule="exact"/>
              <w:rPr>
                <w:sz w:val="20"/>
                <w:szCs w:val="20"/>
                <w:color w:val="auto"/>
              </w:rPr>
            </w:pPr>
            <w:r>
              <w:rPr>
                <w:rFonts w:ascii="Arial" w:cs="Arial" w:eastAsia="Arial" w:hAnsi="Arial"/>
                <w:sz w:val="14"/>
                <w:szCs w:val="14"/>
                <w:b w:val="1"/>
                <w:bCs w:val="1"/>
                <w:color w:val="auto"/>
                <w:w w:val="94"/>
              </w:rPr>
              <w:t>Nonqualified</w:t>
            </w: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Contributions</w:t>
            </w:r>
          </w:p>
        </w:tc>
        <w:tc>
          <w:tcPr>
            <w:tcW w:w="16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7"/>
              </w:rPr>
              <w:t>Deferred</w:t>
            </w:r>
          </w:p>
        </w:tc>
        <w:tc>
          <w:tcPr>
            <w:tcW w:w="14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4"/>
              </w:rPr>
              <w:t>Dividend</w:t>
            </w:r>
          </w:p>
        </w:tc>
        <w:tc>
          <w:tcPr>
            <w:tcW w:w="13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7"/>
              </w:rPr>
              <w:t>Group Term Life</w:t>
            </w: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0"/>
              </w:rPr>
              <w:t>Severance-Related</w:t>
            </w:r>
          </w:p>
        </w:tc>
        <w:tc>
          <w:tcPr>
            <w:tcW w:w="132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Total All Other</w:t>
            </w:r>
          </w:p>
        </w:tc>
        <w:tc>
          <w:tcPr>
            <w:tcW w:w="0" w:type="dxa"/>
            <w:vAlign w:val="bottom"/>
          </w:tcPr>
          <w:p>
            <w:pPr>
              <w:spacing w:after="0"/>
              <w:rPr>
                <w:sz w:val="1"/>
                <w:szCs w:val="1"/>
                <w:color w:val="auto"/>
              </w:rPr>
            </w:pPr>
          </w:p>
        </w:tc>
      </w:tr>
      <w:tr>
        <w:trPr>
          <w:trHeight w:val="148"/>
        </w:trPr>
        <w:tc>
          <w:tcPr>
            <w:tcW w:w="13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13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To 401(k)</w:t>
            </w:r>
          </w:p>
        </w:tc>
        <w:tc>
          <w:tcPr>
            <w:tcW w:w="16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400" w:type="dxa"/>
            <w:vAlign w:val="bottom"/>
            <w:gridSpan w:val="2"/>
            <w:vMerge w:val="continue"/>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3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8"/>
              </w:rPr>
              <w:t>Wellness Credits ($)</w:t>
            </w:r>
          </w:p>
        </w:tc>
        <w:tc>
          <w:tcPr>
            <w:tcW w:w="1360" w:type="dxa"/>
            <w:vAlign w:val="bottom"/>
            <w:gridSpan w:val="2"/>
            <w:vMerge w:val="continue"/>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360" w:type="dxa"/>
            <w:vAlign w:val="bottom"/>
            <w:gridSpan w:val="2"/>
            <w:vMerge w:val="continue"/>
          </w:tcPr>
          <w:p>
            <w:pPr>
              <w:spacing w:after="0"/>
              <w:rPr>
                <w:sz w:val="17"/>
                <w:szCs w:val="17"/>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Plan ($)</w:t>
            </w:r>
          </w:p>
        </w:tc>
        <w:tc>
          <w:tcPr>
            <w:tcW w:w="16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Plan ($)</w:t>
            </w: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Equivalents ($)</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Insurance ($)</w:t>
            </w:r>
          </w:p>
        </w:tc>
        <w:tc>
          <w:tcPr>
            <w:tcW w:w="1380" w:type="dxa"/>
            <w:vAlign w:val="bottom"/>
            <w:gridSpan w:val="2"/>
            <w:vMerge w:val="continue"/>
          </w:tcPr>
          <w:p>
            <w:pPr>
              <w:spacing w:after="0"/>
              <w:rPr>
                <w:sz w:val="17"/>
                <w:szCs w:val="17"/>
                <w:color w:val="auto"/>
              </w:rPr>
            </w:pPr>
          </w:p>
        </w:tc>
        <w:tc>
          <w:tcPr>
            <w:tcW w:w="13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Payments ($)</w:t>
            </w:r>
          </w:p>
        </w:tc>
        <w:tc>
          <w:tcPr>
            <w:tcW w:w="1320" w:type="dxa"/>
            <w:vAlign w:val="bottom"/>
          </w:tcPr>
          <w:p>
            <w:pPr>
              <w:jc w:val="right"/>
              <w:ind w:right="48"/>
              <w:spacing w:after="0"/>
              <w:rPr>
                <w:sz w:val="20"/>
                <w:szCs w:val="20"/>
                <w:color w:val="auto"/>
              </w:rPr>
            </w:pPr>
            <w:r>
              <w:rPr>
                <w:rFonts w:ascii="Arial" w:cs="Arial" w:eastAsia="Arial" w:hAnsi="Arial"/>
                <w:sz w:val="14"/>
                <w:szCs w:val="14"/>
                <w:b w:val="1"/>
                <w:bCs w:val="1"/>
                <w:color w:val="auto"/>
                <w:w w:val="99"/>
              </w:rPr>
              <w:t>Compensation ($)</w:t>
            </w:r>
          </w:p>
        </w:tc>
        <w:tc>
          <w:tcPr>
            <w:tcW w:w="0" w:type="dxa"/>
            <w:vAlign w:val="bottom"/>
          </w:tcPr>
          <w:p>
            <w:pPr>
              <w:spacing w:after="0"/>
              <w:rPr>
                <w:sz w:val="1"/>
                <w:szCs w:val="1"/>
                <w:color w:val="auto"/>
              </w:rPr>
            </w:pPr>
          </w:p>
        </w:tc>
      </w:tr>
      <w:tr>
        <w:trPr>
          <w:trHeight w:val="183"/>
        </w:trPr>
        <w:tc>
          <w:tcPr>
            <w:tcW w:w="12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Lance Mitchell</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24,400</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126,380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66,442</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3,564</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750</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221,536</w:t>
            </w:r>
          </w:p>
        </w:tc>
        <w:tc>
          <w:tcPr>
            <w:tcW w:w="0" w:type="dxa"/>
            <w:vAlign w:val="bottom"/>
          </w:tcPr>
          <w:p>
            <w:pPr>
              <w:spacing w:after="0"/>
              <w:rPr>
                <w:sz w:val="1"/>
                <w:szCs w:val="1"/>
                <w:color w:val="auto"/>
              </w:rPr>
            </w:pPr>
          </w:p>
        </w:tc>
      </w:tr>
      <w:tr>
        <w:trPr>
          <w:trHeight w:val="182"/>
        </w:trPr>
        <w:tc>
          <w:tcPr>
            <w:tcW w:w="1360" w:type="dxa"/>
            <w:vAlign w:val="bottom"/>
            <w:gridSpan w:val="2"/>
          </w:tcPr>
          <w:p>
            <w:pPr>
              <w:ind w:left="20"/>
              <w:spacing w:after="0"/>
              <w:rPr>
                <w:sz w:val="20"/>
                <w:szCs w:val="20"/>
                <w:color w:val="auto"/>
              </w:rPr>
            </w:pPr>
            <w:r>
              <w:rPr>
                <w:rFonts w:ascii="Arial" w:cs="Arial" w:eastAsia="Arial" w:hAnsi="Arial"/>
                <w:sz w:val="14"/>
                <w:szCs w:val="14"/>
                <w:color w:val="auto"/>
              </w:rPr>
              <w:t>Michael Graham</w:t>
            </w:r>
          </w:p>
        </w:tc>
        <w:tc>
          <w:tcPr>
            <w:tcW w:w="1300" w:type="dxa"/>
            <w:vAlign w:val="bottom"/>
          </w:tcPr>
          <w:p>
            <w:pPr>
              <w:jc w:val="right"/>
              <w:spacing w:after="0"/>
              <w:rPr>
                <w:sz w:val="20"/>
                <w:szCs w:val="20"/>
                <w:color w:val="auto"/>
              </w:rPr>
            </w:pPr>
            <w:r>
              <w:rPr>
                <w:rFonts w:ascii="Arial" w:cs="Arial" w:eastAsia="Arial" w:hAnsi="Arial"/>
                <w:sz w:val="14"/>
                <w:szCs w:val="14"/>
                <w:color w:val="auto"/>
              </w:rPr>
              <w:t>16,795</w:t>
            </w:r>
          </w:p>
        </w:tc>
        <w:tc>
          <w:tcPr>
            <w:tcW w:w="8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51,807</w:t>
            </w:r>
          </w:p>
        </w:tc>
        <w:tc>
          <w:tcPr>
            <w:tcW w:w="1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18,741</w:t>
            </w:r>
          </w:p>
        </w:tc>
        <w:tc>
          <w:tcPr>
            <w:tcW w:w="1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3,564</w:t>
            </w:r>
          </w:p>
        </w:tc>
        <w:tc>
          <w:tcPr>
            <w:tcW w:w="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2,000</w:t>
            </w:r>
          </w:p>
        </w:tc>
        <w:tc>
          <w:tcPr>
            <w:tcW w:w="80" w:type="dxa"/>
            <w:vAlign w:val="bottom"/>
          </w:tcPr>
          <w:p>
            <w:pPr>
              <w:spacing w:after="0"/>
              <w:rPr>
                <w:sz w:val="15"/>
                <w:szCs w:val="15"/>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92,907</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Rachel Bishop</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19,938</w:t>
            </w:r>
          </w:p>
        </w:tc>
        <w:tc>
          <w:tcPr>
            <w:tcW w:w="80" w:type="dxa"/>
            <w:vAlign w:val="bottom"/>
            <w:tcBorders>
              <w:bottom w:val="single" w:sz="8" w:color="CCEEFF"/>
            </w:tcBorders>
            <w:shd w:val="clear" w:color="auto" w:fill="CCEEFF"/>
          </w:tcPr>
          <w:p>
            <w:pPr>
              <w:spacing w:after="0"/>
              <w:rPr>
                <w:sz w:val="15"/>
                <w:szCs w:val="15"/>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26,416</w:t>
            </w:r>
          </w:p>
        </w:tc>
        <w:tc>
          <w:tcPr>
            <w:tcW w:w="10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9,829</w:t>
            </w:r>
          </w:p>
        </w:tc>
        <w:tc>
          <w:tcPr>
            <w:tcW w:w="1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1,021</w:t>
            </w:r>
          </w:p>
        </w:tc>
        <w:tc>
          <w:tcPr>
            <w:tcW w:w="8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8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58,204</w:t>
            </w:r>
          </w:p>
        </w:tc>
        <w:tc>
          <w:tcPr>
            <w:tcW w:w="0" w:type="dxa"/>
            <w:vAlign w:val="bottom"/>
          </w:tcPr>
          <w:p>
            <w:pPr>
              <w:spacing w:after="0"/>
              <w:rPr>
                <w:sz w:val="1"/>
                <w:szCs w:val="1"/>
                <w:color w:val="auto"/>
              </w:rPr>
            </w:pPr>
          </w:p>
        </w:tc>
      </w:tr>
      <w:tr>
        <w:trPr>
          <w:trHeight w:val="182"/>
        </w:trPr>
        <w:tc>
          <w:tcPr>
            <w:tcW w:w="1360" w:type="dxa"/>
            <w:vAlign w:val="bottom"/>
            <w:gridSpan w:val="2"/>
          </w:tcPr>
          <w:p>
            <w:pPr>
              <w:ind w:left="20"/>
              <w:spacing w:after="0"/>
              <w:rPr>
                <w:sz w:val="20"/>
                <w:szCs w:val="20"/>
                <w:color w:val="auto"/>
              </w:rPr>
            </w:pPr>
            <w:r>
              <w:rPr>
                <w:rFonts w:ascii="Arial" w:cs="Arial" w:eastAsia="Arial" w:hAnsi="Arial"/>
                <w:sz w:val="14"/>
                <w:szCs w:val="14"/>
                <w:color w:val="auto"/>
              </w:rPr>
              <w:t>Judith Buckner</w:t>
            </w:r>
          </w:p>
        </w:tc>
        <w:tc>
          <w:tcPr>
            <w:tcW w:w="1300" w:type="dxa"/>
            <w:vAlign w:val="bottom"/>
          </w:tcPr>
          <w:p>
            <w:pPr>
              <w:jc w:val="right"/>
              <w:spacing w:after="0"/>
              <w:rPr>
                <w:sz w:val="20"/>
                <w:szCs w:val="20"/>
                <w:color w:val="auto"/>
              </w:rPr>
            </w:pPr>
            <w:r>
              <w:rPr>
                <w:rFonts w:ascii="Arial" w:cs="Arial" w:eastAsia="Arial" w:hAnsi="Arial"/>
                <w:sz w:val="14"/>
                <w:szCs w:val="14"/>
                <w:color w:val="auto"/>
              </w:rPr>
              <w:t>24,400</w:t>
            </w:r>
          </w:p>
        </w:tc>
        <w:tc>
          <w:tcPr>
            <w:tcW w:w="8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22,009</w:t>
            </w:r>
          </w:p>
        </w:tc>
        <w:tc>
          <w:tcPr>
            <w:tcW w:w="1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8,380</w:t>
            </w:r>
          </w:p>
        </w:tc>
        <w:tc>
          <w:tcPr>
            <w:tcW w:w="1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1,487</w:t>
            </w:r>
          </w:p>
        </w:tc>
        <w:tc>
          <w:tcPr>
            <w:tcW w:w="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1,000</w:t>
            </w:r>
          </w:p>
        </w:tc>
        <w:tc>
          <w:tcPr>
            <w:tcW w:w="80" w:type="dxa"/>
            <w:vAlign w:val="bottom"/>
          </w:tcPr>
          <w:p>
            <w:pPr>
              <w:spacing w:after="0"/>
              <w:rPr>
                <w:sz w:val="15"/>
                <w:szCs w:val="15"/>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57,276</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Lisa Smith</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24,400</w:t>
            </w:r>
          </w:p>
        </w:tc>
        <w:tc>
          <w:tcPr>
            <w:tcW w:w="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21,145</w:t>
            </w: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3,199</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1,242</w:t>
            </w:r>
          </w:p>
        </w:tc>
        <w:tc>
          <w:tcPr>
            <w:tcW w:w="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w:t>
            </w:r>
          </w:p>
        </w:tc>
        <w:tc>
          <w:tcPr>
            <w:tcW w:w="8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51,986</w:t>
            </w:r>
          </w:p>
        </w:tc>
        <w:tc>
          <w:tcPr>
            <w:tcW w:w="0" w:type="dxa"/>
            <w:vAlign w:val="bottom"/>
          </w:tcPr>
          <w:p>
            <w:pPr>
              <w:spacing w:after="0"/>
              <w:rPr>
                <w:sz w:val="1"/>
                <w:szCs w:val="1"/>
                <w:color w:val="auto"/>
              </w:rPr>
            </w:pPr>
          </w:p>
        </w:tc>
      </w:tr>
      <w:tr>
        <w:trPr>
          <w:trHeight w:val="182"/>
        </w:trPr>
        <w:tc>
          <w:tcPr>
            <w:tcW w:w="1360" w:type="dxa"/>
            <w:vAlign w:val="bottom"/>
            <w:gridSpan w:val="2"/>
          </w:tcPr>
          <w:p>
            <w:pPr>
              <w:ind w:left="20"/>
              <w:spacing w:after="0"/>
              <w:rPr>
                <w:sz w:val="20"/>
                <w:szCs w:val="20"/>
                <w:color w:val="auto"/>
              </w:rPr>
            </w:pPr>
            <w:r>
              <w:rPr>
                <w:rFonts w:ascii="Arial" w:cs="Arial" w:eastAsia="Arial" w:hAnsi="Arial"/>
                <w:sz w:val="14"/>
                <w:szCs w:val="14"/>
                <w:color w:val="auto"/>
              </w:rPr>
              <w:t>Craig Cappel</w:t>
            </w:r>
          </w:p>
        </w:tc>
        <w:tc>
          <w:tcPr>
            <w:tcW w:w="1300" w:type="dxa"/>
            <w:vAlign w:val="bottom"/>
          </w:tcPr>
          <w:p>
            <w:pPr>
              <w:jc w:val="right"/>
              <w:spacing w:after="0"/>
              <w:rPr>
                <w:sz w:val="20"/>
                <w:szCs w:val="20"/>
                <w:color w:val="auto"/>
              </w:rPr>
            </w:pPr>
            <w:r>
              <w:rPr>
                <w:rFonts w:ascii="Arial" w:cs="Arial" w:eastAsia="Arial" w:hAnsi="Arial"/>
                <w:sz w:val="14"/>
                <w:szCs w:val="14"/>
                <w:color w:val="auto"/>
              </w:rPr>
              <w:t>18,300</w:t>
            </w:r>
          </w:p>
        </w:tc>
        <w:tc>
          <w:tcPr>
            <w:tcW w:w="80" w:type="dxa"/>
            <w:vAlign w:val="bottom"/>
          </w:tcPr>
          <w:p>
            <w:pPr>
              <w:spacing w:after="0"/>
              <w:rPr>
                <w:sz w:val="15"/>
                <w:szCs w:val="15"/>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10,879</w:t>
            </w:r>
          </w:p>
        </w:tc>
        <w:tc>
          <w:tcPr>
            <w:tcW w:w="1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1,406</w:t>
            </w:r>
          </w:p>
        </w:tc>
        <w:tc>
          <w:tcPr>
            <w:tcW w:w="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917</w:t>
            </w:r>
          </w:p>
        </w:tc>
        <w:tc>
          <w:tcPr>
            <w:tcW w:w="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566,710</w:t>
            </w:r>
          </w:p>
        </w:tc>
        <w:tc>
          <w:tcPr>
            <w:tcW w:w="1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598,212</w:t>
            </w:r>
          </w:p>
        </w:tc>
        <w:tc>
          <w:tcPr>
            <w:tcW w:w="0" w:type="dxa"/>
            <w:vAlign w:val="bottom"/>
          </w:tcPr>
          <w:p>
            <w:pPr>
              <w:spacing w:after="0"/>
              <w:rPr>
                <w:sz w:val="1"/>
                <w:szCs w:val="1"/>
                <w:color w:val="auto"/>
              </w:rPr>
            </w:pPr>
          </w:p>
        </w:tc>
      </w:tr>
    </w:tbl>
    <w:p>
      <w:pPr>
        <w:spacing w:after="0" w:line="334" w:lineRule="exact"/>
        <w:rPr>
          <w:sz w:val="20"/>
          <w:szCs w:val="20"/>
          <w:color w:val="auto"/>
        </w:rPr>
      </w:pPr>
    </w:p>
    <w:p>
      <w:pPr>
        <w:ind w:left="340" w:hanging="332"/>
        <w:spacing w:after="0" w:line="293" w:lineRule="auto"/>
        <w:tabs>
          <w:tab w:leader="none" w:pos="369" w:val="left"/>
        </w:tabs>
        <w:numPr>
          <w:ilvl w:val="0"/>
          <w:numId w:val="32"/>
        </w:numPr>
        <w:rPr>
          <w:rFonts w:ascii="Arial" w:cs="Arial" w:eastAsia="Arial" w:hAnsi="Arial"/>
          <w:sz w:val="16"/>
          <w:szCs w:val="16"/>
          <w:color w:val="auto"/>
        </w:rPr>
      </w:pPr>
      <w:r>
        <w:rPr>
          <w:rFonts w:ascii="Arial" w:cs="Arial" w:eastAsia="Arial" w:hAnsi="Arial"/>
          <w:sz w:val="16"/>
          <w:szCs w:val="16"/>
          <w:color w:val="auto"/>
        </w:rPr>
        <w:t>As permitted by SEC rules, because 2022 was each of Ms. Buckner’s and Ms. Smith’s first year as an NEO, the compensation paid to her prior to 2022 is not included in this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4F81B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2022 GRANTS OF PLAN-BASED AWARDS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regarding grants of plan-based awards to our NEOs during 2022.</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20" w:type="dxa"/>
            <w:vAlign w:val="bottom"/>
            <w:gridSpan w:val="5"/>
          </w:tcPr>
          <w:p>
            <w:pPr>
              <w:jc w:val="center"/>
              <w:ind w:left="568"/>
              <w:spacing w:after="0"/>
              <w:rPr>
                <w:sz w:val="20"/>
                <w:szCs w:val="20"/>
                <w:color w:val="auto"/>
              </w:rPr>
            </w:pPr>
            <w:r>
              <w:rPr>
                <w:rFonts w:ascii="Arial" w:cs="Arial" w:eastAsia="Arial" w:hAnsi="Arial"/>
                <w:sz w:val="14"/>
                <w:szCs w:val="14"/>
                <w:b w:val="1"/>
                <w:bCs w:val="1"/>
                <w:color w:val="auto"/>
                <w:w w:val="89"/>
              </w:rPr>
              <w:t>Estimated Possible Payouts</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2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92"/>
              </w:rPr>
              <w:t>Estimated Future Payouts</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9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5"/>
          </w:tcPr>
          <w:p>
            <w:pPr>
              <w:jc w:val="center"/>
              <w:ind w:left="568"/>
              <w:spacing w:after="0" w:line="145" w:lineRule="exact"/>
              <w:rPr>
                <w:sz w:val="20"/>
                <w:szCs w:val="20"/>
                <w:color w:val="auto"/>
              </w:rPr>
            </w:pPr>
            <w:r>
              <w:rPr>
                <w:rFonts w:ascii="Arial" w:cs="Arial" w:eastAsia="Arial" w:hAnsi="Arial"/>
                <w:sz w:val="14"/>
                <w:szCs w:val="14"/>
                <w:b w:val="1"/>
                <w:bCs w:val="1"/>
                <w:color w:val="auto"/>
                <w:w w:val="95"/>
              </w:rPr>
              <w:t>Under Non-Equity Incentive</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20" w:type="dxa"/>
            <w:vAlign w:val="bottom"/>
            <w:gridSpan w:val="6"/>
          </w:tcPr>
          <w:p>
            <w:pPr>
              <w:jc w:val="center"/>
              <w:ind w:right="100"/>
              <w:spacing w:after="0" w:line="145" w:lineRule="exact"/>
              <w:rPr>
                <w:sz w:val="20"/>
                <w:szCs w:val="20"/>
                <w:color w:val="auto"/>
              </w:rPr>
            </w:pPr>
            <w:r>
              <w:rPr>
                <w:rFonts w:ascii="Arial" w:cs="Arial" w:eastAsia="Arial" w:hAnsi="Arial"/>
                <w:sz w:val="14"/>
                <w:szCs w:val="14"/>
                <w:b w:val="1"/>
                <w:bCs w:val="1"/>
                <w:color w:val="auto"/>
                <w:w w:val="94"/>
              </w:rPr>
              <w:t>Under Equity Incentive</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jc w:val="center"/>
              <w:ind w:right="40"/>
              <w:spacing w:after="0" w:line="161" w:lineRule="exact"/>
              <w:rPr>
                <w:sz w:val="20"/>
                <w:szCs w:val="20"/>
                <w:color w:val="auto"/>
              </w:rPr>
            </w:pPr>
            <w:r>
              <w:rPr>
                <w:rFonts w:ascii="Arial" w:cs="Arial" w:eastAsia="Arial" w:hAnsi="Arial"/>
                <w:sz w:val="14"/>
                <w:szCs w:val="14"/>
                <w:b w:val="1"/>
                <w:bCs w:val="1"/>
                <w:color w:val="auto"/>
                <w:w w:val="97"/>
              </w:rPr>
              <w:t>Plan Awards</w:t>
            </w:r>
            <w:r>
              <w:rPr>
                <w:rFonts w:ascii="MS PGothic" w:cs="MS PGothic" w:eastAsia="MS PGothic" w:hAnsi="MS PGothic"/>
                <w:sz w:val="14"/>
                <w:szCs w:val="14"/>
                <w:color w:val="auto"/>
                <w:w w:val="97"/>
              </w:rPr>
              <w:t>⁽</w:t>
            </w:r>
            <w:r>
              <w:rPr>
                <w:rFonts w:ascii="Arial" w:cs="Arial" w:eastAsia="Arial" w:hAnsi="Arial"/>
                <w:sz w:val="14"/>
                <w:szCs w:val="14"/>
                <w:b w:val="1"/>
                <w:bCs w:val="1"/>
                <w:color w:val="auto"/>
                <w:w w:val="97"/>
              </w:rPr>
              <w:t>¹</w:t>
            </w:r>
            <w:r>
              <w:rPr>
                <w:rFonts w:ascii="MS PGothic" w:cs="MS PGothic" w:eastAsia="MS PGothic" w:hAnsi="MS PGothic"/>
                <w:sz w:val="14"/>
                <w:szCs w:val="14"/>
                <w:color w:val="auto"/>
                <w:w w:val="97"/>
              </w:rPr>
              <w:t>⁾</w:t>
            </w:r>
          </w:p>
        </w:tc>
        <w:tc>
          <w:tcPr>
            <w:tcW w:w="3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5"/>
              </w:rPr>
              <w:t>Plan Awards</w:t>
            </w:r>
          </w:p>
        </w:tc>
        <w:tc>
          <w:tcPr>
            <w:tcW w:w="9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9"/>
        </w:trPr>
        <w:tc>
          <w:tcPr>
            <w:tcW w:w="9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jc w:val="center"/>
              <w:ind w:right="100"/>
              <w:spacing w:after="0" w:line="119" w:lineRule="exact"/>
              <w:rPr>
                <w:sz w:val="20"/>
                <w:szCs w:val="20"/>
                <w:color w:val="auto"/>
              </w:rPr>
            </w:pPr>
            <w:r>
              <w:rPr>
                <w:rFonts w:ascii="Arial" w:cs="Arial" w:eastAsia="Arial" w:hAnsi="Arial"/>
                <w:sz w:val="13"/>
                <w:szCs w:val="13"/>
                <w:b w:val="1"/>
                <w:bCs w:val="1"/>
                <w:color w:val="auto"/>
              </w:rPr>
              <w:t>All Other</w:t>
            </w: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Grant Date Fair</w:t>
            </w:r>
          </w:p>
        </w:tc>
        <w:tc>
          <w:tcPr>
            <w:tcW w:w="0" w:type="dxa"/>
            <w:vAlign w:val="bottom"/>
          </w:tcPr>
          <w:p>
            <w:pPr>
              <w:spacing w:after="0"/>
              <w:rPr>
                <w:sz w:val="1"/>
                <w:szCs w:val="1"/>
                <w:color w:val="auto"/>
              </w:rPr>
            </w:pPr>
          </w:p>
        </w:tc>
      </w:tr>
      <w:tr>
        <w:trPr>
          <w:trHeight w:val="144"/>
        </w:trPr>
        <w:tc>
          <w:tcPr>
            <w:tcW w:w="9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00"/>
              <w:spacing w:after="0" w:line="144" w:lineRule="exact"/>
              <w:rPr>
                <w:sz w:val="20"/>
                <w:szCs w:val="20"/>
                <w:color w:val="auto"/>
              </w:rPr>
            </w:pPr>
            <w:r>
              <w:rPr>
                <w:rFonts w:ascii="Arial" w:cs="Arial" w:eastAsia="Arial" w:hAnsi="Arial"/>
                <w:sz w:val="14"/>
                <w:szCs w:val="14"/>
                <w:b w:val="1"/>
                <w:bCs w:val="1"/>
                <w:color w:val="auto"/>
                <w:w w:val="90"/>
              </w:rPr>
              <w:t>Stock Awards</w:t>
            </w: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6"/>
              </w:rPr>
              <w:t>Date of CNG</w:t>
            </w: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Number of</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Value of Stock</w:t>
            </w:r>
          </w:p>
        </w:tc>
        <w:tc>
          <w:tcPr>
            <w:tcW w:w="0" w:type="dxa"/>
            <w:vAlign w:val="bottom"/>
          </w:tcPr>
          <w:p>
            <w:pPr>
              <w:spacing w:after="0"/>
              <w:rPr>
                <w:sz w:val="1"/>
                <w:szCs w:val="1"/>
                <w:color w:val="auto"/>
              </w:rPr>
            </w:pPr>
          </w:p>
        </w:tc>
      </w:tr>
      <w:tr>
        <w:trPr>
          <w:trHeight w:val="139"/>
        </w:trPr>
        <w:tc>
          <w:tcPr>
            <w:tcW w:w="9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 and</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Target</w:t>
            </w: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00"/>
              <w:spacing w:after="0" w:line="139" w:lineRule="exact"/>
              <w:rPr>
                <w:sz w:val="20"/>
                <w:szCs w:val="20"/>
                <w:color w:val="auto"/>
              </w:rPr>
            </w:pPr>
            <w:r>
              <w:rPr>
                <w:rFonts w:ascii="Arial" w:cs="Arial" w:eastAsia="Arial" w:hAnsi="Arial"/>
                <w:sz w:val="14"/>
                <w:szCs w:val="14"/>
                <w:b w:val="1"/>
                <w:bCs w:val="1"/>
                <w:color w:val="auto"/>
                <w:w w:val="87"/>
              </w:rPr>
              <w:t>Shares of</w:t>
            </w:r>
          </w:p>
        </w:tc>
        <w:tc>
          <w:tcPr>
            <w:tcW w:w="106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88"/>
              </w:rPr>
              <w:t>and</w:t>
            </w:r>
          </w:p>
        </w:tc>
        <w:tc>
          <w:tcPr>
            <w:tcW w:w="0" w:type="dxa"/>
            <w:vAlign w:val="bottom"/>
          </w:tcPr>
          <w:p>
            <w:pPr>
              <w:spacing w:after="0"/>
              <w:rPr>
                <w:sz w:val="1"/>
                <w:szCs w:val="1"/>
                <w:color w:val="auto"/>
              </w:rPr>
            </w:pPr>
          </w:p>
        </w:tc>
      </w:tr>
      <w:tr>
        <w:trPr>
          <w:trHeight w:val="144"/>
        </w:trPr>
        <w:tc>
          <w:tcPr>
            <w:tcW w:w="920" w:type="dxa"/>
            <w:vAlign w:val="bottom"/>
            <w:vMerge w:val="continue"/>
          </w:tcPr>
          <w:p>
            <w:pPr>
              <w:spacing w:after="0"/>
              <w:rPr>
                <w:sz w:val="12"/>
                <w:szCs w:val="12"/>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Grant Date</w:t>
            </w:r>
          </w:p>
        </w:tc>
        <w:tc>
          <w:tcPr>
            <w:tcW w:w="110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93"/>
              </w:rPr>
              <w:t>Committee</w:t>
            </w:r>
          </w:p>
        </w:tc>
        <w:tc>
          <w:tcPr>
            <w:tcW w:w="10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Threshold ($)</w:t>
            </w:r>
          </w:p>
        </w:tc>
        <w:tc>
          <w:tcPr>
            <w:tcW w:w="1080" w:type="dxa"/>
            <w:vAlign w:val="bottom"/>
            <w:gridSpan w:val="2"/>
            <w:vMerge w:val="continue"/>
          </w:tcPr>
          <w:p>
            <w:pPr>
              <w:spacing w:after="0"/>
              <w:rPr>
                <w:sz w:val="12"/>
                <w:szCs w:val="12"/>
                <w:color w:val="auto"/>
              </w:rPr>
            </w:pPr>
          </w:p>
        </w:tc>
        <w:tc>
          <w:tcPr>
            <w:tcW w:w="11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Maximum ($)</w:t>
            </w:r>
          </w:p>
        </w:tc>
        <w:tc>
          <w:tcPr>
            <w:tcW w:w="10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Threshold (#)</w:t>
            </w:r>
          </w:p>
        </w:tc>
        <w:tc>
          <w:tcPr>
            <w:tcW w:w="8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3"/>
              </w:rPr>
              <w:t>Target (#)</w:t>
            </w:r>
          </w:p>
        </w:tc>
        <w:tc>
          <w:tcPr>
            <w:tcW w:w="10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Maximum (#)</w:t>
            </w:r>
          </w:p>
        </w:tc>
        <w:tc>
          <w:tcPr>
            <w:tcW w:w="1020" w:type="dxa"/>
            <w:vAlign w:val="bottom"/>
            <w:gridSpan w:val="2"/>
          </w:tcPr>
          <w:p>
            <w:pPr>
              <w:jc w:val="right"/>
              <w:ind w:right="120"/>
              <w:spacing w:after="0" w:line="145" w:lineRule="exact"/>
              <w:rPr>
                <w:sz w:val="20"/>
                <w:szCs w:val="20"/>
                <w:color w:val="auto"/>
              </w:rPr>
            </w:pPr>
            <w:r>
              <w:rPr>
                <w:rFonts w:ascii="Arial" w:cs="Arial" w:eastAsia="Arial" w:hAnsi="Arial"/>
                <w:sz w:val="14"/>
                <w:szCs w:val="14"/>
                <w:b w:val="1"/>
                <w:bCs w:val="1"/>
                <w:color w:val="auto"/>
                <w:w w:val="92"/>
              </w:rPr>
              <w:t>Stock or Units</w:t>
            </w:r>
          </w:p>
        </w:tc>
        <w:tc>
          <w:tcPr>
            <w:tcW w:w="10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4"/>
              </w:rPr>
              <w:t>Option Awards</w:t>
            </w:r>
          </w:p>
        </w:tc>
        <w:tc>
          <w:tcPr>
            <w:tcW w:w="0" w:type="dxa"/>
            <w:vAlign w:val="bottom"/>
          </w:tcPr>
          <w:p>
            <w:pPr>
              <w:spacing w:after="0"/>
              <w:rPr>
                <w:sz w:val="1"/>
                <w:szCs w:val="1"/>
                <w:color w:val="auto"/>
              </w:rPr>
            </w:pPr>
          </w:p>
        </w:tc>
      </w:tr>
      <w:tr>
        <w:trPr>
          <w:trHeight w:val="203"/>
        </w:trPr>
        <w:tc>
          <w:tcPr>
            <w:tcW w:w="920" w:type="dxa"/>
            <w:vAlign w:val="bottom"/>
          </w:tcPr>
          <w:p>
            <w:pPr>
              <w:ind w:left="20"/>
              <w:spacing w:after="0"/>
              <w:rPr>
                <w:sz w:val="20"/>
                <w:szCs w:val="20"/>
                <w:color w:val="auto"/>
              </w:rPr>
            </w:pPr>
            <w:r>
              <w:rPr>
                <w:rFonts w:ascii="Arial" w:cs="Arial" w:eastAsia="Arial" w:hAnsi="Arial"/>
                <w:sz w:val="14"/>
                <w:szCs w:val="14"/>
                <w:b w:val="1"/>
                <w:bCs w:val="1"/>
                <w:color w:val="auto"/>
              </w:rPr>
              <w:t>Award Type</w:t>
            </w:r>
          </w:p>
        </w:tc>
        <w:tc>
          <w:tcPr>
            <w:tcW w:w="860" w:type="dxa"/>
            <w:vAlign w:val="bottom"/>
            <w:gridSpan w:val="2"/>
            <w:vMerge w:val="continue"/>
          </w:tcPr>
          <w:p>
            <w:pPr>
              <w:spacing w:after="0"/>
              <w:rPr>
                <w:sz w:val="17"/>
                <w:szCs w:val="17"/>
                <w:color w:val="auto"/>
              </w:rPr>
            </w:pPr>
          </w:p>
        </w:tc>
        <w:tc>
          <w:tcPr>
            <w:tcW w:w="11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Approval</w:t>
            </w:r>
          </w:p>
        </w:tc>
        <w:tc>
          <w:tcPr>
            <w:tcW w:w="1060" w:type="dxa"/>
            <w:vAlign w:val="bottom"/>
            <w:gridSpan w:val="2"/>
            <w:vMerge w:val="continue"/>
          </w:tcPr>
          <w:p>
            <w:pPr>
              <w:spacing w:after="0"/>
              <w:rPr>
                <w:sz w:val="17"/>
                <w:szCs w:val="17"/>
                <w:color w:val="auto"/>
              </w:rPr>
            </w:pPr>
          </w:p>
        </w:tc>
        <w:tc>
          <w:tcPr>
            <w:tcW w:w="980" w:type="dxa"/>
            <w:vAlign w:val="bottom"/>
          </w:tcPr>
          <w:p>
            <w:pPr>
              <w:jc w:val="right"/>
              <w:ind w:right="32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1120" w:type="dxa"/>
            <w:vAlign w:val="bottom"/>
            <w:gridSpan w:val="3"/>
            <w:vMerge w:val="continue"/>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7"/>
                <w:szCs w:val="17"/>
                <w:color w:val="auto"/>
              </w:rPr>
            </w:pPr>
          </w:p>
        </w:tc>
        <w:tc>
          <w:tcPr>
            <w:tcW w:w="1060" w:type="dxa"/>
            <w:vAlign w:val="bottom"/>
          </w:tcPr>
          <w:p>
            <w:pPr>
              <w:jc w:val="center"/>
              <w:spacing w:after="0" w:line="161" w:lineRule="exact"/>
              <w:rPr>
                <w:sz w:val="20"/>
                <w:szCs w:val="20"/>
                <w:color w:val="auto"/>
              </w:rPr>
            </w:pPr>
            <w:r>
              <w:rPr>
                <w:rFonts w:ascii="Arial" w:cs="Arial" w:eastAsia="Arial" w:hAnsi="Arial"/>
                <w:sz w:val="14"/>
                <w:szCs w:val="14"/>
                <w:b w:val="1"/>
                <w:bCs w:val="1"/>
                <w:color w:val="auto"/>
              </w:rPr>
              <w:t>($)</w:t>
            </w:r>
            <w:r>
              <w:rPr>
                <w:rFonts w:ascii="MS PGothic" w:cs="MS PGothic" w:eastAsia="MS PGothic" w:hAnsi="MS PGothic"/>
                <w:sz w:val="14"/>
                <w:szCs w:val="14"/>
                <w:color w:val="auto"/>
              </w:rPr>
              <w:t>⁽</w:t>
            </w:r>
            <w:r>
              <w:rPr>
                <w:rFonts w:ascii="Arial" w:cs="Arial" w:eastAsia="Arial" w:hAnsi="Arial"/>
                <w:sz w:val="14"/>
                <w:szCs w:val="14"/>
                <w:b w:val="1"/>
                <w:bCs w:val="1"/>
                <w:color w:val="auto"/>
              </w:rPr>
              <w:t>²</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176"/>
        </w:trPr>
        <w:tc>
          <w:tcPr>
            <w:tcW w:w="9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98"/>
              </w:rPr>
              <w:t>Lance Mitchell</w:t>
            </w:r>
          </w:p>
        </w:tc>
        <w:tc>
          <w:tcPr>
            <w:tcW w:w="76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98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98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380" w:type="dxa"/>
            <w:vAlign w:val="bottom"/>
            <w:tcBorders>
              <w:top w:val="single" w:sz="8" w:color="auto"/>
              <w:bottom w:val="single" w:sz="8" w:color="CCEEFF"/>
            </w:tcBorders>
            <w:shd w:val="clear" w:color="auto" w:fill="CCEEFF"/>
          </w:tcPr>
          <w:p>
            <w:pPr>
              <w:spacing w:after="0"/>
              <w:rPr>
                <w:sz w:val="15"/>
                <w:szCs w:val="15"/>
                <w:color w:val="auto"/>
              </w:rPr>
            </w:pPr>
          </w:p>
        </w:tc>
        <w:tc>
          <w:tcPr>
            <w:tcW w:w="64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96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78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98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92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60" w:type="dxa"/>
            <w:vAlign w:val="bottom"/>
            <w:tcBorders>
              <w:top w:val="single" w:sz="8" w:color="auto"/>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920" w:type="dxa"/>
            <w:vAlign w:val="bottom"/>
          </w:tcPr>
          <w:p>
            <w:pPr>
              <w:ind w:left="20"/>
              <w:spacing w:after="0"/>
              <w:rPr>
                <w:sz w:val="20"/>
                <w:szCs w:val="20"/>
                <w:color w:val="auto"/>
              </w:rPr>
            </w:pPr>
            <w:r>
              <w:rPr>
                <w:rFonts w:ascii="Arial" w:cs="Arial" w:eastAsia="Arial" w:hAnsi="Arial"/>
                <w:sz w:val="14"/>
                <w:szCs w:val="14"/>
                <w:i w:val="1"/>
                <w:iCs w:val="1"/>
                <w:color w:val="auto"/>
              </w:rPr>
              <w:t>2022 AIP</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445,625</w:t>
            </w:r>
          </w:p>
        </w:tc>
        <w:tc>
          <w:tcPr>
            <w:tcW w:w="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1,782,500</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96"/>
              </w:rPr>
              <w:t>3,565,000</w:t>
            </w: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i w:val="1"/>
                <w:iCs w:val="1"/>
                <w:color w:val="auto"/>
              </w:rPr>
              <w:t>RSUs</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2/1/2022</w:t>
            </w:r>
          </w:p>
        </w:tc>
        <w:tc>
          <w:tcPr>
            <w:tcW w:w="1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1/25/2022</w:t>
            </w: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64,433</w:t>
            </w:r>
          </w:p>
        </w:tc>
        <w:tc>
          <w:tcPr>
            <w:tcW w:w="1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1,937,500</w:t>
            </w:r>
          </w:p>
        </w:tc>
        <w:tc>
          <w:tcPr>
            <w:tcW w:w="0" w:type="dxa"/>
            <w:vAlign w:val="bottom"/>
          </w:tcPr>
          <w:p>
            <w:pPr>
              <w:spacing w:after="0"/>
              <w:rPr>
                <w:sz w:val="1"/>
                <w:szCs w:val="1"/>
                <w:color w:val="auto"/>
              </w:rPr>
            </w:pPr>
          </w:p>
        </w:tc>
      </w:tr>
      <w:tr>
        <w:trPr>
          <w:trHeight w:val="182"/>
        </w:trPr>
        <w:tc>
          <w:tcPr>
            <w:tcW w:w="920" w:type="dxa"/>
            <w:vAlign w:val="bottom"/>
          </w:tcPr>
          <w:p>
            <w:pPr>
              <w:ind w:left="20"/>
              <w:spacing w:after="0"/>
              <w:rPr>
                <w:sz w:val="20"/>
                <w:szCs w:val="20"/>
                <w:color w:val="auto"/>
              </w:rPr>
            </w:pPr>
            <w:r>
              <w:rPr>
                <w:rFonts w:ascii="Arial" w:cs="Arial" w:eastAsia="Arial" w:hAnsi="Arial"/>
                <w:sz w:val="14"/>
                <w:szCs w:val="14"/>
                <w:i w:val="1"/>
                <w:iCs w:val="1"/>
                <w:color w:val="auto"/>
              </w:rPr>
              <w:t>PSUs</w:t>
            </w:r>
          </w:p>
        </w:tc>
        <w:tc>
          <w:tcPr>
            <w:tcW w:w="760" w:type="dxa"/>
            <w:vAlign w:val="bottom"/>
          </w:tcPr>
          <w:p>
            <w:pPr>
              <w:jc w:val="right"/>
              <w:spacing w:after="0"/>
              <w:rPr>
                <w:sz w:val="20"/>
                <w:szCs w:val="20"/>
                <w:color w:val="auto"/>
              </w:rPr>
            </w:pPr>
            <w:r>
              <w:rPr>
                <w:rFonts w:ascii="Arial" w:cs="Arial" w:eastAsia="Arial" w:hAnsi="Arial"/>
                <w:sz w:val="14"/>
                <w:szCs w:val="14"/>
                <w:color w:val="auto"/>
              </w:rPr>
              <w:t>2/1/2022</w:t>
            </w: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1/25/2022</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32,217</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64,433</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128,866</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1,937,500</w:t>
            </w:r>
          </w:p>
        </w:tc>
        <w:tc>
          <w:tcPr>
            <w:tcW w:w="0" w:type="dxa"/>
            <w:vAlign w:val="bottom"/>
          </w:tcPr>
          <w:p>
            <w:pPr>
              <w:spacing w:after="0"/>
              <w:rPr>
                <w:sz w:val="1"/>
                <w:szCs w:val="1"/>
                <w:color w:val="auto"/>
              </w:rPr>
            </w:pPr>
          </w:p>
        </w:tc>
      </w:tr>
      <w:tr>
        <w:trPr>
          <w:trHeight w:val="20"/>
        </w:trPr>
        <w:tc>
          <w:tcPr>
            <w:tcW w:w="1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7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Michael Graham</w:t>
            </w:r>
          </w:p>
        </w:tc>
        <w:tc>
          <w:tcPr>
            <w:tcW w:w="10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920" w:type="dxa"/>
            <w:vAlign w:val="bottom"/>
          </w:tcPr>
          <w:p>
            <w:pPr>
              <w:ind w:left="20"/>
              <w:spacing w:after="0"/>
              <w:rPr>
                <w:sz w:val="20"/>
                <w:szCs w:val="20"/>
                <w:color w:val="auto"/>
              </w:rPr>
            </w:pPr>
            <w:r>
              <w:rPr>
                <w:rFonts w:ascii="Arial" w:cs="Arial" w:eastAsia="Arial" w:hAnsi="Arial"/>
                <w:sz w:val="14"/>
                <w:szCs w:val="14"/>
                <w:i w:val="1"/>
                <w:iCs w:val="1"/>
                <w:color w:val="auto"/>
              </w:rPr>
              <w:t>2022 AIP</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123,402</w:t>
            </w:r>
          </w:p>
        </w:tc>
        <w:tc>
          <w:tcPr>
            <w:tcW w:w="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493,607</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987,214</w:t>
            </w: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i w:val="1"/>
                <w:iCs w:val="1"/>
                <w:color w:val="auto"/>
              </w:rPr>
              <w:t>RSUs</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2/1/2022</w:t>
            </w:r>
          </w:p>
        </w:tc>
        <w:tc>
          <w:tcPr>
            <w:tcW w:w="1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1/25/2022</w:t>
            </w: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18,467</w:t>
            </w:r>
          </w:p>
        </w:tc>
        <w:tc>
          <w:tcPr>
            <w:tcW w:w="1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555,303</w:t>
            </w:r>
          </w:p>
        </w:tc>
        <w:tc>
          <w:tcPr>
            <w:tcW w:w="0" w:type="dxa"/>
            <w:vAlign w:val="bottom"/>
          </w:tcPr>
          <w:p>
            <w:pPr>
              <w:spacing w:after="0"/>
              <w:rPr>
                <w:sz w:val="1"/>
                <w:szCs w:val="1"/>
                <w:color w:val="auto"/>
              </w:rPr>
            </w:pPr>
          </w:p>
        </w:tc>
      </w:tr>
      <w:tr>
        <w:trPr>
          <w:trHeight w:val="182"/>
        </w:trPr>
        <w:tc>
          <w:tcPr>
            <w:tcW w:w="920" w:type="dxa"/>
            <w:vAlign w:val="bottom"/>
          </w:tcPr>
          <w:p>
            <w:pPr>
              <w:ind w:left="20"/>
              <w:spacing w:after="0"/>
              <w:rPr>
                <w:sz w:val="20"/>
                <w:szCs w:val="20"/>
                <w:color w:val="auto"/>
              </w:rPr>
            </w:pPr>
            <w:r>
              <w:rPr>
                <w:rFonts w:ascii="Arial" w:cs="Arial" w:eastAsia="Arial" w:hAnsi="Arial"/>
                <w:sz w:val="14"/>
                <w:szCs w:val="14"/>
                <w:i w:val="1"/>
                <w:iCs w:val="1"/>
                <w:color w:val="auto"/>
              </w:rPr>
              <w:t>PSUs</w:t>
            </w:r>
          </w:p>
        </w:tc>
        <w:tc>
          <w:tcPr>
            <w:tcW w:w="760" w:type="dxa"/>
            <w:vAlign w:val="bottom"/>
          </w:tcPr>
          <w:p>
            <w:pPr>
              <w:jc w:val="right"/>
              <w:spacing w:after="0"/>
              <w:rPr>
                <w:sz w:val="20"/>
                <w:szCs w:val="20"/>
                <w:color w:val="auto"/>
              </w:rPr>
            </w:pPr>
            <w:r>
              <w:rPr>
                <w:rFonts w:ascii="Arial" w:cs="Arial" w:eastAsia="Arial" w:hAnsi="Arial"/>
                <w:sz w:val="14"/>
                <w:szCs w:val="14"/>
                <w:color w:val="auto"/>
              </w:rPr>
              <w:t>2/1/2022</w:t>
            </w: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1/25/2022</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9,234</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18,467</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36,934</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555,303</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97"/>
              </w:rPr>
              <w:t>Rachel Bishop</w:t>
            </w:r>
          </w:p>
        </w:tc>
        <w:tc>
          <w:tcPr>
            <w:tcW w:w="7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920" w:type="dxa"/>
            <w:vAlign w:val="bottom"/>
          </w:tcPr>
          <w:p>
            <w:pPr>
              <w:ind w:left="20"/>
              <w:spacing w:after="0"/>
              <w:rPr>
                <w:sz w:val="20"/>
                <w:szCs w:val="20"/>
                <w:color w:val="auto"/>
              </w:rPr>
            </w:pPr>
            <w:r>
              <w:rPr>
                <w:rFonts w:ascii="Arial" w:cs="Arial" w:eastAsia="Arial" w:hAnsi="Arial"/>
                <w:sz w:val="14"/>
                <w:szCs w:val="14"/>
                <w:i w:val="1"/>
                <w:iCs w:val="1"/>
                <w:color w:val="auto"/>
              </w:rPr>
              <w:t>2022 AIP</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85,313</w:t>
            </w:r>
          </w:p>
        </w:tc>
        <w:tc>
          <w:tcPr>
            <w:tcW w:w="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341,250</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682,500</w:t>
            </w: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i w:val="1"/>
                <w:iCs w:val="1"/>
                <w:color w:val="auto"/>
              </w:rPr>
              <w:t>RSUs</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2/1/2022</w:t>
            </w:r>
          </w:p>
        </w:tc>
        <w:tc>
          <w:tcPr>
            <w:tcW w:w="1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1/25/2022</w:t>
            </w: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11,785</w:t>
            </w:r>
          </w:p>
        </w:tc>
        <w:tc>
          <w:tcPr>
            <w:tcW w:w="1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354,375</w:t>
            </w:r>
          </w:p>
        </w:tc>
        <w:tc>
          <w:tcPr>
            <w:tcW w:w="0" w:type="dxa"/>
            <w:vAlign w:val="bottom"/>
          </w:tcPr>
          <w:p>
            <w:pPr>
              <w:spacing w:after="0"/>
              <w:rPr>
                <w:sz w:val="1"/>
                <w:szCs w:val="1"/>
                <w:color w:val="auto"/>
              </w:rPr>
            </w:pPr>
          </w:p>
        </w:tc>
      </w:tr>
      <w:tr>
        <w:trPr>
          <w:trHeight w:val="182"/>
        </w:trPr>
        <w:tc>
          <w:tcPr>
            <w:tcW w:w="920" w:type="dxa"/>
            <w:vAlign w:val="bottom"/>
          </w:tcPr>
          <w:p>
            <w:pPr>
              <w:ind w:left="20"/>
              <w:spacing w:after="0"/>
              <w:rPr>
                <w:sz w:val="20"/>
                <w:szCs w:val="20"/>
                <w:color w:val="auto"/>
              </w:rPr>
            </w:pPr>
            <w:r>
              <w:rPr>
                <w:rFonts w:ascii="Arial" w:cs="Arial" w:eastAsia="Arial" w:hAnsi="Arial"/>
                <w:sz w:val="14"/>
                <w:szCs w:val="14"/>
                <w:i w:val="1"/>
                <w:iCs w:val="1"/>
                <w:color w:val="auto"/>
              </w:rPr>
              <w:t>PSUs</w:t>
            </w:r>
          </w:p>
        </w:tc>
        <w:tc>
          <w:tcPr>
            <w:tcW w:w="760" w:type="dxa"/>
            <w:vAlign w:val="bottom"/>
          </w:tcPr>
          <w:p>
            <w:pPr>
              <w:jc w:val="right"/>
              <w:spacing w:after="0"/>
              <w:rPr>
                <w:sz w:val="20"/>
                <w:szCs w:val="20"/>
                <w:color w:val="auto"/>
              </w:rPr>
            </w:pPr>
            <w:r>
              <w:rPr>
                <w:rFonts w:ascii="Arial" w:cs="Arial" w:eastAsia="Arial" w:hAnsi="Arial"/>
                <w:sz w:val="14"/>
                <w:szCs w:val="14"/>
                <w:color w:val="auto"/>
              </w:rPr>
              <w:t>2/1/2022</w:t>
            </w: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1/25/2022</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5,893</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11,785</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23,570</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354,375</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94"/>
              </w:rPr>
              <w:t>Judith Buckner</w:t>
            </w:r>
          </w:p>
        </w:tc>
        <w:tc>
          <w:tcPr>
            <w:tcW w:w="7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920" w:type="dxa"/>
            <w:vAlign w:val="bottom"/>
          </w:tcPr>
          <w:p>
            <w:pPr>
              <w:ind w:left="20"/>
              <w:spacing w:after="0"/>
              <w:rPr>
                <w:sz w:val="20"/>
                <w:szCs w:val="20"/>
                <w:color w:val="auto"/>
              </w:rPr>
            </w:pPr>
            <w:r>
              <w:rPr>
                <w:rFonts w:ascii="Arial" w:cs="Arial" w:eastAsia="Arial" w:hAnsi="Arial"/>
                <w:sz w:val="14"/>
                <w:szCs w:val="14"/>
                <w:i w:val="1"/>
                <w:iCs w:val="1"/>
                <w:color w:val="auto"/>
              </w:rPr>
              <w:t>2022 AIP</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77,188</w:t>
            </w:r>
          </w:p>
        </w:tc>
        <w:tc>
          <w:tcPr>
            <w:tcW w:w="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308,750</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617,500</w:t>
            </w: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i w:val="1"/>
                <w:iCs w:val="1"/>
                <w:color w:val="auto"/>
              </w:rPr>
              <w:t>RSUs</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2/1/2022</w:t>
            </w:r>
          </w:p>
        </w:tc>
        <w:tc>
          <w:tcPr>
            <w:tcW w:w="1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1/25/2022</w:t>
            </w: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10,663</w:t>
            </w:r>
          </w:p>
        </w:tc>
        <w:tc>
          <w:tcPr>
            <w:tcW w:w="1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320,636</w:t>
            </w:r>
          </w:p>
        </w:tc>
        <w:tc>
          <w:tcPr>
            <w:tcW w:w="0" w:type="dxa"/>
            <w:vAlign w:val="bottom"/>
          </w:tcPr>
          <w:p>
            <w:pPr>
              <w:spacing w:after="0"/>
              <w:rPr>
                <w:sz w:val="1"/>
                <w:szCs w:val="1"/>
                <w:color w:val="auto"/>
              </w:rPr>
            </w:pPr>
          </w:p>
        </w:tc>
      </w:tr>
      <w:tr>
        <w:trPr>
          <w:trHeight w:val="182"/>
        </w:trPr>
        <w:tc>
          <w:tcPr>
            <w:tcW w:w="920" w:type="dxa"/>
            <w:vAlign w:val="bottom"/>
          </w:tcPr>
          <w:p>
            <w:pPr>
              <w:ind w:left="20"/>
              <w:spacing w:after="0"/>
              <w:rPr>
                <w:sz w:val="20"/>
                <w:szCs w:val="20"/>
                <w:color w:val="auto"/>
              </w:rPr>
            </w:pPr>
            <w:r>
              <w:rPr>
                <w:rFonts w:ascii="Arial" w:cs="Arial" w:eastAsia="Arial" w:hAnsi="Arial"/>
                <w:sz w:val="14"/>
                <w:szCs w:val="14"/>
                <w:i w:val="1"/>
                <w:iCs w:val="1"/>
                <w:color w:val="auto"/>
              </w:rPr>
              <w:t>PSUs</w:t>
            </w:r>
          </w:p>
        </w:tc>
        <w:tc>
          <w:tcPr>
            <w:tcW w:w="760" w:type="dxa"/>
            <w:vAlign w:val="bottom"/>
          </w:tcPr>
          <w:p>
            <w:pPr>
              <w:jc w:val="right"/>
              <w:spacing w:after="0"/>
              <w:rPr>
                <w:sz w:val="20"/>
                <w:szCs w:val="20"/>
                <w:color w:val="auto"/>
              </w:rPr>
            </w:pPr>
            <w:r>
              <w:rPr>
                <w:rFonts w:ascii="Arial" w:cs="Arial" w:eastAsia="Arial" w:hAnsi="Arial"/>
                <w:sz w:val="14"/>
                <w:szCs w:val="14"/>
                <w:color w:val="auto"/>
              </w:rPr>
              <w:t>2/1/2022</w:t>
            </w: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1/25/2022</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5,331</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10,662</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21,324</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320,606</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Lisa Smith</w:t>
            </w:r>
          </w:p>
        </w:tc>
        <w:tc>
          <w:tcPr>
            <w:tcW w:w="7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920" w:type="dxa"/>
            <w:vAlign w:val="bottom"/>
          </w:tcPr>
          <w:p>
            <w:pPr>
              <w:ind w:left="20"/>
              <w:spacing w:after="0"/>
              <w:rPr>
                <w:sz w:val="20"/>
                <w:szCs w:val="20"/>
                <w:color w:val="auto"/>
              </w:rPr>
            </w:pPr>
            <w:r>
              <w:rPr>
                <w:rFonts w:ascii="Arial" w:cs="Arial" w:eastAsia="Arial" w:hAnsi="Arial"/>
                <w:sz w:val="14"/>
                <w:szCs w:val="14"/>
                <w:i w:val="1"/>
                <w:iCs w:val="1"/>
                <w:color w:val="auto"/>
              </w:rPr>
              <w:t>2022 AIP</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77,188</w:t>
            </w:r>
          </w:p>
        </w:tc>
        <w:tc>
          <w:tcPr>
            <w:tcW w:w="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308,750</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617,500</w:t>
            </w: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i w:val="1"/>
                <w:iCs w:val="1"/>
                <w:color w:val="auto"/>
              </w:rPr>
              <w:t>RSUs</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2/1/2022</w:t>
            </w:r>
          </w:p>
        </w:tc>
        <w:tc>
          <w:tcPr>
            <w:tcW w:w="1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1/25/2022</w:t>
            </w: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10,663</w:t>
            </w:r>
          </w:p>
        </w:tc>
        <w:tc>
          <w:tcPr>
            <w:tcW w:w="1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320,636</w:t>
            </w:r>
          </w:p>
        </w:tc>
        <w:tc>
          <w:tcPr>
            <w:tcW w:w="0" w:type="dxa"/>
            <w:vAlign w:val="bottom"/>
          </w:tcPr>
          <w:p>
            <w:pPr>
              <w:spacing w:after="0"/>
              <w:rPr>
                <w:sz w:val="1"/>
                <w:szCs w:val="1"/>
                <w:color w:val="auto"/>
              </w:rPr>
            </w:pPr>
          </w:p>
        </w:tc>
      </w:tr>
      <w:tr>
        <w:trPr>
          <w:trHeight w:val="182"/>
        </w:trPr>
        <w:tc>
          <w:tcPr>
            <w:tcW w:w="920" w:type="dxa"/>
            <w:vAlign w:val="bottom"/>
          </w:tcPr>
          <w:p>
            <w:pPr>
              <w:ind w:left="20"/>
              <w:spacing w:after="0"/>
              <w:rPr>
                <w:sz w:val="20"/>
                <w:szCs w:val="20"/>
                <w:color w:val="auto"/>
              </w:rPr>
            </w:pPr>
            <w:r>
              <w:rPr>
                <w:rFonts w:ascii="Arial" w:cs="Arial" w:eastAsia="Arial" w:hAnsi="Arial"/>
                <w:sz w:val="14"/>
                <w:szCs w:val="14"/>
                <w:i w:val="1"/>
                <w:iCs w:val="1"/>
                <w:color w:val="auto"/>
              </w:rPr>
              <w:t>PSUs</w:t>
            </w:r>
          </w:p>
        </w:tc>
        <w:tc>
          <w:tcPr>
            <w:tcW w:w="760" w:type="dxa"/>
            <w:vAlign w:val="bottom"/>
          </w:tcPr>
          <w:p>
            <w:pPr>
              <w:jc w:val="right"/>
              <w:spacing w:after="0"/>
              <w:rPr>
                <w:sz w:val="20"/>
                <w:szCs w:val="20"/>
                <w:color w:val="auto"/>
              </w:rPr>
            </w:pPr>
            <w:r>
              <w:rPr>
                <w:rFonts w:ascii="Arial" w:cs="Arial" w:eastAsia="Arial" w:hAnsi="Arial"/>
                <w:sz w:val="14"/>
                <w:szCs w:val="14"/>
                <w:color w:val="auto"/>
              </w:rPr>
              <w:t>2/1/2022</w:t>
            </w: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1/25/2022</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5,331</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10,662</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21,324</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320,606</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Craig Cappel</w:t>
            </w:r>
          </w:p>
        </w:tc>
        <w:tc>
          <w:tcPr>
            <w:tcW w:w="7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920" w:type="dxa"/>
            <w:vAlign w:val="bottom"/>
          </w:tcPr>
          <w:p>
            <w:pPr>
              <w:ind w:left="20"/>
              <w:spacing w:after="0"/>
              <w:rPr>
                <w:sz w:val="20"/>
                <w:szCs w:val="20"/>
                <w:color w:val="auto"/>
              </w:rPr>
            </w:pPr>
            <w:r>
              <w:rPr>
                <w:rFonts w:ascii="Arial" w:cs="Arial" w:eastAsia="Arial" w:hAnsi="Arial"/>
                <w:sz w:val="14"/>
                <w:szCs w:val="14"/>
                <w:i w:val="1"/>
                <w:iCs w:val="1"/>
                <w:color w:val="auto"/>
              </w:rPr>
              <w:t>2022 AIP</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85,313</w:t>
            </w:r>
          </w:p>
        </w:tc>
        <w:tc>
          <w:tcPr>
            <w:tcW w:w="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341,250</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682,500</w:t>
            </w: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i w:val="1"/>
                <w:iCs w:val="1"/>
                <w:color w:val="auto"/>
              </w:rPr>
              <w:t>RSUs</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2/1/2022</w:t>
            </w:r>
          </w:p>
        </w:tc>
        <w:tc>
          <w:tcPr>
            <w:tcW w:w="1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1/25/2022</w:t>
            </w: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11,785</w:t>
            </w:r>
          </w:p>
        </w:tc>
        <w:tc>
          <w:tcPr>
            <w:tcW w:w="1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354,375</w:t>
            </w:r>
          </w:p>
        </w:tc>
        <w:tc>
          <w:tcPr>
            <w:tcW w:w="0" w:type="dxa"/>
            <w:vAlign w:val="bottom"/>
          </w:tcPr>
          <w:p>
            <w:pPr>
              <w:spacing w:after="0"/>
              <w:rPr>
                <w:sz w:val="1"/>
                <w:szCs w:val="1"/>
                <w:color w:val="auto"/>
              </w:rPr>
            </w:pPr>
          </w:p>
        </w:tc>
      </w:tr>
      <w:tr>
        <w:trPr>
          <w:trHeight w:val="182"/>
        </w:trPr>
        <w:tc>
          <w:tcPr>
            <w:tcW w:w="920" w:type="dxa"/>
            <w:vAlign w:val="bottom"/>
          </w:tcPr>
          <w:p>
            <w:pPr>
              <w:ind w:left="20"/>
              <w:spacing w:after="0"/>
              <w:rPr>
                <w:sz w:val="20"/>
                <w:szCs w:val="20"/>
                <w:color w:val="auto"/>
              </w:rPr>
            </w:pPr>
            <w:r>
              <w:rPr>
                <w:rFonts w:ascii="Arial" w:cs="Arial" w:eastAsia="Arial" w:hAnsi="Arial"/>
                <w:sz w:val="14"/>
                <w:szCs w:val="14"/>
                <w:i w:val="1"/>
                <w:iCs w:val="1"/>
                <w:color w:val="auto"/>
              </w:rPr>
              <w:t>PSUs</w:t>
            </w:r>
          </w:p>
        </w:tc>
        <w:tc>
          <w:tcPr>
            <w:tcW w:w="760" w:type="dxa"/>
            <w:vAlign w:val="bottom"/>
          </w:tcPr>
          <w:p>
            <w:pPr>
              <w:jc w:val="right"/>
              <w:spacing w:after="0"/>
              <w:rPr>
                <w:sz w:val="20"/>
                <w:szCs w:val="20"/>
                <w:color w:val="auto"/>
              </w:rPr>
            </w:pPr>
            <w:r>
              <w:rPr>
                <w:rFonts w:ascii="Arial" w:cs="Arial" w:eastAsia="Arial" w:hAnsi="Arial"/>
                <w:sz w:val="14"/>
                <w:szCs w:val="14"/>
                <w:color w:val="auto"/>
              </w:rPr>
              <w:t>2/1/2022</w:t>
            </w: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1/25/2022</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5,893</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11,785</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23,570</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354,375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3035935</wp:posOffset>
            </wp:positionH>
            <wp:positionV relativeFrom="paragraph">
              <wp:posOffset>-3792220</wp:posOffset>
            </wp:positionV>
            <wp:extent cx="94615" cy="749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94615" cy="74930"/>
                    </a:xfrm>
                    <a:prstGeom prst="rect">
                      <a:avLst/>
                    </a:prstGeom>
                    <a:noFill/>
                  </pic:spPr>
                </pic:pic>
              </a:graphicData>
            </a:graphic>
          </wp:anchor>
        </w:drawing>
        <w:drawing>
          <wp:anchor simplePos="0" relativeHeight="251657728" behindDoc="1" locked="0" layoutInCell="0" allowOverlap="1">
            <wp:simplePos x="0" y="0"/>
            <wp:positionH relativeFrom="column">
              <wp:posOffset>6804660</wp:posOffset>
            </wp:positionH>
            <wp:positionV relativeFrom="paragraph">
              <wp:posOffset>-3200400</wp:posOffset>
            </wp:positionV>
            <wp:extent cx="94615" cy="749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94615" cy="74930"/>
                    </a:xfrm>
                    <a:prstGeom prst="rect">
                      <a:avLst/>
                    </a:prstGeom>
                    <a:noFill/>
                  </pic:spPr>
                </pic:pic>
              </a:graphicData>
            </a:graphic>
          </wp:anchor>
        </w:drawing>
      </w:r>
    </w:p>
    <w:p>
      <w:pPr>
        <w:spacing w:after="0" w:line="328" w:lineRule="exact"/>
        <w:rPr>
          <w:sz w:val="20"/>
          <w:szCs w:val="20"/>
          <w:color w:val="auto"/>
        </w:rPr>
      </w:pPr>
    </w:p>
    <w:p>
      <w:pPr>
        <w:ind w:left="340" w:right="20" w:hanging="332"/>
        <w:spacing w:after="0" w:line="275" w:lineRule="auto"/>
        <w:tabs>
          <w:tab w:leader="none" w:pos="3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Amounts shown in this column represent the potential cash payout amounts under the 2022 AIP. The actual cash payout amounts under the 2022 AIP are disclosed in the Summary Compensation Table in the “Non-Equity Incentive Plan Compensation” column.</w:t>
      </w:r>
    </w:p>
    <w:p>
      <w:pPr>
        <w:spacing w:after="0" w:line="199" w:lineRule="exact"/>
        <w:rPr>
          <w:rFonts w:ascii="Arial" w:cs="Arial" w:eastAsia="Arial" w:hAnsi="Arial"/>
          <w:sz w:val="16"/>
          <w:szCs w:val="16"/>
          <w:color w:val="auto"/>
        </w:rPr>
      </w:pPr>
    </w:p>
    <w:p>
      <w:pPr>
        <w:ind w:left="340" w:hanging="332"/>
        <w:spacing w:after="0" w:line="293" w:lineRule="auto"/>
        <w:tabs>
          <w:tab w:leader="none" w:pos="3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Amounts represent the grant date fair value of the awards determined in accordance with FASB ASC Topic 718. Amounts related to PSUs represent the value at the grant date based upon the probable outcome of the performance conditions</w:t>
      </w:r>
      <w:r>
        <w:rPr>
          <w:rFonts w:ascii="Arial" w:cs="Arial" w:eastAsia="Arial" w:hAnsi="Arial"/>
          <w:sz w:val="16"/>
          <w:szCs w:val="16"/>
          <w:i w:val="1"/>
          <w:i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4F81B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2022 FISCAL YEAR-END</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sets forth certain information regarding equity awards that have been granted to our named executive officers and that were outstanding as of December 31, 2022:</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740" w:type="dxa"/>
            <w:vAlign w:val="bottom"/>
            <w:gridSpan w:val="2"/>
          </w:tcPr>
          <w:p>
            <w:pPr>
              <w:jc w:val="center"/>
              <w:ind w:left="688"/>
              <w:spacing w:after="0"/>
              <w:rPr>
                <w:sz w:val="20"/>
                <w:szCs w:val="20"/>
                <w:color w:val="auto"/>
              </w:rPr>
            </w:pPr>
            <w:r>
              <w:rPr>
                <w:rFonts w:ascii="Arial" w:cs="Arial" w:eastAsia="Arial" w:hAnsi="Arial"/>
                <w:sz w:val="14"/>
                <w:szCs w:val="14"/>
                <w:b w:val="1"/>
                <w:bCs w:val="1"/>
                <w:color w:val="auto"/>
                <w:w w:val="89"/>
              </w:rPr>
              <w:t>Stock</w:t>
            </w:r>
          </w:p>
        </w:tc>
        <w:tc>
          <w:tcPr>
            <w:tcW w:w="1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740" w:type="dxa"/>
            <w:vAlign w:val="bottom"/>
            <w:gridSpan w:val="2"/>
          </w:tcPr>
          <w:p>
            <w:pPr>
              <w:jc w:val="center"/>
              <w:ind w:left="688"/>
              <w:spacing w:after="0"/>
              <w:rPr>
                <w:sz w:val="20"/>
                <w:szCs w:val="20"/>
                <w:color w:val="auto"/>
              </w:rPr>
            </w:pPr>
            <w:r>
              <w:rPr>
                <w:rFonts w:ascii="Arial" w:cs="Arial" w:eastAsia="Arial" w:hAnsi="Arial"/>
                <w:sz w:val="14"/>
                <w:szCs w:val="14"/>
                <w:b w:val="1"/>
                <w:bCs w:val="1"/>
                <w:color w:val="auto"/>
                <w:w w:val="90"/>
              </w:rPr>
              <w:t>Awards</w:t>
            </w:r>
          </w:p>
        </w:tc>
        <w:tc>
          <w:tcPr>
            <w:tcW w:w="17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2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Equity Incentive Plan</w:t>
            </w:r>
          </w:p>
        </w:tc>
        <w:tc>
          <w:tcPr>
            <w:tcW w:w="620" w:type="dxa"/>
            <w:vAlign w:val="bottom"/>
          </w:tcPr>
          <w:p>
            <w:pPr>
              <w:spacing w:after="0"/>
              <w:rPr>
                <w:sz w:val="13"/>
                <w:szCs w:val="13"/>
                <w:color w:val="auto"/>
              </w:rPr>
            </w:pPr>
          </w:p>
        </w:tc>
        <w:tc>
          <w:tcPr>
            <w:tcW w:w="1720" w:type="dxa"/>
            <w:vAlign w:val="bottom"/>
          </w:tcPr>
          <w:p>
            <w:pPr>
              <w:jc w:val="center"/>
              <w:ind w:right="68"/>
              <w:spacing w:after="0" w:line="151" w:lineRule="exact"/>
              <w:rPr>
                <w:sz w:val="20"/>
                <w:szCs w:val="20"/>
                <w:color w:val="auto"/>
              </w:rPr>
            </w:pPr>
            <w:r>
              <w:rPr>
                <w:rFonts w:ascii="Arial" w:cs="Arial" w:eastAsia="Arial" w:hAnsi="Arial"/>
                <w:sz w:val="14"/>
                <w:szCs w:val="14"/>
                <w:b w:val="1"/>
                <w:bCs w:val="1"/>
                <w:color w:val="auto"/>
                <w:w w:val="95"/>
              </w:rPr>
              <w:t>Equity Incentive Plan</w:t>
            </w:r>
          </w:p>
        </w:tc>
        <w:tc>
          <w:tcPr>
            <w:tcW w:w="0" w:type="dxa"/>
            <w:vAlign w:val="bottom"/>
          </w:tcPr>
          <w:p>
            <w:pPr>
              <w:spacing w:after="0"/>
              <w:rPr>
                <w:sz w:val="1"/>
                <w:szCs w:val="1"/>
                <w:color w:val="auto"/>
              </w:rPr>
            </w:pPr>
          </w:p>
        </w:tc>
      </w:tr>
      <w:tr>
        <w:trPr>
          <w:trHeight w:val="144"/>
        </w:trPr>
        <w:tc>
          <w:tcPr>
            <w:tcW w:w="2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7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6"/>
              </w:rPr>
              <w:t>Market Value of</w:t>
            </w:r>
          </w:p>
        </w:tc>
        <w:tc>
          <w:tcPr>
            <w:tcW w:w="172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1720" w:type="dxa"/>
            <w:vAlign w:val="bottom"/>
          </w:tcPr>
          <w:p>
            <w:pPr>
              <w:jc w:val="center"/>
              <w:ind w:right="68"/>
              <w:spacing w:after="0" w:line="145" w:lineRule="exact"/>
              <w:rPr>
                <w:sz w:val="20"/>
                <w:szCs w:val="20"/>
                <w:color w:val="auto"/>
              </w:rPr>
            </w:pPr>
            <w:r>
              <w:rPr>
                <w:rFonts w:ascii="Arial" w:cs="Arial" w:eastAsia="Arial" w:hAnsi="Arial"/>
                <w:sz w:val="14"/>
                <w:szCs w:val="14"/>
                <w:b w:val="1"/>
                <w:bCs w:val="1"/>
                <w:color w:val="auto"/>
                <w:w w:val="96"/>
              </w:rPr>
              <w:t>Awards: Market or</w:t>
            </w:r>
          </w:p>
        </w:tc>
        <w:tc>
          <w:tcPr>
            <w:tcW w:w="0" w:type="dxa"/>
            <w:vAlign w:val="bottom"/>
          </w:tcPr>
          <w:p>
            <w:pPr>
              <w:spacing w:after="0"/>
              <w:rPr>
                <w:sz w:val="1"/>
                <w:szCs w:val="1"/>
                <w:color w:val="auto"/>
              </w:rPr>
            </w:pPr>
          </w:p>
        </w:tc>
      </w:tr>
      <w:tr>
        <w:trPr>
          <w:trHeight w:val="148"/>
        </w:trPr>
        <w:tc>
          <w:tcPr>
            <w:tcW w:w="2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60" w:type="dxa"/>
            <w:vAlign w:val="bottom"/>
            <w:gridSpan w:val="2"/>
            <w:vMerge w:val="restart"/>
          </w:tcPr>
          <w:p>
            <w:pPr>
              <w:jc w:val="center"/>
              <w:ind w:right="540"/>
              <w:spacing w:after="0"/>
              <w:rPr>
                <w:sz w:val="20"/>
                <w:szCs w:val="20"/>
                <w:color w:val="auto"/>
              </w:rPr>
            </w:pPr>
            <w:r>
              <w:rPr>
                <w:rFonts w:ascii="Arial" w:cs="Arial" w:eastAsia="Arial" w:hAnsi="Arial"/>
                <w:sz w:val="14"/>
                <w:szCs w:val="14"/>
                <w:b w:val="1"/>
                <w:bCs w:val="1"/>
                <w:color w:val="auto"/>
                <w:w w:val="93"/>
              </w:rPr>
              <w:t>Number of Shares or</w:t>
            </w:r>
          </w:p>
        </w:tc>
        <w:tc>
          <w:tcPr>
            <w:tcW w:w="1740" w:type="dxa"/>
            <w:vAlign w:val="bottom"/>
            <w:gridSpan w:val="2"/>
            <w:vMerge w:val="continue"/>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Awards: Number of</w:t>
            </w:r>
          </w:p>
        </w:tc>
        <w:tc>
          <w:tcPr>
            <w:tcW w:w="620" w:type="dxa"/>
            <w:vAlign w:val="bottom"/>
          </w:tcPr>
          <w:p>
            <w:pPr>
              <w:spacing w:after="0"/>
              <w:rPr>
                <w:sz w:val="12"/>
                <w:szCs w:val="12"/>
                <w:color w:val="auto"/>
              </w:rPr>
            </w:pPr>
          </w:p>
        </w:tc>
        <w:tc>
          <w:tcPr>
            <w:tcW w:w="172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93"/>
              </w:rPr>
              <w:t>Payout Value of</w:t>
            </w:r>
          </w:p>
        </w:tc>
        <w:tc>
          <w:tcPr>
            <w:tcW w:w="0" w:type="dxa"/>
            <w:vAlign w:val="bottom"/>
          </w:tcPr>
          <w:p>
            <w:pPr>
              <w:spacing w:after="0"/>
              <w:rPr>
                <w:sz w:val="1"/>
                <w:szCs w:val="1"/>
                <w:color w:val="auto"/>
              </w:rPr>
            </w:pPr>
          </w:p>
        </w:tc>
      </w:tr>
      <w:tr>
        <w:trPr>
          <w:trHeight w:val="135"/>
        </w:trPr>
        <w:tc>
          <w:tcPr>
            <w:tcW w:w="2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rPr>
              <w:t>Grant</w:t>
            </w:r>
          </w:p>
        </w:tc>
        <w:tc>
          <w:tcPr>
            <w:tcW w:w="1960" w:type="dxa"/>
            <w:vAlign w:val="bottom"/>
            <w:gridSpan w:val="2"/>
            <w:vMerge w:val="continue"/>
          </w:tcPr>
          <w:p>
            <w:pPr>
              <w:spacing w:after="0"/>
              <w:rPr>
                <w:sz w:val="11"/>
                <w:szCs w:val="11"/>
                <w:color w:val="auto"/>
              </w:rPr>
            </w:pPr>
          </w:p>
        </w:tc>
        <w:tc>
          <w:tcPr>
            <w:tcW w:w="174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1"/>
              </w:rPr>
              <w:t>Shares or Units of</w:t>
            </w:r>
          </w:p>
        </w:tc>
        <w:tc>
          <w:tcPr>
            <w:tcW w:w="17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Unearned Shares, Units or</w:t>
            </w:r>
          </w:p>
        </w:tc>
        <w:tc>
          <w:tcPr>
            <w:tcW w:w="620" w:type="dxa"/>
            <w:vAlign w:val="bottom"/>
          </w:tcPr>
          <w:p>
            <w:pPr>
              <w:spacing w:after="0"/>
              <w:rPr>
                <w:sz w:val="11"/>
                <w:szCs w:val="11"/>
                <w:color w:val="auto"/>
              </w:rPr>
            </w:pPr>
          </w:p>
        </w:tc>
        <w:tc>
          <w:tcPr>
            <w:tcW w:w="1720" w:type="dxa"/>
            <w:vAlign w:val="bottom"/>
          </w:tcPr>
          <w:p>
            <w:pPr>
              <w:jc w:val="center"/>
              <w:ind w:right="68"/>
              <w:spacing w:after="0" w:line="135" w:lineRule="exact"/>
              <w:rPr>
                <w:sz w:val="20"/>
                <w:szCs w:val="20"/>
                <w:color w:val="auto"/>
              </w:rPr>
            </w:pPr>
            <w:r>
              <w:rPr>
                <w:rFonts w:ascii="Arial" w:cs="Arial" w:eastAsia="Arial" w:hAnsi="Arial"/>
                <w:sz w:val="14"/>
                <w:szCs w:val="14"/>
                <w:b w:val="1"/>
                <w:bCs w:val="1"/>
                <w:color w:val="auto"/>
                <w:w w:val="92"/>
              </w:rPr>
              <w:t>Unearned Shares, Units</w:t>
            </w:r>
          </w:p>
        </w:tc>
        <w:tc>
          <w:tcPr>
            <w:tcW w:w="0" w:type="dxa"/>
            <w:vAlign w:val="bottom"/>
          </w:tcPr>
          <w:p>
            <w:pPr>
              <w:spacing w:after="0"/>
              <w:rPr>
                <w:sz w:val="1"/>
                <w:szCs w:val="1"/>
                <w:color w:val="auto"/>
              </w:rPr>
            </w:pPr>
          </w:p>
        </w:tc>
      </w:tr>
      <w:tr>
        <w:trPr>
          <w:trHeight w:val="149"/>
        </w:trPr>
        <w:tc>
          <w:tcPr>
            <w:tcW w:w="22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1200" w:type="dxa"/>
            <w:vAlign w:val="bottom"/>
            <w:gridSpan w:val="2"/>
            <w:vMerge w:val="continue"/>
          </w:tcPr>
          <w:p>
            <w:pPr>
              <w:spacing w:after="0"/>
              <w:rPr>
                <w:sz w:val="12"/>
                <w:szCs w:val="12"/>
                <w:color w:val="auto"/>
              </w:rPr>
            </w:pPr>
          </w:p>
        </w:tc>
        <w:tc>
          <w:tcPr>
            <w:tcW w:w="19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4"/>
              </w:rPr>
              <w:t>Units of Stock That</w:t>
            </w:r>
          </w:p>
        </w:tc>
        <w:tc>
          <w:tcPr>
            <w:tcW w:w="17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Stock That Have Not</w:t>
            </w:r>
          </w:p>
        </w:tc>
        <w:tc>
          <w:tcPr>
            <w:tcW w:w="1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Other Rights That Have</w:t>
            </w:r>
          </w:p>
        </w:tc>
        <w:tc>
          <w:tcPr>
            <w:tcW w:w="620" w:type="dxa"/>
            <w:vAlign w:val="bottom"/>
          </w:tcPr>
          <w:p>
            <w:pPr>
              <w:spacing w:after="0"/>
              <w:rPr>
                <w:sz w:val="12"/>
                <w:szCs w:val="12"/>
                <w:color w:val="auto"/>
              </w:rPr>
            </w:pPr>
          </w:p>
        </w:tc>
        <w:tc>
          <w:tcPr>
            <w:tcW w:w="172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95"/>
              </w:rPr>
              <w:t>or Other Rights That</w:t>
            </w:r>
          </w:p>
        </w:tc>
        <w:tc>
          <w:tcPr>
            <w:tcW w:w="0" w:type="dxa"/>
            <w:vAlign w:val="bottom"/>
          </w:tcPr>
          <w:p>
            <w:pPr>
              <w:spacing w:after="0"/>
              <w:rPr>
                <w:sz w:val="1"/>
                <w:szCs w:val="1"/>
                <w:color w:val="auto"/>
              </w:rPr>
            </w:pPr>
          </w:p>
        </w:tc>
      </w:tr>
      <w:tr>
        <w:trPr>
          <w:trHeight w:val="203"/>
        </w:trPr>
        <w:tc>
          <w:tcPr>
            <w:tcW w:w="2280" w:type="dxa"/>
            <w:vAlign w:val="bottom"/>
            <w:gridSpan w:val="2"/>
            <w:vMerge w:val="continue"/>
          </w:tcPr>
          <w:p>
            <w:pPr>
              <w:spacing w:after="0"/>
              <w:rPr>
                <w:sz w:val="17"/>
                <w:szCs w:val="17"/>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Date</w:t>
            </w:r>
          </w:p>
        </w:tc>
        <w:tc>
          <w:tcPr>
            <w:tcW w:w="1960" w:type="dxa"/>
            <w:vAlign w:val="bottom"/>
            <w:gridSpan w:val="2"/>
          </w:tcPr>
          <w:p>
            <w:pPr>
              <w:jc w:val="center"/>
              <w:ind w:right="540"/>
              <w:spacing w:after="0" w:line="161" w:lineRule="exact"/>
              <w:rPr>
                <w:sz w:val="20"/>
                <w:szCs w:val="20"/>
                <w:color w:val="auto"/>
              </w:rPr>
            </w:pPr>
            <w:r>
              <w:rPr>
                <w:rFonts w:ascii="Arial" w:cs="Arial" w:eastAsia="Arial" w:hAnsi="Arial"/>
                <w:sz w:val="14"/>
                <w:szCs w:val="14"/>
                <w:b w:val="1"/>
                <w:bCs w:val="1"/>
                <w:color w:val="auto"/>
                <w:w w:val="94"/>
              </w:rPr>
              <w:t>Have Not Vested (#)</w:t>
            </w:r>
            <w:r>
              <w:rPr>
                <w:rFonts w:ascii="MS PGothic" w:cs="MS PGothic" w:eastAsia="MS PGothic" w:hAnsi="MS PGothic"/>
                <w:sz w:val="14"/>
                <w:szCs w:val="14"/>
                <w:color w:val="auto"/>
                <w:w w:val="94"/>
              </w:rPr>
              <w:t>⁽</w:t>
            </w:r>
            <w:r>
              <w:rPr>
                <w:rFonts w:ascii="Arial" w:cs="Arial" w:eastAsia="Arial" w:hAnsi="Arial"/>
                <w:sz w:val="14"/>
                <w:szCs w:val="14"/>
                <w:b w:val="1"/>
                <w:bCs w:val="1"/>
                <w:color w:val="auto"/>
                <w:w w:val="94"/>
              </w:rPr>
              <w:t>¹</w:t>
            </w:r>
            <w:r>
              <w:rPr>
                <w:rFonts w:ascii="MS PGothic" w:cs="MS PGothic" w:eastAsia="MS PGothic" w:hAnsi="MS PGothic"/>
                <w:sz w:val="14"/>
                <w:szCs w:val="14"/>
                <w:color w:val="auto"/>
                <w:w w:val="94"/>
              </w:rPr>
              <w:t>⁾</w:t>
            </w:r>
          </w:p>
        </w:tc>
        <w:tc>
          <w:tcPr>
            <w:tcW w:w="1740" w:type="dxa"/>
            <w:vAlign w:val="bottom"/>
            <w:gridSpan w:val="2"/>
          </w:tcPr>
          <w:p>
            <w:pPr>
              <w:jc w:val="center"/>
              <w:ind w:right="280"/>
              <w:spacing w:after="0" w:line="161" w:lineRule="exact"/>
              <w:rPr>
                <w:sz w:val="20"/>
                <w:szCs w:val="20"/>
                <w:color w:val="auto"/>
              </w:rPr>
            </w:pPr>
            <w:r>
              <w:rPr>
                <w:rFonts w:ascii="Arial" w:cs="Arial" w:eastAsia="Arial" w:hAnsi="Arial"/>
                <w:sz w:val="14"/>
                <w:szCs w:val="14"/>
                <w:b w:val="1"/>
                <w:bCs w:val="1"/>
                <w:color w:val="auto"/>
                <w:w w:val="95"/>
              </w:rPr>
              <w:t>Vested ($)</w:t>
            </w:r>
            <w:r>
              <w:rPr>
                <w:rFonts w:ascii="MS PGothic" w:cs="MS PGothic" w:eastAsia="MS PGothic" w:hAnsi="MS PGothic"/>
                <w:sz w:val="14"/>
                <w:szCs w:val="14"/>
                <w:color w:val="auto"/>
                <w:w w:val="95"/>
              </w:rPr>
              <w:t>⁽</w:t>
            </w:r>
            <w:r>
              <w:rPr>
                <w:rFonts w:ascii="Arial" w:cs="Arial" w:eastAsia="Arial" w:hAnsi="Arial"/>
                <w:sz w:val="14"/>
                <w:szCs w:val="14"/>
                <w:b w:val="1"/>
                <w:bCs w:val="1"/>
                <w:color w:val="auto"/>
                <w:w w:val="95"/>
              </w:rPr>
              <w:t>²</w:t>
            </w:r>
            <w:r>
              <w:rPr>
                <w:rFonts w:ascii="MS PGothic" w:cs="MS PGothic" w:eastAsia="MS PGothic" w:hAnsi="MS PGothic"/>
                <w:sz w:val="14"/>
                <w:szCs w:val="14"/>
                <w:color w:val="auto"/>
                <w:w w:val="95"/>
              </w:rPr>
              <w:t>⁾</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1"/>
              </w:rPr>
              <w:t>Not Vested (#)</w:t>
            </w:r>
          </w:p>
        </w:tc>
        <w:tc>
          <w:tcPr>
            <w:tcW w:w="620" w:type="dxa"/>
            <w:vAlign w:val="bottom"/>
          </w:tcPr>
          <w:p>
            <w:pPr>
              <w:spacing w:after="0"/>
              <w:rPr>
                <w:sz w:val="17"/>
                <w:szCs w:val="17"/>
                <w:color w:val="auto"/>
              </w:rPr>
            </w:pPr>
          </w:p>
        </w:tc>
        <w:tc>
          <w:tcPr>
            <w:tcW w:w="1720" w:type="dxa"/>
            <w:vAlign w:val="bottom"/>
          </w:tcPr>
          <w:p>
            <w:pPr>
              <w:jc w:val="center"/>
              <w:ind w:right="68"/>
              <w:spacing w:after="0" w:line="161" w:lineRule="exact"/>
              <w:rPr>
                <w:sz w:val="20"/>
                <w:szCs w:val="20"/>
                <w:color w:val="auto"/>
              </w:rPr>
            </w:pPr>
            <w:r>
              <w:rPr>
                <w:rFonts w:ascii="Arial" w:cs="Arial" w:eastAsia="Arial" w:hAnsi="Arial"/>
                <w:sz w:val="14"/>
                <w:szCs w:val="14"/>
                <w:b w:val="1"/>
                <w:bCs w:val="1"/>
                <w:color w:val="auto"/>
                <w:w w:val="94"/>
              </w:rPr>
              <w:t>Have Not Vested ($)</w:t>
            </w:r>
            <w:r>
              <w:rPr>
                <w:rFonts w:ascii="MS PGothic" w:cs="MS PGothic" w:eastAsia="MS PGothic" w:hAnsi="MS PGothic"/>
                <w:sz w:val="14"/>
                <w:szCs w:val="14"/>
                <w:color w:val="auto"/>
                <w:w w:val="94"/>
              </w:rPr>
              <w:t>⁽</w:t>
            </w:r>
            <w:r>
              <w:rPr>
                <w:rFonts w:ascii="Arial" w:cs="Arial" w:eastAsia="Arial" w:hAnsi="Arial"/>
                <w:sz w:val="14"/>
                <w:szCs w:val="14"/>
                <w:b w:val="1"/>
                <w:bCs w:val="1"/>
                <w:color w:val="auto"/>
                <w:w w:val="94"/>
              </w:rPr>
              <w:t>²</w:t>
            </w:r>
            <w:r>
              <w:rPr>
                <w:rFonts w:ascii="MS PGothic" w:cs="MS PGothic" w:eastAsia="MS PGothic" w:hAnsi="MS PGothic"/>
                <w:sz w:val="14"/>
                <w:szCs w:val="14"/>
                <w:color w:val="auto"/>
                <w:w w:val="94"/>
              </w:rPr>
              <w:t>⁾</w:t>
            </w:r>
          </w:p>
        </w:tc>
        <w:tc>
          <w:tcPr>
            <w:tcW w:w="0" w:type="dxa"/>
            <w:vAlign w:val="bottom"/>
          </w:tcPr>
          <w:p>
            <w:pPr>
              <w:spacing w:after="0"/>
              <w:rPr>
                <w:sz w:val="1"/>
                <w:szCs w:val="1"/>
                <w:color w:val="auto"/>
              </w:rPr>
            </w:pPr>
          </w:p>
        </w:tc>
      </w:tr>
      <w:tr>
        <w:trPr>
          <w:trHeight w:val="176"/>
        </w:trPr>
        <w:tc>
          <w:tcPr>
            <w:tcW w:w="21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Lance Mitchell</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2/4/2020</w:t>
            </w: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19,872</w:t>
            </w:r>
          </w:p>
        </w:tc>
        <w:tc>
          <w:tcPr>
            <w:tcW w:w="540" w:type="dxa"/>
            <w:vAlign w:val="bottom"/>
            <w:tcBorders>
              <w:top w:val="single" w:sz="8" w:color="CCEEFF"/>
              <w:bottom w:val="single" w:sz="8" w:color="CCEEFF"/>
            </w:tcBorders>
            <w:shd w:val="clear" w:color="auto" w:fill="CCEEFF"/>
          </w:tcPr>
          <w:p>
            <w:pPr>
              <w:spacing w:after="0"/>
              <w:rPr>
                <w:sz w:val="15"/>
                <w:szCs w:val="15"/>
                <w:color w:val="auto"/>
              </w:rPr>
            </w:pPr>
          </w:p>
        </w:tc>
        <w:tc>
          <w:tcPr>
            <w:tcW w:w="14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595,763</w:t>
            </w: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1720" w:type="dxa"/>
            <w:vAlign w:val="bottom"/>
            <w:tcBorders>
              <w:top w:val="single" w:sz="8" w:color="auto"/>
              <w:bottom w:val="single" w:sz="8" w:color="CCEEFF"/>
            </w:tcBorders>
            <w:shd w:val="clear" w:color="auto" w:fill="CCEEFF"/>
          </w:tcPr>
          <w:p>
            <w:pPr>
              <w:spacing w:after="0"/>
              <w:rPr>
                <w:sz w:val="15"/>
                <w:szCs w:val="15"/>
                <w:color w:val="auto"/>
              </w:rPr>
            </w:pPr>
          </w:p>
        </w:tc>
        <w:tc>
          <w:tcPr>
            <w:tcW w:w="620" w:type="dxa"/>
            <w:vAlign w:val="bottom"/>
            <w:tcBorders>
              <w:top w:val="single" w:sz="8" w:color="CCEEFF"/>
              <w:bottom w:val="single" w:sz="8" w:color="CCEEFF"/>
            </w:tcBorders>
            <w:shd w:val="clear" w:color="auto" w:fill="CCEEFF"/>
          </w:tcPr>
          <w:p>
            <w:pPr>
              <w:spacing w:after="0"/>
              <w:rPr>
                <w:sz w:val="15"/>
                <w:szCs w:val="15"/>
                <w:color w:val="auto"/>
              </w:rPr>
            </w:pPr>
          </w:p>
        </w:tc>
        <w:tc>
          <w:tcPr>
            <w:tcW w:w="1720" w:type="dxa"/>
            <w:vAlign w:val="bottom"/>
            <w:tcBorders>
              <w:top w:val="single" w:sz="8" w:color="auto"/>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3/5/2020</w:t>
            </w:r>
          </w:p>
        </w:tc>
        <w:tc>
          <w:tcPr>
            <w:tcW w:w="2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10,771</w:t>
            </w:r>
          </w:p>
        </w:tc>
        <w:tc>
          <w:tcPr>
            <w:tcW w:w="5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322,915</w:t>
            </w:r>
          </w:p>
        </w:tc>
        <w:tc>
          <w:tcPr>
            <w:tcW w:w="28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16,156</w:t>
            </w:r>
          </w:p>
        </w:tc>
        <w:tc>
          <w:tcPr>
            <w:tcW w:w="620" w:type="dxa"/>
            <w:vAlign w:val="bottom"/>
          </w:tcPr>
          <w:p>
            <w:pPr>
              <w:jc w:val="right"/>
              <w:ind w:right="266"/>
              <w:spacing w:after="0"/>
              <w:rPr>
                <w:sz w:val="20"/>
                <w:szCs w:val="20"/>
                <w:color w:val="auto"/>
              </w:rPr>
            </w:pPr>
            <w:r>
              <w:rPr>
                <w:rFonts w:ascii="Arial" w:cs="Arial" w:eastAsia="Arial" w:hAnsi="Arial"/>
                <w:sz w:val="11"/>
                <w:szCs w:val="11"/>
                <w:color w:val="auto"/>
              </w:rPr>
              <w:t>(4)</w:t>
            </w:r>
          </w:p>
        </w:tc>
        <w:tc>
          <w:tcPr>
            <w:tcW w:w="1720" w:type="dxa"/>
            <w:vAlign w:val="bottom"/>
          </w:tcPr>
          <w:p>
            <w:pPr>
              <w:jc w:val="right"/>
              <w:ind w:right="88"/>
              <w:spacing w:after="0"/>
              <w:rPr>
                <w:sz w:val="20"/>
                <w:szCs w:val="20"/>
                <w:color w:val="auto"/>
              </w:rPr>
            </w:pPr>
            <w:r>
              <w:rPr>
                <w:rFonts w:ascii="Arial" w:cs="Arial" w:eastAsia="Arial" w:hAnsi="Arial"/>
                <w:sz w:val="14"/>
                <w:szCs w:val="14"/>
                <w:color w:val="auto"/>
              </w:rPr>
              <w:t>484,357</w:t>
            </w: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2/1/2021</w:t>
            </w:r>
          </w:p>
        </w:tc>
        <w:tc>
          <w:tcPr>
            <w:tcW w:w="200" w:type="dxa"/>
            <w:vAlign w:val="bottom"/>
            <w:tcBorders>
              <w:bottom w:val="single" w:sz="8" w:color="CCEEFF"/>
            </w:tcBorders>
            <w:shd w:val="clear" w:color="auto" w:fill="CCEEFF"/>
          </w:tcPr>
          <w:p>
            <w:pPr>
              <w:spacing w:after="0"/>
              <w:rPr>
                <w:sz w:val="15"/>
                <w:szCs w:val="15"/>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38,468</w:t>
            </w:r>
          </w:p>
        </w:tc>
        <w:tc>
          <w:tcPr>
            <w:tcW w:w="54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1,153,271</w:t>
            </w:r>
          </w:p>
        </w:tc>
        <w:tc>
          <w:tcPr>
            <w:tcW w:w="280" w:type="dxa"/>
            <w:vAlign w:val="bottom"/>
            <w:tcBorders>
              <w:bottom w:val="single" w:sz="8" w:color="CCEEFF"/>
            </w:tcBorders>
            <w:shd w:val="clear" w:color="auto" w:fill="CCEEFF"/>
          </w:tcPr>
          <w:p>
            <w:pPr>
              <w:spacing w:after="0"/>
              <w:rPr>
                <w:sz w:val="15"/>
                <w:szCs w:val="15"/>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CEEFF"/>
            </w:tcBorders>
            <w:shd w:val="clear" w:color="auto" w:fill="CCEEFF"/>
          </w:tcPr>
          <w:p>
            <w:pPr>
              <w:spacing w:after="0"/>
              <w:rPr>
                <w:sz w:val="15"/>
                <w:szCs w:val="15"/>
                <w:color w:val="auto"/>
              </w:rPr>
            </w:pPr>
          </w:p>
        </w:tc>
        <w:tc>
          <w:tcPr>
            <w:tcW w:w="172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2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2/1/2022</w:t>
            </w:r>
          </w:p>
        </w:tc>
        <w:tc>
          <w:tcPr>
            <w:tcW w:w="2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64,433</w:t>
            </w:r>
          </w:p>
        </w:tc>
        <w:tc>
          <w:tcPr>
            <w:tcW w:w="5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1,931,701</w:t>
            </w:r>
          </w:p>
        </w:tc>
        <w:tc>
          <w:tcPr>
            <w:tcW w:w="28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32,217</w:t>
            </w:r>
          </w:p>
        </w:tc>
        <w:tc>
          <w:tcPr>
            <w:tcW w:w="620" w:type="dxa"/>
            <w:vAlign w:val="bottom"/>
          </w:tcPr>
          <w:p>
            <w:pPr>
              <w:jc w:val="right"/>
              <w:ind w:right="266"/>
              <w:spacing w:after="0"/>
              <w:rPr>
                <w:sz w:val="20"/>
                <w:szCs w:val="20"/>
                <w:color w:val="auto"/>
              </w:rPr>
            </w:pPr>
            <w:r>
              <w:rPr>
                <w:rFonts w:ascii="Arial" w:cs="Arial" w:eastAsia="Arial" w:hAnsi="Arial"/>
                <w:sz w:val="11"/>
                <w:szCs w:val="11"/>
                <w:color w:val="auto"/>
              </w:rPr>
              <w:t>(5)</w:t>
            </w:r>
          </w:p>
        </w:tc>
        <w:tc>
          <w:tcPr>
            <w:tcW w:w="1720" w:type="dxa"/>
            <w:vAlign w:val="bottom"/>
          </w:tcPr>
          <w:p>
            <w:pPr>
              <w:jc w:val="right"/>
              <w:ind w:right="88"/>
              <w:spacing w:after="0"/>
              <w:rPr>
                <w:sz w:val="20"/>
                <w:szCs w:val="20"/>
                <w:color w:val="auto"/>
              </w:rPr>
            </w:pPr>
            <w:r>
              <w:rPr>
                <w:rFonts w:ascii="Arial" w:cs="Arial" w:eastAsia="Arial" w:hAnsi="Arial"/>
                <w:sz w:val="14"/>
                <w:szCs w:val="14"/>
                <w:color w:val="auto"/>
              </w:rPr>
              <w:t>965,866</w:t>
            </w: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Michael Graham</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2/4/2020</w:t>
            </w:r>
          </w:p>
        </w:tc>
        <w:tc>
          <w:tcPr>
            <w:tcW w:w="200" w:type="dxa"/>
            <w:vAlign w:val="bottom"/>
            <w:tcBorders>
              <w:bottom w:val="single" w:sz="8" w:color="CCEEFF"/>
            </w:tcBorders>
            <w:shd w:val="clear" w:color="auto" w:fill="CCEEFF"/>
          </w:tcPr>
          <w:p>
            <w:pPr>
              <w:spacing w:after="0"/>
              <w:rPr>
                <w:sz w:val="15"/>
                <w:szCs w:val="15"/>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5,120</w:t>
            </w:r>
          </w:p>
        </w:tc>
        <w:tc>
          <w:tcPr>
            <w:tcW w:w="54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153,498</w:t>
            </w:r>
          </w:p>
        </w:tc>
        <w:tc>
          <w:tcPr>
            <w:tcW w:w="280" w:type="dxa"/>
            <w:vAlign w:val="bottom"/>
            <w:tcBorders>
              <w:bottom w:val="single" w:sz="8" w:color="CCEEFF"/>
            </w:tcBorders>
            <w:shd w:val="clear" w:color="auto" w:fill="CCEEFF"/>
          </w:tcPr>
          <w:p>
            <w:pPr>
              <w:spacing w:after="0"/>
              <w:rPr>
                <w:sz w:val="15"/>
                <w:szCs w:val="15"/>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CEEFF"/>
            </w:tcBorders>
            <w:shd w:val="clear" w:color="auto" w:fill="CCEEFF"/>
          </w:tcPr>
          <w:p>
            <w:pPr>
              <w:spacing w:after="0"/>
              <w:rPr>
                <w:sz w:val="15"/>
                <w:szCs w:val="15"/>
                <w:color w:val="auto"/>
              </w:rPr>
            </w:pPr>
          </w:p>
        </w:tc>
        <w:tc>
          <w:tcPr>
            <w:tcW w:w="172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2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3/5/2020</w:t>
            </w:r>
          </w:p>
        </w:tc>
        <w:tc>
          <w:tcPr>
            <w:tcW w:w="2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3,329</w:t>
            </w:r>
          </w:p>
        </w:tc>
        <w:tc>
          <w:tcPr>
            <w:tcW w:w="5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99,803</w:t>
            </w:r>
          </w:p>
        </w:tc>
        <w:tc>
          <w:tcPr>
            <w:tcW w:w="28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4,994</w:t>
            </w:r>
          </w:p>
        </w:tc>
        <w:tc>
          <w:tcPr>
            <w:tcW w:w="620" w:type="dxa"/>
            <w:vAlign w:val="bottom"/>
          </w:tcPr>
          <w:p>
            <w:pPr>
              <w:jc w:val="right"/>
              <w:ind w:right="266"/>
              <w:spacing w:after="0"/>
              <w:rPr>
                <w:sz w:val="20"/>
                <w:szCs w:val="20"/>
                <w:color w:val="auto"/>
              </w:rPr>
            </w:pPr>
            <w:r>
              <w:rPr>
                <w:rFonts w:ascii="Arial" w:cs="Arial" w:eastAsia="Arial" w:hAnsi="Arial"/>
                <w:sz w:val="11"/>
                <w:szCs w:val="11"/>
                <w:color w:val="auto"/>
              </w:rPr>
              <w:t>(4)</w:t>
            </w:r>
          </w:p>
        </w:tc>
        <w:tc>
          <w:tcPr>
            <w:tcW w:w="1720" w:type="dxa"/>
            <w:vAlign w:val="bottom"/>
          </w:tcPr>
          <w:p>
            <w:pPr>
              <w:jc w:val="right"/>
              <w:ind w:right="88"/>
              <w:spacing w:after="0"/>
              <w:rPr>
                <w:sz w:val="20"/>
                <w:szCs w:val="20"/>
                <w:color w:val="auto"/>
              </w:rPr>
            </w:pPr>
            <w:r>
              <w:rPr>
                <w:rFonts w:ascii="Arial" w:cs="Arial" w:eastAsia="Arial" w:hAnsi="Arial"/>
                <w:sz w:val="14"/>
                <w:szCs w:val="14"/>
                <w:color w:val="auto"/>
              </w:rPr>
              <w:t>149,720</w:t>
            </w: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2/1/2021</w:t>
            </w:r>
          </w:p>
        </w:tc>
        <w:tc>
          <w:tcPr>
            <w:tcW w:w="200" w:type="dxa"/>
            <w:vAlign w:val="bottom"/>
            <w:tcBorders>
              <w:bottom w:val="single" w:sz="8" w:color="CCEEFF"/>
            </w:tcBorders>
            <w:shd w:val="clear" w:color="auto" w:fill="CCEEFF"/>
          </w:tcPr>
          <w:p>
            <w:pPr>
              <w:spacing w:after="0"/>
              <w:rPr>
                <w:sz w:val="15"/>
                <w:szCs w:val="15"/>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11,344</w:t>
            </w:r>
          </w:p>
        </w:tc>
        <w:tc>
          <w:tcPr>
            <w:tcW w:w="54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340,093</w:t>
            </w:r>
          </w:p>
        </w:tc>
        <w:tc>
          <w:tcPr>
            <w:tcW w:w="280" w:type="dxa"/>
            <w:vAlign w:val="bottom"/>
            <w:tcBorders>
              <w:bottom w:val="single" w:sz="8" w:color="CCEEFF"/>
            </w:tcBorders>
            <w:shd w:val="clear" w:color="auto" w:fill="CCEEFF"/>
          </w:tcPr>
          <w:p>
            <w:pPr>
              <w:spacing w:after="0"/>
              <w:rPr>
                <w:sz w:val="15"/>
                <w:szCs w:val="15"/>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CEEFF"/>
            </w:tcBorders>
            <w:shd w:val="clear" w:color="auto" w:fill="CCEEFF"/>
          </w:tcPr>
          <w:p>
            <w:pPr>
              <w:spacing w:after="0"/>
              <w:rPr>
                <w:sz w:val="15"/>
                <w:szCs w:val="15"/>
                <w:color w:val="auto"/>
              </w:rPr>
            </w:pPr>
          </w:p>
        </w:tc>
        <w:tc>
          <w:tcPr>
            <w:tcW w:w="172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2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2/1/2022</w:t>
            </w:r>
          </w:p>
        </w:tc>
        <w:tc>
          <w:tcPr>
            <w:tcW w:w="2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18,467</w:t>
            </w:r>
          </w:p>
        </w:tc>
        <w:tc>
          <w:tcPr>
            <w:tcW w:w="5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553,641</w:t>
            </w:r>
          </w:p>
        </w:tc>
        <w:tc>
          <w:tcPr>
            <w:tcW w:w="28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9,234</w:t>
            </w:r>
          </w:p>
        </w:tc>
        <w:tc>
          <w:tcPr>
            <w:tcW w:w="620" w:type="dxa"/>
            <w:vAlign w:val="bottom"/>
          </w:tcPr>
          <w:p>
            <w:pPr>
              <w:jc w:val="right"/>
              <w:ind w:right="266"/>
              <w:spacing w:after="0"/>
              <w:rPr>
                <w:sz w:val="20"/>
                <w:szCs w:val="20"/>
                <w:color w:val="auto"/>
              </w:rPr>
            </w:pPr>
            <w:r>
              <w:rPr>
                <w:rFonts w:ascii="Arial" w:cs="Arial" w:eastAsia="Arial" w:hAnsi="Arial"/>
                <w:sz w:val="11"/>
                <w:szCs w:val="11"/>
                <w:color w:val="auto"/>
              </w:rPr>
              <w:t>(5)</w:t>
            </w:r>
          </w:p>
        </w:tc>
        <w:tc>
          <w:tcPr>
            <w:tcW w:w="1720" w:type="dxa"/>
            <w:vAlign w:val="bottom"/>
          </w:tcPr>
          <w:p>
            <w:pPr>
              <w:jc w:val="right"/>
              <w:ind w:right="88"/>
              <w:spacing w:after="0"/>
              <w:rPr>
                <w:sz w:val="20"/>
                <w:szCs w:val="20"/>
                <w:color w:val="auto"/>
              </w:rPr>
            </w:pPr>
            <w:r>
              <w:rPr>
                <w:rFonts w:ascii="Arial" w:cs="Arial" w:eastAsia="Arial" w:hAnsi="Arial"/>
                <w:sz w:val="14"/>
                <w:szCs w:val="14"/>
                <w:color w:val="auto"/>
              </w:rPr>
              <w:t>276,835</w:t>
            </w: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Rachel Bishop</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2/4/2020</w:t>
            </w:r>
          </w:p>
        </w:tc>
        <w:tc>
          <w:tcPr>
            <w:tcW w:w="200" w:type="dxa"/>
            <w:vAlign w:val="bottom"/>
            <w:tcBorders>
              <w:bottom w:val="single" w:sz="8" w:color="CCEEFF"/>
            </w:tcBorders>
            <w:shd w:val="clear" w:color="auto" w:fill="CCEEFF"/>
          </w:tcPr>
          <w:p>
            <w:pPr>
              <w:spacing w:after="0"/>
              <w:rPr>
                <w:sz w:val="15"/>
                <w:szCs w:val="15"/>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2,641</w:t>
            </w:r>
          </w:p>
        </w:tc>
        <w:tc>
          <w:tcPr>
            <w:tcW w:w="54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79,177</w:t>
            </w:r>
          </w:p>
        </w:tc>
        <w:tc>
          <w:tcPr>
            <w:tcW w:w="280" w:type="dxa"/>
            <w:vAlign w:val="bottom"/>
            <w:tcBorders>
              <w:bottom w:val="single" w:sz="8" w:color="CCEEFF"/>
            </w:tcBorders>
            <w:shd w:val="clear" w:color="auto" w:fill="CCEEFF"/>
          </w:tcPr>
          <w:p>
            <w:pPr>
              <w:spacing w:after="0"/>
              <w:rPr>
                <w:sz w:val="15"/>
                <w:szCs w:val="15"/>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CEEFF"/>
            </w:tcBorders>
            <w:shd w:val="clear" w:color="auto" w:fill="CCEEFF"/>
          </w:tcPr>
          <w:p>
            <w:pPr>
              <w:spacing w:after="0"/>
              <w:rPr>
                <w:sz w:val="15"/>
                <w:szCs w:val="15"/>
                <w:color w:val="auto"/>
              </w:rPr>
            </w:pPr>
          </w:p>
        </w:tc>
        <w:tc>
          <w:tcPr>
            <w:tcW w:w="172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2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3/5/2020</w:t>
            </w:r>
          </w:p>
        </w:tc>
        <w:tc>
          <w:tcPr>
            <w:tcW w:w="2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1,718</w:t>
            </w:r>
          </w:p>
        </w:tc>
        <w:tc>
          <w:tcPr>
            <w:tcW w:w="5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51,506</w:t>
            </w:r>
          </w:p>
        </w:tc>
        <w:tc>
          <w:tcPr>
            <w:tcW w:w="28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2,576</w:t>
            </w:r>
          </w:p>
        </w:tc>
        <w:tc>
          <w:tcPr>
            <w:tcW w:w="620" w:type="dxa"/>
            <w:vAlign w:val="bottom"/>
          </w:tcPr>
          <w:p>
            <w:pPr>
              <w:jc w:val="right"/>
              <w:ind w:right="266"/>
              <w:spacing w:after="0"/>
              <w:rPr>
                <w:sz w:val="20"/>
                <w:szCs w:val="20"/>
                <w:color w:val="auto"/>
              </w:rPr>
            </w:pPr>
            <w:r>
              <w:rPr>
                <w:rFonts w:ascii="Arial" w:cs="Arial" w:eastAsia="Arial" w:hAnsi="Arial"/>
                <w:sz w:val="11"/>
                <w:szCs w:val="11"/>
                <w:color w:val="auto"/>
              </w:rPr>
              <w:t>(4)</w:t>
            </w:r>
          </w:p>
        </w:tc>
        <w:tc>
          <w:tcPr>
            <w:tcW w:w="1720" w:type="dxa"/>
            <w:vAlign w:val="bottom"/>
          </w:tcPr>
          <w:p>
            <w:pPr>
              <w:jc w:val="right"/>
              <w:ind w:right="88"/>
              <w:spacing w:after="0"/>
              <w:rPr>
                <w:sz w:val="20"/>
                <w:szCs w:val="20"/>
                <w:color w:val="auto"/>
              </w:rPr>
            </w:pPr>
            <w:r>
              <w:rPr>
                <w:rFonts w:ascii="Arial" w:cs="Arial" w:eastAsia="Arial" w:hAnsi="Arial"/>
                <w:sz w:val="14"/>
                <w:szCs w:val="14"/>
                <w:color w:val="auto"/>
              </w:rPr>
              <w:t>77,228</w:t>
            </w: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2/1/2021</w:t>
            </w:r>
          </w:p>
        </w:tc>
        <w:tc>
          <w:tcPr>
            <w:tcW w:w="200" w:type="dxa"/>
            <w:vAlign w:val="bottom"/>
            <w:tcBorders>
              <w:bottom w:val="single" w:sz="8" w:color="CCEEFF"/>
            </w:tcBorders>
            <w:shd w:val="clear" w:color="auto" w:fill="CCEEFF"/>
          </w:tcPr>
          <w:p>
            <w:pPr>
              <w:spacing w:after="0"/>
              <w:rPr>
                <w:sz w:val="15"/>
                <w:szCs w:val="15"/>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6,205</w:t>
            </w:r>
          </w:p>
        </w:tc>
        <w:tc>
          <w:tcPr>
            <w:tcW w:w="54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186,026</w:t>
            </w:r>
          </w:p>
        </w:tc>
        <w:tc>
          <w:tcPr>
            <w:tcW w:w="280" w:type="dxa"/>
            <w:vAlign w:val="bottom"/>
            <w:tcBorders>
              <w:bottom w:val="single" w:sz="8" w:color="CCEEFF"/>
            </w:tcBorders>
            <w:shd w:val="clear" w:color="auto" w:fill="CCEEFF"/>
          </w:tcPr>
          <w:p>
            <w:pPr>
              <w:spacing w:after="0"/>
              <w:rPr>
                <w:sz w:val="15"/>
                <w:szCs w:val="15"/>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CEEFF"/>
            </w:tcBorders>
            <w:shd w:val="clear" w:color="auto" w:fill="CCEEFF"/>
          </w:tcPr>
          <w:p>
            <w:pPr>
              <w:spacing w:after="0"/>
              <w:rPr>
                <w:sz w:val="15"/>
                <w:szCs w:val="15"/>
                <w:color w:val="auto"/>
              </w:rPr>
            </w:pPr>
          </w:p>
        </w:tc>
        <w:tc>
          <w:tcPr>
            <w:tcW w:w="172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2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2/1/2022</w:t>
            </w:r>
          </w:p>
        </w:tc>
        <w:tc>
          <w:tcPr>
            <w:tcW w:w="2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11,785</w:t>
            </w:r>
          </w:p>
        </w:tc>
        <w:tc>
          <w:tcPr>
            <w:tcW w:w="5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353,314</w:t>
            </w:r>
          </w:p>
        </w:tc>
        <w:tc>
          <w:tcPr>
            <w:tcW w:w="28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5,893</w:t>
            </w:r>
          </w:p>
        </w:tc>
        <w:tc>
          <w:tcPr>
            <w:tcW w:w="620" w:type="dxa"/>
            <w:vAlign w:val="bottom"/>
          </w:tcPr>
          <w:p>
            <w:pPr>
              <w:jc w:val="right"/>
              <w:ind w:right="266"/>
              <w:spacing w:after="0"/>
              <w:rPr>
                <w:sz w:val="20"/>
                <w:szCs w:val="20"/>
                <w:color w:val="auto"/>
              </w:rPr>
            </w:pPr>
            <w:r>
              <w:rPr>
                <w:rFonts w:ascii="Arial" w:cs="Arial" w:eastAsia="Arial" w:hAnsi="Arial"/>
                <w:sz w:val="11"/>
                <w:szCs w:val="11"/>
                <w:color w:val="auto"/>
              </w:rPr>
              <w:t>(5)</w:t>
            </w:r>
          </w:p>
        </w:tc>
        <w:tc>
          <w:tcPr>
            <w:tcW w:w="1720" w:type="dxa"/>
            <w:vAlign w:val="bottom"/>
          </w:tcPr>
          <w:p>
            <w:pPr>
              <w:jc w:val="right"/>
              <w:ind w:right="88"/>
              <w:spacing w:after="0"/>
              <w:rPr>
                <w:sz w:val="20"/>
                <w:szCs w:val="20"/>
                <w:color w:val="auto"/>
              </w:rPr>
            </w:pPr>
            <w:r>
              <w:rPr>
                <w:rFonts w:ascii="Arial" w:cs="Arial" w:eastAsia="Arial" w:hAnsi="Arial"/>
                <w:sz w:val="14"/>
                <w:szCs w:val="14"/>
                <w:color w:val="auto"/>
              </w:rPr>
              <w:t>176,672</w:t>
            </w: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Judith Buckner</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2/4/2020</w:t>
            </w:r>
          </w:p>
        </w:tc>
        <w:tc>
          <w:tcPr>
            <w:tcW w:w="200" w:type="dxa"/>
            <w:vAlign w:val="bottom"/>
            <w:tcBorders>
              <w:bottom w:val="single" w:sz="8" w:color="CCEEFF"/>
            </w:tcBorders>
            <w:shd w:val="clear" w:color="auto" w:fill="CCEEFF"/>
          </w:tcPr>
          <w:p>
            <w:pPr>
              <w:spacing w:after="0"/>
              <w:rPr>
                <w:sz w:val="15"/>
                <w:szCs w:val="15"/>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2,212</w:t>
            </w:r>
          </w:p>
        </w:tc>
        <w:tc>
          <w:tcPr>
            <w:tcW w:w="54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66,316</w:t>
            </w:r>
          </w:p>
        </w:tc>
        <w:tc>
          <w:tcPr>
            <w:tcW w:w="280" w:type="dxa"/>
            <w:vAlign w:val="bottom"/>
            <w:tcBorders>
              <w:bottom w:val="single" w:sz="8" w:color="CCEEFF"/>
            </w:tcBorders>
            <w:shd w:val="clear" w:color="auto" w:fill="CCEEFF"/>
          </w:tcPr>
          <w:p>
            <w:pPr>
              <w:spacing w:after="0"/>
              <w:rPr>
                <w:sz w:val="15"/>
                <w:szCs w:val="15"/>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CEEFF"/>
            </w:tcBorders>
            <w:shd w:val="clear" w:color="auto" w:fill="CCEEFF"/>
          </w:tcPr>
          <w:p>
            <w:pPr>
              <w:spacing w:after="0"/>
              <w:rPr>
                <w:sz w:val="15"/>
                <w:szCs w:val="15"/>
                <w:color w:val="auto"/>
              </w:rPr>
            </w:pPr>
          </w:p>
        </w:tc>
        <w:tc>
          <w:tcPr>
            <w:tcW w:w="172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2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3/5/2020</w:t>
            </w:r>
          </w:p>
        </w:tc>
        <w:tc>
          <w:tcPr>
            <w:tcW w:w="2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1,440</w:t>
            </w:r>
          </w:p>
        </w:tc>
        <w:tc>
          <w:tcPr>
            <w:tcW w:w="5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43,171</w:t>
            </w:r>
          </w:p>
        </w:tc>
        <w:tc>
          <w:tcPr>
            <w:tcW w:w="28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2,159</w:t>
            </w:r>
          </w:p>
        </w:tc>
        <w:tc>
          <w:tcPr>
            <w:tcW w:w="620" w:type="dxa"/>
            <w:vAlign w:val="bottom"/>
          </w:tcPr>
          <w:p>
            <w:pPr>
              <w:jc w:val="right"/>
              <w:ind w:right="266"/>
              <w:spacing w:after="0"/>
              <w:rPr>
                <w:sz w:val="20"/>
                <w:szCs w:val="20"/>
                <w:color w:val="auto"/>
              </w:rPr>
            </w:pPr>
            <w:r>
              <w:rPr>
                <w:rFonts w:ascii="Arial" w:cs="Arial" w:eastAsia="Arial" w:hAnsi="Arial"/>
                <w:sz w:val="11"/>
                <w:szCs w:val="11"/>
                <w:color w:val="auto"/>
              </w:rPr>
              <w:t>(4)</w:t>
            </w:r>
          </w:p>
        </w:tc>
        <w:tc>
          <w:tcPr>
            <w:tcW w:w="1720" w:type="dxa"/>
            <w:vAlign w:val="bottom"/>
          </w:tcPr>
          <w:p>
            <w:pPr>
              <w:jc w:val="right"/>
              <w:ind w:right="88"/>
              <w:spacing w:after="0"/>
              <w:rPr>
                <w:sz w:val="20"/>
                <w:szCs w:val="20"/>
                <w:color w:val="auto"/>
              </w:rPr>
            </w:pPr>
            <w:r>
              <w:rPr>
                <w:rFonts w:ascii="Arial" w:cs="Arial" w:eastAsia="Arial" w:hAnsi="Arial"/>
                <w:sz w:val="14"/>
                <w:szCs w:val="14"/>
                <w:color w:val="auto"/>
              </w:rPr>
              <w:t>64,727</w:t>
            </w: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2/1/2021</w:t>
            </w:r>
          </w:p>
        </w:tc>
        <w:tc>
          <w:tcPr>
            <w:tcW w:w="200" w:type="dxa"/>
            <w:vAlign w:val="bottom"/>
            <w:tcBorders>
              <w:bottom w:val="single" w:sz="8" w:color="CCEEFF"/>
            </w:tcBorders>
            <w:shd w:val="clear" w:color="auto" w:fill="CCEEFF"/>
          </w:tcPr>
          <w:p>
            <w:pPr>
              <w:spacing w:after="0"/>
              <w:rPr>
                <w:sz w:val="15"/>
                <w:szCs w:val="15"/>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5,516</w:t>
            </w:r>
          </w:p>
        </w:tc>
        <w:tc>
          <w:tcPr>
            <w:tcW w:w="54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165,370</w:t>
            </w:r>
          </w:p>
        </w:tc>
        <w:tc>
          <w:tcPr>
            <w:tcW w:w="280" w:type="dxa"/>
            <w:vAlign w:val="bottom"/>
            <w:tcBorders>
              <w:bottom w:val="single" w:sz="8" w:color="CCEEFF"/>
            </w:tcBorders>
            <w:shd w:val="clear" w:color="auto" w:fill="CCEEFF"/>
          </w:tcPr>
          <w:p>
            <w:pPr>
              <w:spacing w:after="0"/>
              <w:rPr>
                <w:sz w:val="15"/>
                <w:szCs w:val="15"/>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CEEFF"/>
            </w:tcBorders>
            <w:shd w:val="clear" w:color="auto" w:fill="CCEEFF"/>
          </w:tcPr>
          <w:p>
            <w:pPr>
              <w:spacing w:after="0"/>
              <w:rPr>
                <w:sz w:val="15"/>
                <w:szCs w:val="15"/>
                <w:color w:val="auto"/>
              </w:rPr>
            </w:pPr>
          </w:p>
        </w:tc>
        <w:tc>
          <w:tcPr>
            <w:tcW w:w="172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2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2/1/2022</w:t>
            </w:r>
          </w:p>
        </w:tc>
        <w:tc>
          <w:tcPr>
            <w:tcW w:w="2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10,663</w:t>
            </w:r>
          </w:p>
        </w:tc>
        <w:tc>
          <w:tcPr>
            <w:tcW w:w="5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319,677</w:t>
            </w:r>
          </w:p>
        </w:tc>
        <w:tc>
          <w:tcPr>
            <w:tcW w:w="28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5,331</w:t>
            </w:r>
          </w:p>
        </w:tc>
        <w:tc>
          <w:tcPr>
            <w:tcW w:w="620" w:type="dxa"/>
            <w:vAlign w:val="bottom"/>
          </w:tcPr>
          <w:p>
            <w:pPr>
              <w:jc w:val="right"/>
              <w:ind w:right="266"/>
              <w:spacing w:after="0"/>
              <w:rPr>
                <w:sz w:val="20"/>
                <w:szCs w:val="20"/>
                <w:color w:val="auto"/>
              </w:rPr>
            </w:pPr>
            <w:r>
              <w:rPr>
                <w:rFonts w:ascii="Arial" w:cs="Arial" w:eastAsia="Arial" w:hAnsi="Arial"/>
                <w:sz w:val="11"/>
                <w:szCs w:val="11"/>
                <w:color w:val="auto"/>
              </w:rPr>
              <w:t>(5)</w:t>
            </w:r>
          </w:p>
        </w:tc>
        <w:tc>
          <w:tcPr>
            <w:tcW w:w="1720" w:type="dxa"/>
            <w:vAlign w:val="bottom"/>
          </w:tcPr>
          <w:p>
            <w:pPr>
              <w:jc w:val="right"/>
              <w:ind w:right="88"/>
              <w:spacing w:after="0"/>
              <w:rPr>
                <w:sz w:val="20"/>
                <w:szCs w:val="20"/>
                <w:color w:val="auto"/>
              </w:rPr>
            </w:pPr>
            <w:r>
              <w:rPr>
                <w:rFonts w:ascii="Arial" w:cs="Arial" w:eastAsia="Arial" w:hAnsi="Arial"/>
                <w:sz w:val="14"/>
                <w:szCs w:val="14"/>
                <w:color w:val="auto"/>
              </w:rPr>
              <w:t>159,823</w:t>
            </w: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Lisa Smith</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3/5/2020</w:t>
            </w:r>
          </w:p>
        </w:tc>
        <w:tc>
          <w:tcPr>
            <w:tcW w:w="200" w:type="dxa"/>
            <w:vAlign w:val="bottom"/>
            <w:tcBorders>
              <w:bottom w:val="single" w:sz="8" w:color="CCEEFF"/>
            </w:tcBorders>
            <w:shd w:val="clear" w:color="auto" w:fill="CCEEFF"/>
          </w:tcPr>
          <w:p>
            <w:pPr>
              <w:spacing w:after="0"/>
              <w:rPr>
                <w:sz w:val="15"/>
                <w:szCs w:val="15"/>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417</w:t>
            </w:r>
          </w:p>
        </w:tc>
        <w:tc>
          <w:tcPr>
            <w:tcW w:w="54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12,502</w:t>
            </w:r>
          </w:p>
        </w:tc>
        <w:tc>
          <w:tcPr>
            <w:tcW w:w="280" w:type="dxa"/>
            <w:vAlign w:val="bottom"/>
            <w:tcBorders>
              <w:bottom w:val="single" w:sz="8" w:color="CCEEFF"/>
            </w:tcBorders>
            <w:shd w:val="clear" w:color="auto" w:fill="CCEEFF"/>
          </w:tcPr>
          <w:p>
            <w:pPr>
              <w:spacing w:after="0"/>
              <w:rPr>
                <w:sz w:val="15"/>
                <w:szCs w:val="15"/>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625</w:t>
            </w:r>
          </w:p>
        </w:tc>
        <w:tc>
          <w:tcPr>
            <w:tcW w:w="620" w:type="dxa"/>
            <w:vAlign w:val="bottom"/>
            <w:tcBorders>
              <w:bottom w:val="single" w:sz="8" w:color="CCEEFF"/>
            </w:tcBorders>
            <w:shd w:val="clear" w:color="auto" w:fill="CCEEFF"/>
          </w:tcPr>
          <w:p>
            <w:pPr>
              <w:jc w:val="right"/>
              <w:ind w:right="266"/>
              <w:spacing w:after="0"/>
              <w:rPr>
                <w:sz w:val="20"/>
                <w:szCs w:val="20"/>
                <w:color w:val="auto"/>
              </w:rPr>
            </w:pPr>
            <w:r>
              <w:rPr>
                <w:rFonts w:ascii="Arial" w:cs="Arial" w:eastAsia="Arial" w:hAnsi="Arial"/>
                <w:sz w:val="11"/>
                <w:szCs w:val="11"/>
                <w:color w:val="auto"/>
              </w:rPr>
              <w:t>(4)</w:t>
            </w:r>
          </w:p>
        </w:tc>
        <w:tc>
          <w:tcPr>
            <w:tcW w:w="172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18,738</w:t>
            </w:r>
          </w:p>
        </w:tc>
        <w:tc>
          <w:tcPr>
            <w:tcW w:w="0" w:type="dxa"/>
            <w:vAlign w:val="bottom"/>
          </w:tcPr>
          <w:p>
            <w:pPr>
              <w:spacing w:after="0"/>
              <w:rPr>
                <w:sz w:val="1"/>
                <w:szCs w:val="1"/>
                <w:color w:val="auto"/>
              </w:rPr>
            </w:pPr>
          </w:p>
        </w:tc>
      </w:tr>
      <w:tr>
        <w:trPr>
          <w:trHeight w:val="182"/>
        </w:trPr>
        <w:tc>
          <w:tcPr>
            <w:tcW w:w="2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2/1/2021</w:t>
            </w:r>
          </w:p>
        </w:tc>
        <w:tc>
          <w:tcPr>
            <w:tcW w:w="2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5,378</w:t>
            </w:r>
          </w:p>
        </w:tc>
        <w:tc>
          <w:tcPr>
            <w:tcW w:w="5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161,232</w:t>
            </w:r>
          </w:p>
        </w:tc>
        <w:tc>
          <w:tcPr>
            <w:tcW w:w="28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15"/>
                <w:szCs w:val="15"/>
                <w:color w:val="auto"/>
              </w:rPr>
            </w:pPr>
          </w:p>
        </w:tc>
        <w:tc>
          <w:tcPr>
            <w:tcW w:w="17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2/1/2022</w:t>
            </w:r>
          </w:p>
        </w:tc>
        <w:tc>
          <w:tcPr>
            <w:tcW w:w="200" w:type="dxa"/>
            <w:vAlign w:val="bottom"/>
            <w:tcBorders>
              <w:bottom w:val="single" w:sz="8" w:color="CCEEFF"/>
            </w:tcBorders>
            <w:shd w:val="clear" w:color="auto" w:fill="CCEEFF"/>
          </w:tcPr>
          <w:p>
            <w:pPr>
              <w:spacing w:after="0"/>
              <w:rPr>
                <w:sz w:val="15"/>
                <w:szCs w:val="15"/>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10,663</w:t>
            </w:r>
          </w:p>
        </w:tc>
        <w:tc>
          <w:tcPr>
            <w:tcW w:w="54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319,677</w:t>
            </w:r>
          </w:p>
        </w:tc>
        <w:tc>
          <w:tcPr>
            <w:tcW w:w="280" w:type="dxa"/>
            <w:vAlign w:val="bottom"/>
            <w:tcBorders>
              <w:bottom w:val="single" w:sz="8" w:color="CCEEFF"/>
            </w:tcBorders>
            <w:shd w:val="clear" w:color="auto" w:fill="CCEEFF"/>
          </w:tcPr>
          <w:p>
            <w:pPr>
              <w:spacing w:after="0"/>
              <w:rPr>
                <w:sz w:val="15"/>
                <w:szCs w:val="15"/>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5,331</w:t>
            </w:r>
          </w:p>
        </w:tc>
        <w:tc>
          <w:tcPr>
            <w:tcW w:w="620" w:type="dxa"/>
            <w:vAlign w:val="bottom"/>
            <w:tcBorders>
              <w:bottom w:val="single" w:sz="8" w:color="CCEEFF"/>
            </w:tcBorders>
            <w:shd w:val="clear" w:color="auto" w:fill="CCEEFF"/>
          </w:tcPr>
          <w:p>
            <w:pPr>
              <w:jc w:val="right"/>
              <w:ind w:right="266"/>
              <w:spacing w:after="0"/>
              <w:rPr>
                <w:sz w:val="20"/>
                <w:szCs w:val="20"/>
                <w:color w:val="auto"/>
              </w:rPr>
            </w:pPr>
            <w:r>
              <w:rPr>
                <w:rFonts w:ascii="Arial" w:cs="Arial" w:eastAsia="Arial" w:hAnsi="Arial"/>
                <w:sz w:val="11"/>
                <w:szCs w:val="11"/>
                <w:color w:val="auto"/>
              </w:rPr>
              <w:t>(5)</w:t>
            </w:r>
          </w:p>
        </w:tc>
        <w:tc>
          <w:tcPr>
            <w:tcW w:w="172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159,823</w:t>
            </w:r>
          </w:p>
        </w:tc>
        <w:tc>
          <w:tcPr>
            <w:tcW w:w="0" w:type="dxa"/>
            <w:vAlign w:val="bottom"/>
          </w:tcPr>
          <w:p>
            <w:pPr>
              <w:spacing w:after="0"/>
              <w:rPr>
                <w:sz w:val="1"/>
                <w:szCs w:val="1"/>
                <w:color w:val="auto"/>
              </w:rPr>
            </w:pPr>
          </w:p>
        </w:tc>
      </w:tr>
      <w:tr>
        <w:trPr>
          <w:trHeight w:val="203"/>
        </w:trPr>
        <w:tc>
          <w:tcPr>
            <w:tcW w:w="2280" w:type="dxa"/>
            <w:vAlign w:val="bottom"/>
            <w:gridSpan w:val="2"/>
          </w:tcPr>
          <w:p>
            <w:pPr>
              <w:ind w:left="20"/>
              <w:spacing w:after="0" w:line="161" w:lineRule="exact"/>
              <w:rPr>
                <w:sz w:val="20"/>
                <w:szCs w:val="20"/>
                <w:color w:val="auto"/>
              </w:rPr>
            </w:pPr>
            <w:r>
              <w:rPr>
                <w:rFonts w:ascii="Arial" w:cs="Arial" w:eastAsia="Arial" w:hAnsi="Arial"/>
                <w:sz w:val="14"/>
                <w:szCs w:val="14"/>
                <w:color w:val="auto"/>
              </w:rPr>
              <w:t>Craig Cappel</w:t>
            </w:r>
            <w:r>
              <w:rPr>
                <w:rFonts w:ascii="MS PGothic" w:cs="MS PGothic" w:eastAsia="MS PGothic" w:hAnsi="MS PGothic"/>
                <w:sz w:val="14"/>
                <w:szCs w:val="14"/>
                <w:color w:val="auto"/>
              </w:rPr>
              <w:t>⁽</w:t>
            </w:r>
            <w:r>
              <w:rPr>
                <w:rFonts w:ascii="Arial" w:cs="Arial" w:eastAsia="Arial" w:hAnsi="Arial"/>
                <w:sz w:val="14"/>
                <w:szCs w:val="14"/>
                <w:color w:val="auto"/>
              </w:rPr>
              <w:t>³</w:t>
            </w:r>
            <w:r>
              <w:rPr>
                <w:rFonts w:ascii="MS PGothic" w:cs="MS PGothic" w:eastAsia="MS PGothic" w:hAnsi="MS PGothic"/>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2/4/2020</w:t>
            </w:r>
          </w:p>
        </w:tc>
        <w:tc>
          <w:tcPr>
            <w:tcW w:w="2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2,971</w:t>
            </w:r>
          </w:p>
        </w:tc>
        <w:tc>
          <w:tcPr>
            <w:tcW w:w="5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89,071</w:t>
            </w:r>
          </w:p>
        </w:tc>
        <w:tc>
          <w:tcPr>
            <w:tcW w:w="28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17"/>
                <w:szCs w:val="17"/>
                <w:color w:val="auto"/>
              </w:rPr>
            </w:pPr>
          </w:p>
        </w:tc>
        <w:tc>
          <w:tcPr>
            <w:tcW w:w="17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2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3/5/2020</w:t>
            </w:r>
          </w:p>
        </w:tc>
        <w:tc>
          <w:tcPr>
            <w:tcW w:w="200" w:type="dxa"/>
            <w:vAlign w:val="bottom"/>
            <w:tcBorders>
              <w:bottom w:val="single" w:sz="8" w:color="CCEEFF"/>
            </w:tcBorders>
            <w:shd w:val="clear" w:color="auto" w:fill="CCEEFF"/>
          </w:tcPr>
          <w:p>
            <w:pPr>
              <w:spacing w:after="0"/>
              <w:rPr>
                <w:sz w:val="15"/>
                <w:szCs w:val="15"/>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1,934</w:t>
            </w:r>
          </w:p>
        </w:tc>
        <w:tc>
          <w:tcPr>
            <w:tcW w:w="54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57,981</w:t>
            </w:r>
          </w:p>
        </w:tc>
        <w:tc>
          <w:tcPr>
            <w:tcW w:w="280" w:type="dxa"/>
            <w:vAlign w:val="bottom"/>
            <w:tcBorders>
              <w:bottom w:val="single" w:sz="8" w:color="CCEEFF"/>
            </w:tcBorders>
            <w:shd w:val="clear" w:color="auto" w:fill="CCEEFF"/>
          </w:tcPr>
          <w:p>
            <w:pPr>
              <w:spacing w:after="0"/>
              <w:rPr>
                <w:sz w:val="15"/>
                <w:szCs w:val="15"/>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CEEFF"/>
            </w:tcBorders>
            <w:shd w:val="clear" w:color="auto" w:fill="CCEEFF"/>
          </w:tcPr>
          <w:p>
            <w:pPr>
              <w:jc w:val="right"/>
              <w:ind w:right="266"/>
              <w:spacing w:after="0"/>
              <w:rPr>
                <w:sz w:val="20"/>
                <w:szCs w:val="20"/>
                <w:color w:val="auto"/>
              </w:rPr>
            </w:pPr>
            <w:r>
              <w:rPr>
                <w:rFonts w:ascii="Arial" w:cs="Arial" w:eastAsia="Arial" w:hAnsi="Arial"/>
                <w:sz w:val="11"/>
                <w:szCs w:val="11"/>
                <w:color w:val="auto"/>
              </w:rPr>
              <w:t>(6)</w:t>
            </w:r>
          </w:p>
        </w:tc>
        <w:tc>
          <w:tcPr>
            <w:tcW w:w="172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2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2/1/2021</w:t>
            </w:r>
          </w:p>
        </w:tc>
        <w:tc>
          <w:tcPr>
            <w:tcW w:w="2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3,291</w:t>
            </w:r>
          </w:p>
        </w:tc>
        <w:tc>
          <w:tcPr>
            <w:tcW w:w="5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98,664</w:t>
            </w:r>
          </w:p>
        </w:tc>
        <w:tc>
          <w:tcPr>
            <w:tcW w:w="28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15"/>
                <w:szCs w:val="15"/>
                <w:color w:val="auto"/>
              </w:rPr>
            </w:pPr>
          </w:p>
        </w:tc>
        <w:tc>
          <w:tcPr>
            <w:tcW w:w="17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2/1/2022</w:t>
            </w:r>
          </w:p>
        </w:tc>
        <w:tc>
          <w:tcPr>
            <w:tcW w:w="20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3,929</w:t>
            </w:r>
          </w:p>
        </w:tc>
        <w:tc>
          <w:tcPr>
            <w:tcW w:w="54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117,791</w:t>
            </w:r>
          </w:p>
        </w:tc>
        <w:tc>
          <w:tcPr>
            <w:tcW w:w="28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266"/>
              <w:spacing w:after="0"/>
              <w:rPr>
                <w:sz w:val="20"/>
                <w:szCs w:val="20"/>
                <w:color w:val="auto"/>
              </w:rPr>
            </w:pPr>
            <w:r>
              <w:rPr>
                <w:rFonts w:ascii="Arial" w:cs="Arial" w:eastAsia="Arial" w:hAnsi="Arial"/>
                <w:sz w:val="11"/>
                <w:szCs w:val="11"/>
                <w:color w:val="auto"/>
              </w:rPr>
              <w:t>(6)</w:t>
            </w:r>
          </w:p>
        </w:tc>
        <w:tc>
          <w:tcPr>
            <w:tcW w:w="17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2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72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7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2999105</wp:posOffset>
            </wp:positionH>
            <wp:positionV relativeFrom="paragraph">
              <wp:posOffset>-3093720</wp:posOffset>
            </wp:positionV>
            <wp:extent cx="94615" cy="749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94615" cy="74930"/>
                    </a:xfrm>
                    <a:prstGeom prst="rect">
                      <a:avLst/>
                    </a:prstGeom>
                    <a:noFill/>
                  </pic:spPr>
                </pic:pic>
              </a:graphicData>
            </a:graphic>
          </wp:anchor>
        </w:drawing>
        <w:drawing>
          <wp:anchor simplePos="0" relativeHeight="251657728" behindDoc="1" locked="0" layoutInCell="0" allowOverlap="1">
            <wp:simplePos x="0" y="0"/>
            <wp:positionH relativeFrom="column">
              <wp:posOffset>4063365</wp:posOffset>
            </wp:positionH>
            <wp:positionV relativeFrom="paragraph">
              <wp:posOffset>-3093720</wp:posOffset>
            </wp:positionV>
            <wp:extent cx="94615" cy="749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94615" cy="74930"/>
                    </a:xfrm>
                    <a:prstGeom prst="rect">
                      <a:avLst/>
                    </a:prstGeom>
                    <a:noFill/>
                  </pic:spPr>
                </pic:pic>
              </a:graphicData>
            </a:graphic>
          </wp:anchor>
        </w:drawing>
        <w:drawing>
          <wp:anchor simplePos="0" relativeHeight="251657728" behindDoc="1" locked="0" layoutInCell="0" allowOverlap="1">
            <wp:simplePos x="0" y="0"/>
            <wp:positionH relativeFrom="column">
              <wp:posOffset>6886575</wp:posOffset>
            </wp:positionH>
            <wp:positionV relativeFrom="paragraph">
              <wp:posOffset>-3093720</wp:posOffset>
            </wp:positionV>
            <wp:extent cx="94615" cy="749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94615" cy="74930"/>
                    </a:xfrm>
                    <a:prstGeom prst="rect">
                      <a:avLst/>
                    </a:prstGeom>
                    <a:noFill/>
                  </pic:spPr>
                </pic:pic>
              </a:graphicData>
            </a:graphic>
          </wp:anchor>
        </w:drawing>
      </w:r>
    </w:p>
    <w:p>
      <w:pPr>
        <w:spacing w:after="0" w:line="308"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5"/>
          <w:szCs w:val="15"/>
          <w:color w:val="auto"/>
        </w:rPr>
      </w:pPr>
      <w:r>
        <w:rPr>
          <w:rFonts w:ascii="Arial" w:cs="Arial" w:eastAsia="Arial" w:hAnsi="Arial"/>
          <w:sz w:val="15"/>
          <w:szCs w:val="15"/>
          <w:color w:val="auto"/>
        </w:rPr>
        <w:t>Represents RSUs that vest one-third on each of the first three anniversaries of their respective grant dates, subject to continued service on each vesting date.</w:t>
      </w:r>
    </w:p>
    <w:p>
      <w:pPr>
        <w:spacing w:after="0" w:line="259" w:lineRule="exact"/>
        <w:rPr>
          <w:rFonts w:ascii="Arial" w:cs="Arial" w:eastAsia="Arial" w:hAnsi="Arial"/>
          <w:sz w:val="15"/>
          <w:szCs w:val="15"/>
          <w:color w:val="auto"/>
        </w:rPr>
      </w:pPr>
    </w:p>
    <w:p>
      <w:pPr>
        <w:ind w:left="340" w:hanging="332"/>
        <w:spacing w:after="0" w:line="275" w:lineRule="auto"/>
        <w:tabs>
          <w:tab w:leader="none" w:pos="3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Market value is calculated by multiplying the number of shares by $29.98, the closing sale price per share of our common stock on the Nasdaq Global Select Market on December 30, 2022, the last trading day of 2022.</w:t>
      </w:r>
    </w:p>
    <w:p>
      <w:pPr>
        <w:spacing w:after="0" w:line="212" w:lineRule="exact"/>
        <w:rPr>
          <w:rFonts w:ascii="Arial" w:cs="Arial" w:eastAsia="Arial" w:hAnsi="Arial"/>
          <w:sz w:val="16"/>
          <w:szCs w:val="16"/>
          <w:color w:val="auto"/>
        </w:rPr>
      </w:pPr>
    </w:p>
    <w:p>
      <w:pPr>
        <w:ind w:left="340" w:hanging="332"/>
        <w:spacing w:after="0" w:line="275" w:lineRule="auto"/>
        <w:tabs>
          <w:tab w:leader="none" w:pos="3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Upon Mr. Cappel’s termination effective November 2, 2022, he forfeited all of his outstanding RSUs, other than the RSUs scheduled to vest in 2023, which are shown in this table. All of those RSUs vested on February 1, 2023.</w:t>
      </w:r>
    </w:p>
    <w:p>
      <w:pPr>
        <w:spacing w:after="0" w:line="212" w:lineRule="exact"/>
        <w:rPr>
          <w:rFonts w:ascii="Arial" w:cs="Arial" w:eastAsia="Arial" w:hAnsi="Arial"/>
          <w:sz w:val="16"/>
          <w:szCs w:val="16"/>
          <w:color w:val="auto"/>
        </w:rPr>
      </w:pPr>
    </w:p>
    <w:p>
      <w:pPr>
        <w:ind w:left="340" w:hanging="332"/>
        <w:spacing w:after="0" w:line="310" w:lineRule="auto"/>
        <w:tabs>
          <w:tab w:leader="none" w:pos="340" w:val="left"/>
        </w:tabs>
        <w:numPr>
          <w:ilvl w:val="0"/>
          <w:numId w:val="34"/>
        </w:numPr>
        <w:rPr>
          <w:rFonts w:ascii="Arial" w:cs="Arial" w:eastAsia="Arial" w:hAnsi="Arial"/>
          <w:sz w:val="15"/>
          <w:szCs w:val="15"/>
          <w:color w:val="auto"/>
        </w:rPr>
      </w:pPr>
      <w:r>
        <w:rPr>
          <w:rFonts w:ascii="Arial" w:cs="Arial" w:eastAsia="Arial" w:hAnsi="Arial"/>
          <w:sz w:val="15"/>
          <w:szCs w:val="15"/>
          <w:color w:val="auto"/>
        </w:rPr>
        <w:t>Represents the threshold number of PSUs that could have been earned based on the results of performance measures during the three-year performance period of 2020-2022. Following 2022, the CNG Committee determined that none of these PSUs were earned, and therefore these PSUs have been forfeited.</w:t>
      </w:r>
    </w:p>
    <w:p>
      <w:pPr>
        <w:spacing w:after="0" w:line="175" w:lineRule="exact"/>
        <w:rPr>
          <w:rFonts w:ascii="Arial" w:cs="Arial" w:eastAsia="Arial" w:hAnsi="Arial"/>
          <w:sz w:val="15"/>
          <w:szCs w:val="15"/>
          <w:color w:val="auto"/>
        </w:rPr>
      </w:pPr>
    </w:p>
    <w:p>
      <w:pPr>
        <w:ind w:left="340" w:right="60" w:hanging="332"/>
        <w:spacing w:after="0" w:line="293" w:lineRule="auto"/>
        <w:tabs>
          <w:tab w:leader="none" w:pos="3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Represents the threshold number of PSUs that could have been earned based on the results of performance measures during the one-year performance period of 2022. Following 2022, the CNG Committee determined that none of these PSUs were earned, and therefore these PSUs have been forfeited.</w:t>
      </w:r>
    </w:p>
    <w:p>
      <w:pPr>
        <w:spacing w:after="0" w:line="185" w:lineRule="exact"/>
        <w:rPr>
          <w:rFonts w:ascii="Arial" w:cs="Arial" w:eastAsia="Arial" w:hAnsi="Arial"/>
          <w:sz w:val="16"/>
          <w:szCs w:val="16"/>
          <w:color w:val="auto"/>
        </w:rPr>
      </w:pPr>
    </w:p>
    <w:p>
      <w:pPr>
        <w:ind w:left="340" w:hanging="332"/>
        <w:spacing w:after="0"/>
        <w:tabs>
          <w:tab w:leader="none" w:pos="3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Upon Mr. Cappel’s termination effective November 2, 2022, he forfeited all of his outstanding PSUs.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4F81B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EXERCISES AND STOCK VESTED</w:t>
      </w:r>
    </w:p>
    <w:p>
      <w:pPr>
        <w:spacing w:after="0" w:line="25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sets forth certain information regarding RSUs held by our named executive officers that vested in 2022. None of our named executive officers holds any stock options, and therefore no stock options were exercised in 2022.</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c>
          <w:tcPr>
            <w:tcW w:w="3960" w:type="dxa"/>
            <w:vAlign w:val="bottom"/>
            <w:tcBorders>
              <w:bottom w:val="single" w:sz="8" w:color="auto"/>
            </w:tcBorders>
            <w:gridSpan w:val="3"/>
          </w:tcPr>
          <w:p>
            <w:pPr>
              <w:jc w:val="right"/>
              <w:ind w:right="2230"/>
              <w:spacing w:after="0"/>
              <w:rPr>
                <w:sz w:val="20"/>
                <w:szCs w:val="20"/>
                <w:color w:val="auto"/>
              </w:rPr>
            </w:pPr>
            <w:r>
              <w:rPr>
                <w:rFonts w:ascii="Arial" w:cs="Arial" w:eastAsia="Arial" w:hAnsi="Arial"/>
                <w:sz w:val="18"/>
                <w:szCs w:val="18"/>
                <w:b w:val="1"/>
                <w:bCs w:val="1"/>
                <w:color w:val="auto"/>
              </w:rPr>
              <w:t>Stock Awards</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5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20" w:type="dxa"/>
            <w:vAlign w:val="bottom"/>
            <w:gridSpan w:val="3"/>
          </w:tcPr>
          <w:p>
            <w:pPr>
              <w:jc w:val="center"/>
              <w:ind w:right="380"/>
              <w:spacing w:after="0" w:line="169" w:lineRule="exact"/>
              <w:rPr>
                <w:sz w:val="20"/>
                <w:szCs w:val="20"/>
                <w:color w:val="auto"/>
              </w:rPr>
            </w:pPr>
            <w:r>
              <w:rPr>
                <w:rFonts w:ascii="Arial" w:cs="Arial" w:eastAsia="Arial" w:hAnsi="Arial"/>
                <w:sz w:val="18"/>
                <w:szCs w:val="18"/>
                <w:b w:val="1"/>
                <w:bCs w:val="1"/>
                <w:color w:val="auto"/>
                <w:w w:val="90"/>
              </w:rPr>
              <w:t>Number of Shares Acquired on</w:t>
            </w:r>
          </w:p>
        </w:tc>
        <w:tc>
          <w:tcPr>
            <w:tcW w:w="3020" w:type="dxa"/>
            <w:vAlign w:val="bottom"/>
            <w:gridSpan w:val="2"/>
            <w:vMerge w:val="restart"/>
          </w:tcPr>
          <w:p>
            <w:pPr>
              <w:ind w:left="380"/>
              <w:spacing w:after="0" w:line="207" w:lineRule="exact"/>
              <w:rPr>
                <w:sz w:val="20"/>
                <w:szCs w:val="20"/>
                <w:color w:val="auto"/>
              </w:rPr>
            </w:pPr>
            <w:r>
              <w:rPr>
                <w:rFonts w:ascii="Arial" w:cs="Arial" w:eastAsia="Arial" w:hAnsi="Arial"/>
                <w:sz w:val="18"/>
                <w:szCs w:val="18"/>
                <w:b w:val="1"/>
                <w:bCs w:val="1"/>
                <w:color w:val="auto"/>
              </w:rPr>
              <w:t>Value Realized on Vesting</w:t>
            </w:r>
            <w:r>
              <w:rPr>
                <w:rFonts w:ascii="MS PGothic" w:cs="MS PGothic" w:eastAsia="MS PGothic" w:hAnsi="MS PGothic"/>
                <w:sz w:val="18"/>
                <w:szCs w:val="18"/>
                <w:color w:val="auto"/>
              </w:rPr>
              <w:t>⁽</w:t>
            </w:r>
            <w:r>
              <w:rPr>
                <w:rFonts w:ascii="Arial" w:cs="Arial" w:eastAsia="Arial" w:hAnsi="Arial"/>
                <w:sz w:val="18"/>
                <w:szCs w:val="18"/>
                <w:b w:val="1"/>
                <w:bCs w:val="1"/>
                <w:color w:val="auto"/>
              </w:rPr>
              <w:t>²</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8"/>
        </w:trPr>
        <w:tc>
          <w:tcPr>
            <w:tcW w:w="5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tcPr>
          <w:p>
            <w:pPr>
              <w:jc w:val="center"/>
              <w:ind w:left="590"/>
              <w:spacing w:after="0" w:line="207" w:lineRule="exact"/>
              <w:rPr>
                <w:sz w:val="20"/>
                <w:szCs w:val="20"/>
                <w:color w:val="auto"/>
              </w:rPr>
            </w:pPr>
            <w:r>
              <w:rPr>
                <w:rFonts w:ascii="Arial" w:cs="Arial" w:eastAsia="Arial" w:hAnsi="Arial"/>
                <w:sz w:val="18"/>
                <w:szCs w:val="18"/>
                <w:b w:val="1"/>
                <w:bCs w:val="1"/>
                <w:color w:val="auto"/>
                <w:w w:val="88"/>
              </w:rPr>
              <w:t>Vesting</w:t>
            </w:r>
            <w:r>
              <w:rPr>
                <w:rFonts w:ascii="MS PGothic" w:cs="MS PGothic" w:eastAsia="MS PGothic" w:hAnsi="MS PGothic"/>
                <w:sz w:val="18"/>
                <w:szCs w:val="18"/>
                <w:color w:val="auto"/>
                <w:w w:val="88"/>
              </w:rPr>
              <w:t>⁽</w:t>
            </w:r>
            <w:r>
              <w:rPr>
                <w:rFonts w:ascii="Arial" w:cs="Arial" w:eastAsia="Arial" w:hAnsi="Arial"/>
                <w:sz w:val="18"/>
                <w:szCs w:val="18"/>
                <w:b w:val="1"/>
                <w:bCs w:val="1"/>
                <w:color w:val="auto"/>
                <w:w w:val="88"/>
              </w:rPr>
              <w:t>¹</w:t>
            </w:r>
            <w:r>
              <w:rPr>
                <w:rFonts w:ascii="MS PGothic" w:cs="MS PGothic" w:eastAsia="MS PGothic" w:hAnsi="MS PGothic"/>
                <w:sz w:val="18"/>
                <w:szCs w:val="18"/>
                <w:color w:val="auto"/>
                <w:w w:val="88"/>
              </w:rPr>
              <w:t>⁾</w:t>
            </w:r>
          </w:p>
        </w:tc>
        <w:tc>
          <w:tcPr>
            <w:tcW w:w="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400" w:type="dxa"/>
            <w:vAlign w:val="bottom"/>
            <w:gridSpan w:val="2"/>
          </w:tcPr>
          <w:p>
            <w:pPr>
              <w:ind w:left="20"/>
              <w:spacing w:after="0"/>
              <w:rPr>
                <w:sz w:val="20"/>
                <w:szCs w:val="20"/>
                <w:color w:val="auto"/>
              </w:rPr>
            </w:pPr>
            <w:r>
              <w:rPr>
                <w:rFonts w:ascii="Arial" w:cs="Arial" w:eastAsia="Arial" w:hAnsi="Arial"/>
                <w:sz w:val="18"/>
                <w:szCs w:val="18"/>
                <w:b w:val="1"/>
                <w:bCs w:val="1"/>
                <w:color w:val="auto"/>
              </w:rPr>
              <w:t>Name</w:t>
            </w:r>
          </w:p>
        </w:tc>
        <w:tc>
          <w:tcPr>
            <w:tcW w:w="1740" w:type="dxa"/>
            <w:vAlign w:val="bottom"/>
          </w:tcPr>
          <w:p>
            <w:pPr>
              <w:jc w:val="center"/>
              <w:ind w:left="610"/>
              <w:spacing w:after="0"/>
              <w:rPr>
                <w:sz w:val="20"/>
                <w:szCs w:val="20"/>
                <w:color w:val="auto"/>
              </w:rPr>
            </w:pPr>
            <w:r>
              <w:rPr>
                <w:rFonts w:ascii="Arial" w:cs="Arial" w:eastAsia="Arial" w:hAnsi="Arial"/>
                <w:sz w:val="18"/>
                <w:szCs w:val="18"/>
                <w:b w:val="1"/>
                <w:bCs w:val="1"/>
                <w:color w:val="auto"/>
                <w:w w:val="90"/>
              </w:rPr>
              <w:t>(#)</w:t>
            </w:r>
          </w:p>
        </w:tc>
        <w:tc>
          <w:tcPr>
            <w:tcW w:w="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80" w:type="dxa"/>
            <w:vAlign w:val="bottom"/>
          </w:tcPr>
          <w:p>
            <w:pPr>
              <w:jc w:val="right"/>
              <w:ind w:right="125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Lance Mitchell</w:t>
            </w:r>
          </w:p>
        </w:tc>
        <w:tc>
          <w:tcPr>
            <w:tcW w:w="24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49,876</w:t>
            </w:r>
          </w:p>
        </w:tc>
        <w:tc>
          <w:tcPr>
            <w:tcW w:w="380" w:type="dxa"/>
            <w:vAlign w:val="bottom"/>
            <w:tcBorders>
              <w:top w:val="single" w:sz="8" w:color="CCEEFF"/>
            </w:tcBorders>
            <w:shd w:val="clear" w:color="auto" w:fill="CCEEFF"/>
          </w:tcPr>
          <w:p>
            <w:pPr>
              <w:spacing w:after="0"/>
              <w:rPr>
                <w:sz w:val="19"/>
                <w:szCs w:val="19"/>
                <w:color w:val="auto"/>
              </w:rPr>
            </w:pPr>
          </w:p>
        </w:tc>
        <w:tc>
          <w:tcPr>
            <w:tcW w:w="2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1,509,425</w:t>
            </w:r>
          </w:p>
        </w:tc>
        <w:tc>
          <w:tcPr>
            <w:tcW w:w="14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gridSpan w:val="2"/>
          </w:tcPr>
          <w:p>
            <w:pPr>
              <w:ind w:left="20"/>
              <w:spacing w:after="0"/>
              <w:rPr>
                <w:sz w:val="20"/>
                <w:szCs w:val="20"/>
                <w:color w:val="auto"/>
              </w:rPr>
            </w:pPr>
            <w:r>
              <w:rPr>
                <w:rFonts w:ascii="Arial" w:cs="Arial" w:eastAsia="Arial" w:hAnsi="Arial"/>
                <w:sz w:val="18"/>
                <w:szCs w:val="18"/>
                <w:color w:val="auto"/>
              </w:rPr>
              <w:t>Michael Graham</w:t>
            </w:r>
          </w:p>
        </w:tc>
        <w:tc>
          <w:tcPr>
            <w:tcW w:w="17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14,120</w:t>
            </w:r>
          </w:p>
        </w:tc>
        <w:tc>
          <w:tcPr>
            <w:tcW w:w="380" w:type="dxa"/>
            <w:vAlign w:val="bottom"/>
          </w:tcPr>
          <w:p>
            <w:pPr>
              <w:spacing w:after="0"/>
              <w:rPr>
                <w:sz w:val="19"/>
                <w:szCs w:val="19"/>
                <w:color w:val="auto"/>
              </w:rPr>
            </w:pPr>
          </w:p>
        </w:tc>
        <w:tc>
          <w:tcPr>
            <w:tcW w:w="2880" w:type="dxa"/>
            <w:vAlign w:val="bottom"/>
          </w:tcPr>
          <w:p>
            <w:pPr>
              <w:jc w:val="right"/>
              <w:spacing w:after="0"/>
              <w:rPr>
                <w:sz w:val="20"/>
                <w:szCs w:val="20"/>
                <w:color w:val="auto"/>
              </w:rPr>
            </w:pPr>
            <w:r>
              <w:rPr>
                <w:rFonts w:ascii="Arial" w:cs="Arial" w:eastAsia="Arial" w:hAnsi="Arial"/>
                <w:sz w:val="18"/>
                <w:szCs w:val="18"/>
                <w:color w:val="auto"/>
              </w:rPr>
              <w:t>427,446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Rachel Bishop</w:t>
            </w:r>
          </w:p>
        </w:tc>
        <w:tc>
          <w:tcPr>
            <w:tcW w:w="17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7,460</w:t>
            </w:r>
          </w:p>
        </w:tc>
        <w:tc>
          <w:tcPr>
            <w:tcW w:w="380" w:type="dxa"/>
            <w:vAlign w:val="bottom"/>
            <w:shd w:val="clear" w:color="auto" w:fill="CCEEFF"/>
          </w:tcPr>
          <w:p>
            <w:pPr>
              <w:spacing w:after="0"/>
              <w:rPr>
                <w:sz w:val="19"/>
                <w:szCs w:val="19"/>
                <w:color w:val="auto"/>
              </w:rPr>
            </w:pPr>
          </w:p>
        </w:tc>
        <w:tc>
          <w:tcPr>
            <w:tcW w:w="2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225,831</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gridSpan w:val="2"/>
          </w:tcPr>
          <w:p>
            <w:pPr>
              <w:ind w:left="20"/>
              <w:spacing w:after="0"/>
              <w:rPr>
                <w:sz w:val="20"/>
                <w:szCs w:val="20"/>
                <w:color w:val="auto"/>
              </w:rPr>
            </w:pPr>
            <w:r>
              <w:rPr>
                <w:rFonts w:ascii="Arial" w:cs="Arial" w:eastAsia="Arial" w:hAnsi="Arial"/>
                <w:sz w:val="18"/>
                <w:szCs w:val="18"/>
                <w:color w:val="auto"/>
              </w:rPr>
              <w:t>Judith Buckner</w:t>
            </w:r>
          </w:p>
        </w:tc>
        <w:tc>
          <w:tcPr>
            <w:tcW w:w="17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6,408</w:t>
            </w:r>
          </w:p>
        </w:tc>
        <w:tc>
          <w:tcPr>
            <w:tcW w:w="380" w:type="dxa"/>
            <w:vAlign w:val="bottom"/>
          </w:tcPr>
          <w:p>
            <w:pPr>
              <w:spacing w:after="0"/>
              <w:rPr>
                <w:sz w:val="19"/>
                <w:szCs w:val="19"/>
                <w:color w:val="auto"/>
              </w:rPr>
            </w:pPr>
          </w:p>
        </w:tc>
        <w:tc>
          <w:tcPr>
            <w:tcW w:w="2880" w:type="dxa"/>
            <w:vAlign w:val="bottom"/>
          </w:tcPr>
          <w:p>
            <w:pPr>
              <w:jc w:val="right"/>
              <w:spacing w:after="0"/>
              <w:rPr>
                <w:sz w:val="20"/>
                <w:szCs w:val="20"/>
                <w:color w:val="auto"/>
              </w:rPr>
            </w:pPr>
            <w:r>
              <w:rPr>
                <w:rFonts w:ascii="Arial" w:cs="Arial" w:eastAsia="Arial" w:hAnsi="Arial"/>
                <w:sz w:val="18"/>
                <w:szCs w:val="18"/>
                <w:color w:val="auto"/>
              </w:rPr>
              <w:t>193,985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Lisa Smith</w:t>
            </w:r>
          </w:p>
        </w:tc>
        <w:tc>
          <w:tcPr>
            <w:tcW w:w="17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3,105</w:t>
            </w:r>
          </w:p>
        </w:tc>
        <w:tc>
          <w:tcPr>
            <w:tcW w:w="380" w:type="dxa"/>
            <w:vAlign w:val="bottom"/>
            <w:shd w:val="clear" w:color="auto" w:fill="CCEEFF"/>
          </w:tcPr>
          <w:p>
            <w:pPr>
              <w:spacing w:after="0"/>
              <w:rPr>
                <w:sz w:val="19"/>
                <w:szCs w:val="19"/>
                <w:color w:val="auto"/>
              </w:rPr>
            </w:pPr>
          </w:p>
        </w:tc>
        <w:tc>
          <w:tcPr>
            <w:tcW w:w="2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94,076</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gridSpan w:val="2"/>
          </w:tcPr>
          <w:p>
            <w:pPr>
              <w:ind w:left="20"/>
              <w:spacing w:after="0"/>
              <w:rPr>
                <w:sz w:val="20"/>
                <w:szCs w:val="20"/>
                <w:color w:val="auto"/>
              </w:rPr>
            </w:pPr>
            <w:r>
              <w:rPr>
                <w:rFonts w:ascii="Arial" w:cs="Arial" w:eastAsia="Arial" w:hAnsi="Arial"/>
                <w:sz w:val="18"/>
                <w:szCs w:val="18"/>
                <w:color w:val="auto"/>
              </w:rPr>
              <w:t>Craig Cappel</w:t>
            </w:r>
          </w:p>
        </w:tc>
        <w:tc>
          <w:tcPr>
            <w:tcW w:w="17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8,196</w:t>
            </w:r>
          </w:p>
        </w:tc>
        <w:tc>
          <w:tcPr>
            <w:tcW w:w="380" w:type="dxa"/>
            <w:vAlign w:val="bottom"/>
          </w:tcPr>
          <w:p>
            <w:pPr>
              <w:spacing w:after="0"/>
              <w:rPr>
                <w:sz w:val="20"/>
                <w:szCs w:val="20"/>
                <w:color w:val="auto"/>
              </w:rPr>
            </w:pPr>
          </w:p>
        </w:tc>
        <w:tc>
          <w:tcPr>
            <w:tcW w:w="2880" w:type="dxa"/>
            <w:vAlign w:val="bottom"/>
          </w:tcPr>
          <w:p>
            <w:pPr>
              <w:jc w:val="right"/>
              <w:spacing w:after="0"/>
              <w:rPr>
                <w:sz w:val="20"/>
                <w:szCs w:val="20"/>
                <w:color w:val="auto"/>
              </w:rPr>
            </w:pPr>
            <w:r>
              <w:rPr>
                <w:rFonts w:ascii="Arial" w:cs="Arial" w:eastAsia="Arial" w:hAnsi="Arial"/>
                <w:sz w:val="18"/>
                <w:szCs w:val="18"/>
                <w:color w:val="auto"/>
              </w:rPr>
              <w:t>248,113</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4330700</wp:posOffset>
            </wp:positionH>
            <wp:positionV relativeFrom="paragraph">
              <wp:posOffset>-1174750</wp:posOffset>
            </wp:positionV>
            <wp:extent cx="106045" cy="869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06045" cy="86995"/>
                    </a:xfrm>
                    <a:prstGeom prst="rect">
                      <a:avLst/>
                    </a:prstGeom>
                    <a:noFill/>
                  </pic:spPr>
                </pic:pic>
              </a:graphicData>
            </a:graphic>
          </wp:anchor>
        </w:drawing>
        <w:drawing>
          <wp:anchor simplePos="0" relativeHeight="251657728" behindDoc="1" locked="0" layoutInCell="0" allowOverlap="1">
            <wp:simplePos x="0" y="0"/>
            <wp:positionH relativeFrom="column">
              <wp:posOffset>6713855</wp:posOffset>
            </wp:positionH>
            <wp:positionV relativeFrom="paragraph">
              <wp:posOffset>-1165860</wp:posOffset>
            </wp:positionV>
            <wp:extent cx="106045" cy="869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06045" cy="86995"/>
                    </a:xfrm>
                    <a:prstGeom prst="rect">
                      <a:avLst/>
                    </a:prstGeom>
                    <a:noFill/>
                  </pic:spPr>
                </pic:pic>
              </a:graphicData>
            </a:graphic>
          </wp:anchor>
        </w:drawing>
      </w:r>
    </w:p>
    <w:p>
      <w:pPr>
        <w:spacing w:after="0" w:line="307" w:lineRule="exact"/>
        <w:rPr>
          <w:sz w:val="20"/>
          <w:szCs w:val="20"/>
          <w:color w:val="auto"/>
        </w:rPr>
      </w:pPr>
    </w:p>
    <w:p>
      <w:pPr>
        <w:ind w:left="340" w:hanging="332"/>
        <w:spacing w:after="0"/>
        <w:tabs>
          <w:tab w:leader="none" w:pos="3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Represents RSUs that vested on February 1, 2022, February 4, 2022 and March 5, 2022, before shares were withheld for taxes.</w:t>
      </w:r>
    </w:p>
    <w:p>
      <w:pPr>
        <w:spacing w:after="0" w:line="221" w:lineRule="exact"/>
        <w:rPr>
          <w:rFonts w:ascii="Arial" w:cs="Arial" w:eastAsia="Arial" w:hAnsi="Arial"/>
          <w:sz w:val="16"/>
          <w:szCs w:val="16"/>
          <w:color w:val="auto"/>
        </w:rPr>
      </w:pPr>
    </w:p>
    <w:p>
      <w:pPr>
        <w:ind w:left="340" w:hanging="332"/>
        <w:spacing w:after="0"/>
        <w:tabs>
          <w:tab w:leader="none" w:pos="3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Value realized is calculated by multiplying the closing price of our common stock on the date of vesting by the number of RSUs that vested on that date.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2022 PENSION BENEFITS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sets forth information with respect to each plan that provides for payments or other benefits at, following, or in connection with retirement.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Number</w:t>
            </w:r>
          </w:p>
        </w:tc>
        <w:tc>
          <w:tcPr>
            <w:tcW w:w="18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Present Value of</w:t>
            </w:r>
          </w:p>
        </w:tc>
        <w:tc>
          <w:tcPr>
            <w:tcW w:w="1640" w:type="dxa"/>
            <w:vAlign w:val="bottom"/>
            <w:gridSpan w:val="2"/>
            <w:vMerge w:val="restart"/>
          </w:tcPr>
          <w:p>
            <w:pPr>
              <w:jc w:val="center"/>
              <w:ind w:right="140"/>
              <w:spacing w:after="0"/>
              <w:rPr>
                <w:sz w:val="20"/>
                <w:szCs w:val="20"/>
                <w:color w:val="auto"/>
              </w:rPr>
            </w:pPr>
            <w:r>
              <w:rPr>
                <w:rFonts w:ascii="Arial" w:cs="Arial" w:eastAsia="Arial" w:hAnsi="Arial"/>
                <w:sz w:val="18"/>
                <w:szCs w:val="18"/>
                <w:b w:val="1"/>
                <w:bCs w:val="1"/>
                <w:color w:val="auto"/>
                <w:w w:val="90"/>
              </w:rPr>
              <w:t>Payments During</w:t>
            </w:r>
          </w:p>
        </w:tc>
        <w:tc>
          <w:tcPr>
            <w:tcW w:w="0" w:type="dxa"/>
            <w:vAlign w:val="bottom"/>
          </w:tcPr>
          <w:p>
            <w:pPr>
              <w:spacing w:after="0"/>
              <w:rPr>
                <w:sz w:val="1"/>
                <w:szCs w:val="1"/>
                <w:color w:val="auto"/>
              </w:rPr>
            </w:pPr>
          </w:p>
        </w:tc>
      </w:tr>
      <w:tr>
        <w:trPr>
          <w:trHeight w:val="180"/>
        </w:trPr>
        <w:tc>
          <w:tcPr>
            <w:tcW w:w="1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40" w:type="dxa"/>
            <w:vAlign w:val="bottom"/>
            <w:gridSpan w:val="2"/>
          </w:tcPr>
          <w:p>
            <w:pPr>
              <w:jc w:val="center"/>
              <w:ind w:right="340"/>
              <w:spacing w:after="0" w:line="181" w:lineRule="exact"/>
              <w:rPr>
                <w:sz w:val="20"/>
                <w:szCs w:val="20"/>
                <w:color w:val="auto"/>
              </w:rPr>
            </w:pPr>
            <w:r>
              <w:rPr>
                <w:rFonts w:ascii="Arial" w:cs="Arial" w:eastAsia="Arial" w:hAnsi="Arial"/>
                <w:sz w:val="18"/>
                <w:szCs w:val="18"/>
                <w:b w:val="1"/>
                <w:bCs w:val="1"/>
                <w:color w:val="auto"/>
                <w:w w:val="89"/>
              </w:rPr>
              <w:t>of Years Credited</w:t>
            </w:r>
          </w:p>
        </w:tc>
        <w:tc>
          <w:tcPr>
            <w:tcW w:w="1860" w:type="dxa"/>
            <w:vAlign w:val="bottom"/>
            <w:gridSpan w:val="2"/>
          </w:tcPr>
          <w:p>
            <w:pPr>
              <w:jc w:val="center"/>
              <w:ind w:right="360"/>
              <w:spacing w:after="0" w:line="181" w:lineRule="exact"/>
              <w:rPr>
                <w:sz w:val="20"/>
                <w:szCs w:val="20"/>
                <w:color w:val="auto"/>
              </w:rPr>
            </w:pPr>
            <w:r>
              <w:rPr>
                <w:rFonts w:ascii="Arial" w:cs="Arial" w:eastAsia="Arial" w:hAnsi="Arial"/>
                <w:sz w:val="18"/>
                <w:szCs w:val="18"/>
                <w:b w:val="1"/>
                <w:bCs w:val="1"/>
                <w:color w:val="auto"/>
                <w:w w:val="90"/>
              </w:rPr>
              <w:t>Accumulated</w:t>
            </w:r>
          </w:p>
        </w:tc>
        <w:tc>
          <w:tcPr>
            <w:tcW w:w="16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1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Name</w:t>
            </w:r>
          </w:p>
        </w:tc>
        <w:tc>
          <w:tcPr>
            <w:tcW w:w="3780" w:type="dxa"/>
            <w:vAlign w:val="bottom"/>
            <w:gridSpan w:val="2"/>
            <w:vMerge w:val="restart"/>
          </w:tcPr>
          <w:p>
            <w:pPr>
              <w:ind w:left="1300"/>
              <w:spacing w:after="0"/>
              <w:rPr>
                <w:sz w:val="20"/>
                <w:szCs w:val="20"/>
                <w:color w:val="auto"/>
              </w:rPr>
            </w:pPr>
            <w:r>
              <w:rPr>
                <w:rFonts w:ascii="Arial" w:cs="Arial" w:eastAsia="Arial" w:hAnsi="Arial"/>
                <w:sz w:val="18"/>
                <w:szCs w:val="18"/>
                <w:b w:val="1"/>
                <w:bCs w:val="1"/>
                <w:color w:val="auto"/>
              </w:rPr>
              <w:t>Plan Name</w:t>
            </w:r>
          </w:p>
        </w:tc>
        <w:tc>
          <w:tcPr>
            <w:tcW w:w="1840" w:type="dxa"/>
            <w:vAlign w:val="bottom"/>
            <w:gridSpan w:val="2"/>
          </w:tcPr>
          <w:p>
            <w:pPr>
              <w:jc w:val="center"/>
              <w:ind w:right="360"/>
              <w:spacing w:after="0" w:line="176" w:lineRule="exact"/>
              <w:rPr>
                <w:sz w:val="20"/>
                <w:szCs w:val="20"/>
                <w:color w:val="auto"/>
              </w:rPr>
            </w:pPr>
            <w:r>
              <w:rPr>
                <w:rFonts w:ascii="Arial" w:cs="Arial" w:eastAsia="Arial" w:hAnsi="Arial"/>
                <w:sz w:val="18"/>
                <w:szCs w:val="18"/>
                <w:b w:val="1"/>
                <w:bCs w:val="1"/>
                <w:color w:val="auto"/>
                <w:w w:val="87"/>
              </w:rPr>
              <w:t>Service</w:t>
            </w:r>
          </w:p>
        </w:tc>
        <w:tc>
          <w:tcPr>
            <w:tcW w:w="1860" w:type="dxa"/>
            <w:vAlign w:val="bottom"/>
            <w:gridSpan w:val="2"/>
          </w:tcPr>
          <w:p>
            <w:pPr>
              <w:jc w:val="center"/>
              <w:ind w:right="380"/>
              <w:spacing w:after="0" w:line="176" w:lineRule="exact"/>
              <w:rPr>
                <w:sz w:val="20"/>
                <w:szCs w:val="20"/>
                <w:color w:val="auto"/>
              </w:rPr>
            </w:pPr>
            <w:r>
              <w:rPr>
                <w:rFonts w:ascii="Arial" w:cs="Arial" w:eastAsia="Arial" w:hAnsi="Arial"/>
                <w:sz w:val="18"/>
                <w:szCs w:val="18"/>
                <w:b w:val="1"/>
                <w:bCs w:val="1"/>
                <w:color w:val="auto"/>
                <w:w w:val="91"/>
              </w:rPr>
              <w:t>Benefit</w:t>
            </w:r>
          </w:p>
        </w:tc>
        <w:tc>
          <w:tcPr>
            <w:tcW w:w="1640" w:type="dxa"/>
            <w:vAlign w:val="bottom"/>
            <w:gridSpan w:val="2"/>
          </w:tcPr>
          <w:p>
            <w:pPr>
              <w:jc w:val="center"/>
              <w:ind w:right="160"/>
              <w:spacing w:after="0" w:line="176" w:lineRule="exact"/>
              <w:rPr>
                <w:sz w:val="20"/>
                <w:szCs w:val="20"/>
                <w:color w:val="auto"/>
              </w:rPr>
            </w:pPr>
            <w:r>
              <w:rPr>
                <w:rFonts w:ascii="Arial" w:cs="Arial" w:eastAsia="Arial" w:hAnsi="Arial"/>
                <w:sz w:val="18"/>
                <w:szCs w:val="18"/>
                <w:b w:val="1"/>
                <w:bCs w:val="1"/>
                <w:color w:val="auto"/>
                <w:w w:val="90"/>
              </w:rPr>
              <w:t>Last Fiscal Year</w:t>
            </w:r>
          </w:p>
        </w:tc>
        <w:tc>
          <w:tcPr>
            <w:tcW w:w="0" w:type="dxa"/>
            <w:vAlign w:val="bottom"/>
          </w:tcPr>
          <w:p>
            <w:pPr>
              <w:spacing w:after="0"/>
              <w:rPr>
                <w:sz w:val="1"/>
                <w:szCs w:val="1"/>
                <w:color w:val="auto"/>
              </w:rPr>
            </w:pPr>
          </w:p>
        </w:tc>
      </w:tr>
      <w:tr>
        <w:trPr>
          <w:trHeight w:val="229"/>
        </w:trPr>
        <w:tc>
          <w:tcPr>
            <w:tcW w:w="2120" w:type="dxa"/>
            <w:vAlign w:val="bottom"/>
            <w:gridSpan w:val="2"/>
            <w:vMerge w:val="continue"/>
          </w:tcPr>
          <w:p>
            <w:pPr>
              <w:spacing w:after="0"/>
              <w:rPr>
                <w:sz w:val="19"/>
                <w:szCs w:val="19"/>
                <w:color w:val="auto"/>
              </w:rPr>
            </w:pPr>
          </w:p>
        </w:tc>
        <w:tc>
          <w:tcPr>
            <w:tcW w:w="3780" w:type="dxa"/>
            <w:vAlign w:val="bottom"/>
            <w:gridSpan w:val="2"/>
            <w:vMerge w:val="continue"/>
          </w:tcPr>
          <w:p>
            <w:pPr>
              <w:spacing w:after="0"/>
              <w:rPr>
                <w:sz w:val="19"/>
                <w:szCs w:val="19"/>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34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340" w:type="dxa"/>
            <w:vAlign w:val="bottom"/>
          </w:tcPr>
          <w:p>
            <w:pPr>
              <w:spacing w:after="0"/>
              <w:rPr>
                <w:sz w:val="19"/>
                <w:szCs w:val="19"/>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9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Lance Mitchell</w:t>
            </w:r>
          </w:p>
        </w:tc>
        <w:tc>
          <w:tcPr>
            <w:tcW w:w="180" w:type="dxa"/>
            <w:vAlign w:val="bottom"/>
            <w:tcBorders>
              <w:top w:val="single" w:sz="8" w:color="CCEEFF"/>
            </w:tcBorders>
            <w:shd w:val="clear" w:color="auto" w:fill="CCEEFF"/>
          </w:tcPr>
          <w:p>
            <w:pPr>
              <w:spacing w:after="0"/>
              <w:rPr>
                <w:sz w:val="19"/>
                <w:szCs w:val="19"/>
                <w:color w:val="auto"/>
              </w:rPr>
            </w:pPr>
          </w:p>
        </w:tc>
        <w:tc>
          <w:tcPr>
            <w:tcW w:w="3440" w:type="dxa"/>
            <w:vAlign w:val="bottom"/>
            <w:tcBorders>
              <w:top w:val="single" w:sz="8" w:color="auto"/>
            </w:tcBorders>
            <w:shd w:val="clear" w:color="auto" w:fill="CCEEFF"/>
          </w:tcPr>
          <w:p>
            <w:pPr>
              <w:ind w:left="1720"/>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ind w:left="1300"/>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20" w:type="dxa"/>
            <w:vAlign w:val="bottom"/>
            <w:gridSpan w:val="2"/>
          </w:tcPr>
          <w:p>
            <w:pPr>
              <w:ind w:left="20"/>
              <w:spacing w:after="0"/>
              <w:rPr>
                <w:sz w:val="20"/>
                <w:szCs w:val="20"/>
                <w:color w:val="auto"/>
              </w:rPr>
            </w:pPr>
            <w:r>
              <w:rPr>
                <w:rFonts w:ascii="Arial" w:cs="Arial" w:eastAsia="Arial" w:hAnsi="Arial"/>
                <w:sz w:val="18"/>
                <w:szCs w:val="18"/>
                <w:color w:val="auto"/>
              </w:rPr>
              <w:t>Michael Graham</w:t>
            </w:r>
          </w:p>
        </w:tc>
        <w:tc>
          <w:tcPr>
            <w:tcW w:w="3780" w:type="dxa"/>
            <w:vAlign w:val="bottom"/>
            <w:gridSpan w:val="2"/>
          </w:tcPr>
          <w:p>
            <w:pPr>
              <w:ind w:left="1720"/>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4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Rachel Bishop</w:t>
            </w:r>
          </w:p>
        </w:tc>
        <w:tc>
          <w:tcPr>
            <w:tcW w:w="3780" w:type="dxa"/>
            <w:vAlign w:val="bottom"/>
            <w:gridSpan w:val="2"/>
            <w:shd w:val="clear" w:color="auto" w:fill="CCEEFF"/>
          </w:tcPr>
          <w:p>
            <w:pPr>
              <w:ind w:left="1720"/>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120" w:type="dxa"/>
            <w:vAlign w:val="bottom"/>
            <w:gridSpan w:val="2"/>
          </w:tcPr>
          <w:p>
            <w:pPr>
              <w:ind w:left="20"/>
              <w:spacing w:after="0"/>
              <w:rPr>
                <w:sz w:val="20"/>
                <w:szCs w:val="20"/>
                <w:color w:val="auto"/>
              </w:rPr>
            </w:pPr>
            <w:r>
              <w:rPr>
                <w:rFonts w:ascii="Arial" w:cs="Arial" w:eastAsia="Arial" w:hAnsi="Arial"/>
                <w:sz w:val="18"/>
                <w:szCs w:val="18"/>
                <w:color w:val="auto"/>
              </w:rPr>
              <w:t>Judith Buckner</w:t>
            </w:r>
          </w:p>
        </w:tc>
        <w:tc>
          <w:tcPr>
            <w:tcW w:w="3780" w:type="dxa"/>
            <w:vAlign w:val="bottom"/>
            <w:gridSpan w:val="2"/>
          </w:tcPr>
          <w:p>
            <w:pPr>
              <w:ind w:left="960"/>
              <w:spacing w:after="0"/>
              <w:rPr>
                <w:sz w:val="20"/>
                <w:szCs w:val="20"/>
                <w:color w:val="auto"/>
              </w:rPr>
            </w:pPr>
            <w:r>
              <w:rPr>
                <w:rFonts w:ascii="Arial" w:cs="Arial" w:eastAsia="Arial" w:hAnsi="Arial"/>
                <w:sz w:val="18"/>
                <w:szCs w:val="18"/>
                <w:color w:val="auto"/>
              </w:rPr>
              <w:t>Pension Plan for Pactiv Evergreen</w:t>
            </w:r>
          </w:p>
        </w:tc>
        <w:tc>
          <w:tcPr>
            <w:tcW w:w="1500" w:type="dxa"/>
            <w:vAlign w:val="bottom"/>
          </w:tcPr>
          <w:p>
            <w:pPr>
              <w:jc w:val="right"/>
              <w:spacing w:after="0"/>
              <w:rPr>
                <w:sz w:val="20"/>
                <w:szCs w:val="20"/>
                <w:color w:val="auto"/>
              </w:rPr>
            </w:pPr>
            <w:r>
              <w:rPr>
                <w:rFonts w:ascii="Arial" w:cs="Arial" w:eastAsia="Arial" w:hAnsi="Arial"/>
                <w:sz w:val="18"/>
                <w:szCs w:val="18"/>
                <w:color w:val="auto"/>
              </w:rPr>
              <w:t>10.50</w:t>
            </w:r>
          </w:p>
        </w:tc>
        <w:tc>
          <w:tcPr>
            <w:tcW w:w="3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164,593</w:t>
            </w:r>
          </w:p>
        </w:tc>
        <w:tc>
          <w:tcPr>
            <w:tcW w:w="340" w:type="dxa"/>
            <w:vAlign w:val="bottom"/>
          </w:tcPr>
          <w:p>
            <w:pPr>
              <w:spacing w:after="0"/>
              <w:rPr>
                <w:sz w:val="19"/>
                <w:szCs w:val="19"/>
                <w:color w:val="auto"/>
              </w:rPr>
            </w:pPr>
          </w:p>
        </w:tc>
        <w:tc>
          <w:tcPr>
            <w:tcW w:w="164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Lisa Smith</w:t>
            </w:r>
          </w:p>
        </w:tc>
        <w:tc>
          <w:tcPr>
            <w:tcW w:w="378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Pension Plan for Pactiv Evergreen</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3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14,595</w:t>
            </w:r>
          </w:p>
        </w:tc>
        <w:tc>
          <w:tcPr>
            <w:tcW w:w="34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120" w:type="dxa"/>
            <w:vAlign w:val="bottom"/>
            <w:gridSpan w:val="2"/>
          </w:tcPr>
          <w:p>
            <w:pPr>
              <w:ind w:left="20"/>
              <w:spacing w:after="0"/>
              <w:rPr>
                <w:sz w:val="20"/>
                <w:szCs w:val="20"/>
                <w:color w:val="auto"/>
              </w:rPr>
            </w:pPr>
            <w:r>
              <w:rPr>
                <w:rFonts w:ascii="Arial" w:cs="Arial" w:eastAsia="Arial" w:hAnsi="Arial"/>
                <w:sz w:val="18"/>
                <w:szCs w:val="18"/>
                <w:color w:val="auto"/>
              </w:rPr>
              <w:t>Craig Cappel</w:t>
            </w:r>
          </w:p>
        </w:tc>
        <w:tc>
          <w:tcPr>
            <w:tcW w:w="3780" w:type="dxa"/>
            <w:vAlign w:val="bottom"/>
            <w:gridSpan w:val="2"/>
          </w:tcPr>
          <w:p>
            <w:pPr>
              <w:ind w:left="960"/>
              <w:spacing w:after="0"/>
              <w:rPr>
                <w:sz w:val="20"/>
                <w:szCs w:val="20"/>
                <w:color w:val="auto"/>
              </w:rPr>
            </w:pPr>
            <w:r>
              <w:rPr>
                <w:rFonts w:ascii="Arial" w:cs="Arial" w:eastAsia="Arial" w:hAnsi="Arial"/>
                <w:sz w:val="18"/>
                <w:szCs w:val="18"/>
                <w:color w:val="auto"/>
              </w:rPr>
              <w:t>Pension Plan for Pactiv Evergreen</w:t>
            </w:r>
          </w:p>
        </w:tc>
        <w:tc>
          <w:tcPr>
            <w:tcW w:w="1500" w:type="dxa"/>
            <w:vAlign w:val="bottom"/>
          </w:tcPr>
          <w:p>
            <w:pPr>
              <w:jc w:val="right"/>
              <w:spacing w:after="0"/>
              <w:rPr>
                <w:sz w:val="20"/>
                <w:szCs w:val="20"/>
                <w:color w:val="auto"/>
              </w:rPr>
            </w:pPr>
            <w:r>
              <w:rPr>
                <w:rFonts w:ascii="Arial" w:cs="Arial" w:eastAsia="Arial" w:hAnsi="Arial"/>
                <w:sz w:val="18"/>
                <w:szCs w:val="18"/>
                <w:color w:val="auto"/>
              </w:rPr>
              <w:t>13.50</w:t>
            </w:r>
          </w:p>
        </w:tc>
        <w:tc>
          <w:tcPr>
            <w:tcW w:w="3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192,511</w:t>
            </w:r>
          </w:p>
        </w:tc>
        <w:tc>
          <w:tcPr>
            <w:tcW w:w="340" w:type="dxa"/>
            <w:vAlign w:val="bottom"/>
          </w:tcPr>
          <w:p>
            <w:pPr>
              <w:spacing w:after="0"/>
              <w:rPr>
                <w:sz w:val="20"/>
                <w:szCs w:val="20"/>
                <w:color w:val="auto"/>
              </w:rPr>
            </w:pPr>
          </w:p>
        </w:tc>
        <w:tc>
          <w:tcPr>
            <w:tcW w:w="164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Ms. Buckner, Ms. Smith and Mr. Cappel have legacy entitlements under the Pension Plan for Pactiv Evergreen (formerly known as the Pactiv Evergreen Pension Plan), an ERISA-qualified defined benefit plan maintained by PEI Group.</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present value of accumulated benefit amount in the table above is calculated using the Pri-2012 aggregate mortality table with MP2021 as adjusted to reflect endemic COVID-19, and a discount rate of 5.22% as of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4F81B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2022 NONQUALIFIED DEFERRED COMPENSATION</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2022, we maintained a non-qualified deferred compensation plan that allowed participants to defer portions of their compensation. The purpose of this plan is to allow such persons to defer receipt of such compensation, and therefore the tax obligations arising from such compensation, to a date elected by the participant. The following table sets forth information with respect to each NEO’s participation in such plan.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Executive</w:t>
            </w:r>
          </w:p>
        </w:tc>
        <w:tc>
          <w:tcPr>
            <w:tcW w:w="17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Company</w:t>
            </w:r>
          </w:p>
        </w:tc>
        <w:tc>
          <w:tcPr>
            <w:tcW w:w="14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Aggregate</w:t>
            </w:r>
          </w:p>
        </w:tc>
        <w:tc>
          <w:tcPr>
            <w:tcW w:w="17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Aggregate</w:t>
            </w:r>
          </w:p>
        </w:tc>
        <w:tc>
          <w:tcPr>
            <w:tcW w:w="13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Aggregate</w:t>
            </w:r>
          </w:p>
        </w:tc>
        <w:tc>
          <w:tcPr>
            <w:tcW w:w="0" w:type="dxa"/>
            <w:vAlign w:val="bottom"/>
          </w:tcPr>
          <w:p>
            <w:pPr>
              <w:spacing w:after="0"/>
              <w:rPr>
                <w:sz w:val="1"/>
                <w:szCs w:val="1"/>
                <w:color w:val="auto"/>
              </w:rPr>
            </w:pPr>
          </w:p>
        </w:tc>
      </w:tr>
      <w:tr>
        <w:trPr>
          <w:trHeight w:val="184"/>
        </w:trPr>
        <w:tc>
          <w:tcPr>
            <w:tcW w:w="2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80" w:type="dxa"/>
            <w:vAlign w:val="bottom"/>
            <w:gridSpan w:val="2"/>
          </w:tcPr>
          <w:p>
            <w:pPr>
              <w:jc w:val="center"/>
              <w:ind w:right="220"/>
              <w:spacing w:after="0" w:line="184" w:lineRule="exact"/>
              <w:rPr>
                <w:sz w:val="20"/>
                <w:szCs w:val="20"/>
                <w:color w:val="auto"/>
              </w:rPr>
            </w:pPr>
            <w:r>
              <w:rPr>
                <w:rFonts w:ascii="Arial" w:cs="Arial" w:eastAsia="Arial" w:hAnsi="Arial"/>
                <w:sz w:val="18"/>
                <w:szCs w:val="18"/>
                <w:b w:val="1"/>
                <w:bCs w:val="1"/>
                <w:color w:val="auto"/>
                <w:w w:val="91"/>
              </w:rPr>
              <w:t>Contributions</w:t>
            </w:r>
          </w:p>
        </w:tc>
        <w:tc>
          <w:tcPr>
            <w:tcW w:w="1780" w:type="dxa"/>
            <w:vAlign w:val="bottom"/>
            <w:gridSpan w:val="2"/>
          </w:tcPr>
          <w:p>
            <w:pPr>
              <w:jc w:val="center"/>
              <w:ind w:right="220"/>
              <w:spacing w:after="0" w:line="184" w:lineRule="exact"/>
              <w:rPr>
                <w:sz w:val="20"/>
                <w:szCs w:val="20"/>
                <w:color w:val="auto"/>
              </w:rPr>
            </w:pPr>
            <w:r>
              <w:rPr>
                <w:rFonts w:ascii="Arial" w:cs="Arial" w:eastAsia="Arial" w:hAnsi="Arial"/>
                <w:sz w:val="18"/>
                <w:szCs w:val="18"/>
                <w:b w:val="1"/>
                <w:bCs w:val="1"/>
                <w:color w:val="auto"/>
                <w:w w:val="91"/>
              </w:rPr>
              <w:t>Contributions</w:t>
            </w:r>
          </w:p>
        </w:tc>
        <w:tc>
          <w:tcPr>
            <w:tcW w:w="1480" w:type="dxa"/>
            <w:vAlign w:val="bottom"/>
            <w:gridSpan w:val="2"/>
          </w:tcPr>
          <w:p>
            <w:pPr>
              <w:jc w:val="center"/>
              <w:ind w:right="220"/>
              <w:spacing w:after="0" w:line="184" w:lineRule="exact"/>
              <w:rPr>
                <w:sz w:val="20"/>
                <w:szCs w:val="20"/>
                <w:color w:val="auto"/>
              </w:rPr>
            </w:pPr>
            <w:r>
              <w:rPr>
                <w:rFonts w:ascii="Arial" w:cs="Arial" w:eastAsia="Arial" w:hAnsi="Arial"/>
                <w:sz w:val="18"/>
                <w:szCs w:val="18"/>
                <w:b w:val="1"/>
                <w:bCs w:val="1"/>
                <w:color w:val="auto"/>
                <w:w w:val="91"/>
              </w:rPr>
              <w:t>Earnings in</w:t>
            </w:r>
          </w:p>
        </w:tc>
        <w:tc>
          <w:tcPr>
            <w:tcW w:w="1780" w:type="dxa"/>
            <w:vAlign w:val="bottom"/>
            <w:gridSpan w:val="2"/>
          </w:tcPr>
          <w:p>
            <w:pPr>
              <w:jc w:val="center"/>
              <w:ind w:right="220"/>
              <w:spacing w:after="0" w:line="184" w:lineRule="exact"/>
              <w:rPr>
                <w:sz w:val="20"/>
                <w:szCs w:val="20"/>
                <w:color w:val="auto"/>
              </w:rPr>
            </w:pPr>
            <w:r>
              <w:rPr>
                <w:rFonts w:ascii="Arial" w:cs="Arial" w:eastAsia="Arial" w:hAnsi="Arial"/>
                <w:sz w:val="18"/>
                <w:szCs w:val="18"/>
                <w:b w:val="1"/>
                <w:bCs w:val="1"/>
                <w:color w:val="auto"/>
                <w:w w:val="93"/>
              </w:rPr>
              <w:t>Withdrawals/</w:t>
            </w:r>
          </w:p>
        </w:tc>
        <w:tc>
          <w:tcPr>
            <w:tcW w:w="1360" w:type="dxa"/>
            <w:vAlign w:val="bottom"/>
            <w:gridSpan w:val="2"/>
          </w:tcPr>
          <w:p>
            <w:pPr>
              <w:jc w:val="center"/>
              <w:ind w:right="80"/>
              <w:spacing w:after="0" w:line="184" w:lineRule="exact"/>
              <w:rPr>
                <w:sz w:val="20"/>
                <w:szCs w:val="20"/>
                <w:color w:val="auto"/>
              </w:rPr>
            </w:pPr>
            <w:r>
              <w:rPr>
                <w:rFonts w:ascii="Arial" w:cs="Arial" w:eastAsia="Arial" w:hAnsi="Arial"/>
                <w:sz w:val="18"/>
                <w:szCs w:val="18"/>
                <w:b w:val="1"/>
                <w:bCs w:val="1"/>
                <w:color w:val="auto"/>
                <w:w w:val="88"/>
              </w:rPr>
              <w:t>Balance at</w:t>
            </w:r>
          </w:p>
        </w:tc>
        <w:tc>
          <w:tcPr>
            <w:tcW w:w="0" w:type="dxa"/>
            <w:vAlign w:val="bottom"/>
          </w:tcPr>
          <w:p>
            <w:pPr>
              <w:spacing w:after="0"/>
              <w:rPr>
                <w:sz w:val="1"/>
                <w:szCs w:val="1"/>
                <w:color w:val="auto"/>
              </w:rPr>
            </w:pPr>
          </w:p>
        </w:tc>
      </w:tr>
      <w:tr>
        <w:trPr>
          <w:trHeight w:val="180"/>
        </w:trPr>
        <w:tc>
          <w:tcPr>
            <w:tcW w:w="30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Name</w:t>
            </w:r>
          </w:p>
        </w:tc>
        <w:tc>
          <w:tcPr>
            <w:tcW w:w="1780" w:type="dxa"/>
            <w:vAlign w:val="bottom"/>
            <w:gridSpan w:val="2"/>
          </w:tcPr>
          <w:p>
            <w:pPr>
              <w:jc w:val="center"/>
              <w:ind w:right="200"/>
              <w:spacing w:after="0" w:line="181" w:lineRule="exact"/>
              <w:rPr>
                <w:sz w:val="20"/>
                <w:szCs w:val="20"/>
                <w:color w:val="auto"/>
              </w:rPr>
            </w:pPr>
            <w:r>
              <w:rPr>
                <w:rFonts w:ascii="Arial" w:cs="Arial" w:eastAsia="Arial" w:hAnsi="Arial"/>
                <w:sz w:val="18"/>
                <w:szCs w:val="18"/>
                <w:b w:val="1"/>
                <w:bCs w:val="1"/>
                <w:color w:val="auto"/>
                <w:w w:val="95"/>
              </w:rPr>
              <w:t>in Last FY</w:t>
            </w:r>
          </w:p>
        </w:tc>
        <w:tc>
          <w:tcPr>
            <w:tcW w:w="1780" w:type="dxa"/>
            <w:vAlign w:val="bottom"/>
            <w:gridSpan w:val="2"/>
          </w:tcPr>
          <w:p>
            <w:pPr>
              <w:jc w:val="center"/>
              <w:ind w:right="200"/>
              <w:spacing w:after="0" w:line="181" w:lineRule="exact"/>
              <w:rPr>
                <w:sz w:val="20"/>
                <w:szCs w:val="20"/>
                <w:color w:val="auto"/>
              </w:rPr>
            </w:pPr>
            <w:r>
              <w:rPr>
                <w:rFonts w:ascii="Arial" w:cs="Arial" w:eastAsia="Arial" w:hAnsi="Arial"/>
                <w:sz w:val="18"/>
                <w:szCs w:val="18"/>
                <w:b w:val="1"/>
                <w:bCs w:val="1"/>
                <w:color w:val="auto"/>
                <w:w w:val="95"/>
              </w:rPr>
              <w:t>in Last FY</w:t>
            </w:r>
          </w:p>
        </w:tc>
        <w:tc>
          <w:tcPr>
            <w:tcW w:w="1480" w:type="dxa"/>
            <w:vAlign w:val="bottom"/>
            <w:gridSpan w:val="2"/>
          </w:tcPr>
          <w:p>
            <w:pPr>
              <w:jc w:val="center"/>
              <w:ind w:right="220"/>
              <w:spacing w:after="0" w:line="181" w:lineRule="exact"/>
              <w:rPr>
                <w:sz w:val="20"/>
                <w:szCs w:val="20"/>
                <w:color w:val="auto"/>
              </w:rPr>
            </w:pPr>
            <w:r>
              <w:rPr>
                <w:rFonts w:ascii="Arial" w:cs="Arial" w:eastAsia="Arial" w:hAnsi="Arial"/>
                <w:sz w:val="18"/>
                <w:szCs w:val="18"/>
                <w:b w:val="1"/>
                <w:bCs w:val="1"/>
                <w:color w:val="auto"/>
                <w:w w:val="95"/>
              </w:rPr>
              <w:t>Last FY</w:t>
            </w:r>
          </w:p>
        </w:tc>
        <w:tc>
          <w:tcPr>
            <w:tcW w:w="1780" w:type="dxa"/>
            <w:vAlign w:val="bottom"/>
            <w:gridSpan w:val="2"/>
          </w:tcPr>
          <w:p>
            <w:pPr>
              <w:jc w:val="center"/>
              <w:ind w:right="220"/>
              <w:spacing w:after="0" w:line="181" w:lineRule="exact"/>
              <w:rPr>
                <w:sz w:val="20"/>
                <w:szCs w:val="20"/>
                <w:color w:val="auto"/>
              </w:rPr>
            </w:pPr>
            <w:r>
              <w:rPr>
                <w:rFonts w:ascii="Arial" w:cs="Arial" w:eastAsia="Arial" w:hAnsi="Arial"/>
                <w:sz w:val="18"/>
                <w:szCs w:val="18"/>
                <w:b w:val="1"/>
                <w:bCs w:val="1"/>
                <w:color w:val="auto"/>
                <w:w w:val="90"/>
              </w:rPr>
              <w:t>Distributions</w:t>
            </w:r>
          </w:p>
        </w:tc>
        <w:tc>
          <w:tcPr>
            <w:tcW w:w="1360" w:type="dxa"/>
            <w:vAlign w:val="bottom"/>
            <w:gridSpan w:val="2"/>
          </w:tcPr>
          <w:p>
            <w:pPr>
              <w:jc w:val="center"/>
              <w:ind w:right="80"/>
              <w:spacing w:after="0" w:line="181" w:lineRule="exact"/>
              <w:rPr>
                <w:sz w:val="20"/>
                <w:szCs w:val="20"/>
                <w:color w:val="auto"/>
              </w:rPr>
            </w:pPr>
            <w:r>
              <w:rPr>
                <w:rFonts w:ascii="Arial" w:cs="Arial" w:eastAsia="Arial" w:hAnsi="Arial"/>
                <w:sz w:val="18"/>
                <w:szCs w:val="18"/>
                <w:b w:val="1"/>
                <w:bCs w:val="1"/>
                <w:color w:val="auto"/>
                <w:w w:val="94"/>
              </w:rPr>
              <w:t>Last FYE 2022</w:t>
            </w:r>
          </w:p>
        </w:tc>
        <w:tc>
          <w:tcPr>
            <w:tcW w:w="0" w:type="dxa"/>
            <w:vAlign w:val="bottom"/>
          </w:tcPr>
          <w:p>
            <w:pPr>
              <w:spacing w:after="0"/>
              <w:rPr>
                <w:sz w:val="1"/>
                <w:szCs w:val="1"/>
                <w:color w:val="auto"/>
              </w:rPr>
            </w:pPr>
          </w:p>
        </w:tc>
      </w:tr>
      <w:tr>
        <w:trPr>
          <w:trHeight w:val="229"/>
        </w:trPr>
        <w:tc>
          <w:tcPr>
            <w:tcW w:w="3060" w:type="dxa"/>
            <w:vAlign w:val="bottom"/>
            <w:gridSpan w:val="2"/>
            <w:vMerge w:val="continue"/>
          </w:tcPr>
          <w:p>
            <w:pPr>
              <w:spacing w:after="0"/>
              <w:rPr>
                <w:sz w:val="19"/>
                <w:szCs w:val="19"/>
                <w:color w:val="auto"/>
              </w:rPr>
            </w:pPr>
          </w:p>
        </w:tc>
        <w:tc>
          <w:tcPr>
            <w:tcW w:w="1560" w:type="dxa"/>
            <w:vAlign w:val="bottom"/>
          </w:tcPr>
          <w:p>
            <w:pPr>
              <w:jc w:val="center"/>
              <w:spacing w:after="0" w:line="230" w:lineRule="exact"/>
              <w:rPr>
                <w:sz w:val="20"/>
                <w:szCs w:val="20"/>
                <w:color w:val="auto"/>
              </w:rPr>
            </w:pPr>
            <w:r>
              <w:rPr>
                <w:rFonts w:ascii="Arial" w:cs="Arial" w:eastAsia="Arial" w:hAnsi="Arial"/>
                <w:sz w:val="18"/>
                <w:szCs w:val="18"/>
                <w:b w:val="1"/>
                <w:bCs w:val="1"/>
                <w:color w:val="auto"/>
                <w:w w:val="88"/>
              </w:rPr>
              <w:t>($)</w:t>
            </w:r>
            <w:r>
              <w:rPr>
                <w:rFonts w:ascii="Arial" w:cs="Arial" w:eastAsia="Arial" w:hAnsi="Arial"/>
                <w:sz w:val="23"/>
                <w:szCs w:val="23"/>
                <w:b w:val="1"/>
                <w:bCs w:val="1"/>
                <w:color w:val="auto"/>
                <w:w w:val="88"/>
                <w:vertAlign w:val="superscript"/>
              </w:rPr>
              <w:t>(1)</w:t>
            </w:r>
          </w:p>
        </w:tc>
        <w:tc>
          <w:tcPr>
            <w:tcW w:w="220" w:type="dxa"/>
            <w:vAlign w:val="bottom"/>
          </w:tcPr>
          <w:p>
            <w:pPr>
              <w:spacing w:after="0"/>
              <w:rPr>
                <w:sz w:val="19"/>
                <w:szCs w:val="19"/>
                <w:color w:val="auto"/>
              </w:rPr>
            </w:pPr>
          </w:p>
        </w:tc>
        <w:tc>
          <w:tcPr>
            <w:tcW w:w="1560" w:type="dxa"/>
            <w:vAlign w:val="bottom"/>
          </w:tcPr>
          <w:p>
            <w:pPr>
              <w:jc w:val="center"/>
              <w:spacing w:after="0" w:line="230" w:lineRule="exact"/>
              <w:rPr>
                <w:sz w:val="20"/>
                <w:szCs w:val="20"/>
                <w:color w:val="auto"/>
              </w:rPr>
            </w:pPr>
            <w:r>
              <w:rPr>
                <w:rFonts w:ascii="Arial" w:cs="Arial" w:eastAsia="Arial" w:hAnsi="Arial"/>
                <w:sz w:val="18"/>
                <w:szCs w:val="18"/>
                <w:b w:val="1"/>
                <w:bCs w:val="1"/>
                <w:color w:val="auto"/>
                <w:w w:val="83"/>
              </w:rPr>
              <w:t>($)</w:t>
            </w:r>
            <w:r>
              <w:rPr>
                <w:rFonts w:ascii="Arial" w:cs="Arial" w:eastAsia="Arial" w:hAnsi="Arial"/>
                <w:sz w:val="23"/>
                <w:szCs w:val="23"/>
                <w:b w:val="1"/>
                <w:bCs w:val="1"/>
                <w:color w:val="auto"/>
                <w:w w:val="83"/>
                <w:vertAlign w:val="superscript"/>
              </w:rPr>
              <w:t>(2)</w:t>
            </w:r>
          </w:p>
        </w:tc>
        <w:tc>
          <w:tcPr>
            <w:tcW w:w="22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220" w:type="dxa"/>
            <w:vAlign w:val="bottom"/>
          </w:tcPr>
          <w:p>
            <w:pPr>
              <w:spacing w:after="0"/>
              <w:rPr>
                <w:sz w:val="19"/>
                <w:szCs w:val="19"/>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200" w:type="dxa"/>
            <w:vAlign w:val="bottom"/>
          </w:tcPr>
          <w:p>
            <w:pPr>
              <w:spacing w:after="0"/>
              <w:rPr>
                <w:sz w:val="19"/>
                <w:szCs w:val="19"/>
                <w:color w:val="auto"/>
              </w:rPr>
            </w:pPr>
          </w:p>
        </w:tc>
        <w:tc>
          <w:tcPr>
            <w:tcW w:w="1260" w:type="dxa"/>
            <w:vAlign w:val="bottom"/>
          </w:tcPr>
          <w:p>
            <w:pPr>
              <w:jc w:val="center"/>
              <w:spacing w:after="0" w:line="230" w:lineRule="exact"/>
              <w:rPr>
                <w:sz w:val="20"/>
                <w:szCs w:val="20"/>
                <w:color w:val="auto"/>
              </w:rPr>
            </w:pPr>
            <w:r>
              <w:rPr>
                <w:rFonts w:ascii="Arial" w:cs="Arial" w:eastAsia="Arial" w:hAnsi="Arial"/>
                <w:sz w:val="18"/>
                <w:szCs w:val="18"/>
                <w:b w:val="1"/>
                <w:bCs w:val="1"/>
                <w:color w:val="auto"/>
                <w:w w:val="88"/>
              </w:rPr>
              <w:t>($)</w:t>
            </w:r>
            <w:r>
              <w:rPr>
                <w:rFonts w:ascii="Arial" w:cs="Arial" w:eastAsia="Arial" w:hAnsi="Arial"/>
                <w:sz w:val="23"/>
                <w:szCs w:val="23"/>
                <w:b w:val="1"/>
                <w:bCs w:val="1"/>
                <w:color w:val="auto"/>
                <w:w w:val="88"/>
                <w:vertAlign w:val="superscript"/>
              </w:rPr>
              <w:t>(3)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Lance Mitchell</w:t>
            </w:r>
          </w:p>
        </w:tc>
        <w:tc>
          <w:tcPr>
            <w:tcW w:w="22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162,518</w:t>
            </w:r>
          </w:p>
        </w:tc>
        <w:tc>
          <w:tcPr>
            <w:tcW w:w="22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126,380</w:t>
            </w:r>
          </w:p>
        </w:tc>
        <w:tc>
          <w:tcPr>
            <w:tcW w:w="22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(624,894)</w:t>
            </w:r>
          </w:p>
        </w:tc>
        <w:tc>
          <w:tcPr>
            <w:tcW w:w="22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2,308,141</w:t>
            </w: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60" w:type="dxa"/>
            <w:vAlign w:val="bottom"/>
            <w:gridSpan w:val="2"/>
          </w:tcPr>
          <w:p>
            <w:pPr>
              <w:ind w:left="20"/>
              <w:spacing w:after="0"/>
              <w:rPr>
                <w:sz w:val="20"/>
                <w:szCs w:val="20"/>
                <w:color w:val="auto"/>
              </w:rPr>
            </w:pPr>
            <w:r>
              <w:rPr>
                <w:rFonts w:ascii="Arial" w:cs="Arial" w:eastAsia="Arial" w:hAnsi="Arial"/>
                <w:sz w:val="18"/>
                <w:szCs w:val="18"/>
                <w:color w:val="auto"/>
              </w:rPr>
              <w:t>Michael Graham</w:t>
            </w:r>
          </w:p>
        </w:tc>
        <w:tc>
          <w:tcPr>
            <w:tcW w:w="1560" w:type="dxa"/>
            <w:vAlign w:val="bottom"/>
          </w:tcPr>
          <w:p>
            <w:pPr>
              <w:jc w:val="right"/>
              <w:spacing w:after="0"/>
              <w:rPr>
                <w:sz w:val="20"/>
                <w:szCs w:val="20"/>
                <w:color w:val="auto"/>
              </w:rPr>
            </w:pPr>
            <w:r>
              <w:rPr>
                <w:rFonts w:ascii="Arial" w:cs="Arial" w:eastAsia="Arial" w:hAnsi="Arial"/>
                <w:sz w:val="18"/>
                <w:szCs w:val="18"/>
                <w:color w:val="auto"/>
              </w:rPr>
              <w:t>400,233</w:t>
            </w: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51,807</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(712,250)</w:t>
            </w: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(655,135)</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4,634,588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Rachel Bishop</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51,875</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26,416</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(208,939)</w:t>
            </w:r>
          </w:p>
        </w:tc>
        <w:tc>
          <w:tcPr>
            <w:tcW w:w="22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1,006,401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60" w:type="dxa"/>
            <w:vAlign w:val="bottom"/>
            <w:gridSpan w:val="2"/>
          </w:tcPr>
          <w:p>
            <w:pPr>
              <w:ind w:left="20"/>
              <w:spacing w:after="0"/>
              <w:rPr>
                <w:sz w:val="20"/>
                <w:szCs w:val="20"/>
                <w:color w:val="auto"/>
              </w:rPr>
            </w:pPr>
            <w:r>
              <w:rPr>
                <w:rFonts w:ascii="Arial" w:cs="Arial" w:eastAsia="Arial" w:hAnsi="Arial"/>
                <w:sz w:val="18"/>
                <w:szCs w:val="18"/>
                <w:color w:val="auto"/>
              </w:rPr>
              <w:t>Judith Buckner</w:t>
            </w:r>
          </w:p>
        </w:tc>
        <w:tc>
          <w:tcPr>
            <w:tcW w:w="1560" w:type="dxa"/>
            <w:vAlign w:val="bottom"/>
          </w:tcPr>
          <w:p>
            <w:pPr>
              <w:jc w:val="right"/>
              <w:spacing w:after="0"/>
              <w:rPr>
                <w:sz w:val="20"/>
                <w:szCs w:val="20"/>
                <w:color w:val="auto"/>
              </w:rPr>
            </w:pPr>
            <w:r>
              <w:rPr>
                <w:rFonts w:ascii="Arial" w:cs="Arial" w:eastAsia="Arial" w:hAnsi="Arial"/>
                <w:sz w:val="18"/>
                <w:szCs w:val="18"/>
                <w:color w:val="auto"/>
              </w:rPr>
              <w:t>26,407</w:t>
            </w: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22,009</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(77,830)</w:t>
            </w: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(449,537)</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217,407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Lisa Smith</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76,972</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21,145</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(85,869)</w:t>
            </w:r>
          </w:p>
        </w:tc>
        <w:tc>
          <w:tcPr>
            <w:tcW w:w="22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500,540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60" w:type="dxa"/>
            <w:vAlign w:val="bottom"/>
            <w:gridSpan w:val="2"/>
          </w:tcPr>
          <w:p>
            <w:pPr>
              <w:ind w:left="20"/>
              <w:spacing w:after="0"/>
              <w:rPr>
                <w:sz w:val="20"/>
                <w:szCs w:val="20"/>
                <w:color w:val="auto"/>
              </w:rPr>
            </w:pPr>
            <w:r>
              <w:rPr>
                <w:rFonts w:ascii="Arial" w:cs="Arial" w:eastAsia="Arial" w:hAnsi="Arial"/>
                <w:sz w:val="18"/>
                <w:szCs w:val="18"/>
                <w:color w:val="auto"/>
              </w:rPr>
              <w:t>Craig Cappel</w:t>
            </w:r>
          </w:p>
        </w:tc>
        <w:tc>
          <w:tcPr>
            <w:tcW w:w="1560" w:type="dxa"/>
            <w:vAlign w:val="bottom"/>
          </w:tcPr>
          <w:p>
            <w:pPr>
              <w:jc w:val="right"/>
              <w:spacing w:after="0"/>
              <w:rPr>
                <w:sz w:val="20"/>
                <w:szCs w:val="20"/>
                <w:color w:val="auto"/>
              </w:rPr>
            </w:pPr>
            <w:r>
              <w:rPr>
                <w:rFonts w:ascii="Arial" w:cs="Arial" w:eastAsia="Arial" w:hAnsi="Arial"/>
                <w:sz w:val="18"/>
                <w:szCs w:val="18"/>
                <w:color w:val="auto"/>
              </w:rPr>
              <w:t>28,637</w:t>
            </w:r>
          </w:p>
        </w:tc>
        <w:tc>
          <w:tcPr>
            <w:tcW w:w="220" w:type="dxa"/>
            <w:vAlign w:val="bottom"/>
          </w:tcPr>
          <w:p>
            <w:pPr>
              <w:spacing w:after="0"/>
              <w:rPr>
                <w:sz w:val="20"/>
                <w:szCs w:val="20"/>
                <w:color w:val="auto"/>
              </w:rPr>
            </w:pPr>
          </w:p>
        </w:tc>
        <w:tc>
          <w:tcPr>
            <w:tcW w:w="17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(76,504)</w:t>
            </w:r>
          </w:p>
        </w:tc>
        <w:tc>
          <w:tcPr>
            <w:tcW w:w="220" w:type="dxa"/>
            <w:vAlign w:val="bottom"/>
          </w:tcPr>
          <w:p>
            <w:pPr>
              <w:spacing w:after="0"/>
              <w:rPr>
                <w:sz w:val="20"/>
                <w:szCs w:val="20"/>
                <w:color w:val="auto"/>
              </w:rPr>
            </w:pPr>
          </w:p>
        </w:tc>
        <w:tc>
          <w:tcPr>
            <w:tcW w:w="1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400,389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480" w:type="dxa"/>
            <w:vAlign w:val="bottom"/>
            <w:gridSpan w:val="2"/>
          </w:tcPr>
          <w:p>
            <w:pPr>
              <w:spacing w:after="0"/>
              <w:rPr>
                <w:sz w:val="20"/>
                <w:szCs w:val="20"/>
                <w:color w:val="auto"/>
              </w:rPr>
            </w:pPr>
            <w:r>
              <w:rPr>
                <w:rFonts w:ascii="Arial" w:cs="Arial" w:eastAsia="Arial" w:hAnsi="Arial"/>
                <w:sz w:val="16"/>
                <w:szCs w:val="16"/>
                <w:color w:val="auto"/>
              </w:rPr>
              <w:t>(1)  The amounts shown in this column are reported in the Summary Compensation Table, as follows:</w:t>
            </w:r>
          </w:p>
        </w:tc>
        <w:tc>
          <w:tcPr>
            <w:tcW w:w="1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411"/>
        </w:trPr>
        <w:tc>
          <w:tcPr>
            <w:tcW w:w="7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Amount Reported in</w:t>
            </w:r>
          </w:p>
        </w:tc>
      </w:tr>
      <w:tr>
        <w:trPr>
          <w:trHeight w:val="184"/>
        </w:trPr>
        <w:tc>
          <w:tcPr>
            <w:tcW w:w="7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0" w:type="dxa"/>
            <w:vAlign w:val="bottom"/>
            <w:gridSpan w:val="2"/>
          </w:tcPr>
          <w:p>
            <w:pPr>
              <w:jc w:val="center"/>
              <w:ind w:right="140"/>
              <w:spacing w:after="0" w:line="184" w:lineRule="exact"/>
              <w:rPr>
                <w:sz w:val="20"/>
                <w:szCs w:val="20"/>
                <w:color w:val="auto"/>
              </w:rPr>
            </w:pPr>
            <w:r>
              <w:rPr>
                <w:rFonts w:ascii="Arial" w:cs="Arial" w:eastAsia="Arial" w:hAnsi="Arial"/>
                <w:sz w:val="18"/>
                <w:szCs w:val="18"/>
                <w:b w:val="1"/>
                <w:bCs w:val="1"/>
                <w:color w:val="auto"/>
                <w:w w:val="92"/>
              </w:rPr>
              <w:t>the Non-Equity</w:t>
            </w:r>
          </w:p>
        </w:tc>
      </w:tr>
      <w:tr>
        <w:trPr>
          <w:trHeight w:val="180"/>
        </w:trPr>
        <w:tc>
          <w:tcPr>
            <w:tcW w:w="7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60" w:type="dxa"/>
            <w:vAlign w:val="bottom"/>
            <w:gridSpan w:val="2"/>
          </w:tcPr>
          <w:p>
            <w:pPr>
              <w:jc w:val="center"/>
              <w:ind w:right="360"/>
              <w:spacing w:after="0" w:line="181" w:lineRule="exact"/>
              <w:rPr>
                <w:sz w:val="20"/>
                <w:szCs w:val="20"/>
                <w:color w:val="auto"/>
              </w:rPr>
            </w:pPr>
            <w:r>
              <w:rPr>
                <w:rFonts w:ascii="Arial" w:cs="Arial" w:eastAsia="Arial" w:hAnsi="Arial"/>
                <w:sz w:val="18"/>
                <w:szCs w:val="18"/>
                <w:b w:val="1"/>
                <w:bCs w:val="1"/>
                <w:color w:val="auto"/>
                <w:w w:val="92"/>
              </w:rPr>
              <w:t>Amount Reported</w:t>
            </w:r>
          </w:p>
        </w:tc>
        <w:tc>
          <w:tcPr>
            <w:tcW w:w="1800" w:type="dxa"/>
            <w:vAlign w:val="bottom"/>
            <w:gridSpan w:val="2"/>
          </w:tcPr>
          <w:p>
            <w:pPr>
              <w:jc w:val="center"/>
              <w:ind w:right="140"/>
              <w:spacing w:after="0" w:line="181" w:lineRule="exact"/>
              <w:rPr>
                <w:sz w:val="20"/>
                <w:szCs w:val="20"/>
                <w:color w:val="auto"/>
              </w:rPr>
            </w:pPr>
            <w:r>
              <w:rPr>
                <w:rFonts w:ascii="Arial" w:cs="Arial" w:eastAsia="Arial" w:hAnsi="Arial"/>
                <w:sz w:val="18"/>
                <w:szCs w:val="18"/>
                <w:b w:val="1"/>
                <w:bCs w:val="1"/>
                <w:color w:val="auto"/>
                <w:w w:val="90"/>
              </w:rPr>
              <w:t>Incentive Plan</w:t>
            </w:r>
          </w:p>
        </w:tc>
      </w:tr>
      <w:tr>
        <w:trPr>
          <w:trHeight w:val="175"/>
        </w:trPr>
        <w:tc>
          <w:tcPr>
            <w:tcW w:w="7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60" w:type="dxa"/>
            <w:vAlign w:val="bottom"/>
            <w:gridSpan w:val="2"/>
          </w:tcPr>
          <w:p>
            <w:pPr>
              <w:jc w:val="center"/>
              <w:ind w:right="340"/>
              <w:spacing w:after="0" w:line="176" w:lineRule="exact"/>
              <w:rPr>
                <w:sz w:val="20"/>
                <w:szCs w:val="20"/>
                <w:color w:val="auto"/>
              </w:rPr>
            </w:pPr>
            <w:r>
              <w:rPr>
                <w:rFonts w:ascii="Arial" w:cs="Arial" w:eastAsia="Arial" w:hAnsi="Arial"/>
                <w:sz w:val="18"/>
                <w:szCs w:val="18"/>
                <w:b w:val="1"/>
                <w:bCs w:val="1"/>
                <w:color w:val="auto"/>
                <w:w w:val="91"/>
              </w:rPr>
              <w:t>in the Salary</w:t>
            </w:r>
          </w:p>
        </w:tc>
        <w:tc>
          <w:tcPr>
            <w:tcW w:w="1800" w:type="dxa"/>
            <w:vAlign w:val="bottom"/>
            <w:gridSpan w:val="2"/>
          </w:tcPr>
          <w:p>
            <w:pPr>
              <w:jc w:val="center"/>
              <w:ind w:right="140"/>
              <w:spacing w:after="0" w:line="176" w:lineRule="exact"/>
              <w:rPr>
                <w:sz w:val="20"/>
                <w:szCs w:val="20"/>
                <w:color w:val="auto"/>
              </w:rPr>
            </w:pPr>
            <w:r>
              <w:rPr>
                <w:rFonts w:ascii="Arial" w:cs="Arial" w:eastAsia="Arial" w:hAnsi="Arial"/>
                <w:sz w:val="18"/>
                <w:szCs w:val="18"/>
                <w:b w:val="1"/>
                <w:bCs w:val="1"/>
                <w:color w:val="auto"/>
                <w:w w:val="87"/>
              </w:rPr>
              <w:t>Compensation</w:t>
            </w:r>
          </w:p>
        </w:tc>
      </w:tr>
      <w:tr>
        <w:trPr>
          <w:trHeight w:val="243"/>
        </w:trPr>
        <w:tc>
          <w:tcPr>
            <w:tcW w:w="7480" w:type="dxa"/>
            <w:vAlign w:val="bottom"/>
            <w:gridSpan w:val="2"/>
          </w:tcPr>
          <w:p>
            <w:pPr>
              <w:ind w:left="20"/>
              <w:spacing w:after="0"/>
              <w:rPr>
                <w:sz w:val="20"/>
                <w:szCs w:val="20"/>
                <w:color w:val="auto"/>
              </w:rPr>
            </w:pPr>
            <w:r>
              <w:rPr>
                <w:rFonts w:ascii="Arial" w:cs="Arial" w:eastAsia="Arial" w:hAnsi="Arial"/>
                <w:sz w:val="18"/>
                <w:szCs w:val="18"/>
                <w:b w:val="1"/>
                <w:bCs w:val="1"/>
                <w:color w:val="auto"/>
              </w:rPr>
              <w:t>Name</w:t>
            </w:r>
          </w:p>
        </w:tc>
        <w:tc>
          <w:tcPr>
            <w:tcW w:w="19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 xml:space="preserve">Column for 2022 </w:t>
            </w:r>
            <w:r>
              <w:rPr>
                <w:rFonts w:ascii="Arial" w:cs="Arial" w:eastAsia="Arial" w:hAnsi="Arial"/>
                <w:sz w:val="18"/>
                <w:szCs w:val="18"/>
                <w:b w:val="1"/>
                <w:bCs w:val="1"/>
                <w:u w:val="single" w:color="auto"/>
                <w:color w:val="auto"/>
                <w:w w:val="92"/>
              </w:rPr>
              <w:t>($</w:t>
            </w:r>
            <w:r>
              <w:rPr>
                <w:rFonts w:ascii="Arial" w:cs="Arial" w:eastAsia="Arial" w:hAnsi="Arial"/>
                <w:sz w:val="18"/>
                <w:szCs w:val="18"/>
                <w:b w:val="1"/>
                <w:bCs w:val="1"/>
                <w:color w:val="auto"/>
                <w:w w:val="92"/>
              </w:rPr>
              <w:t>)</w:t>
            </w:r>
          </w:p>
        </w:tc>
        <w:tc>
          <w:tcPr>
            <w:tcW w:w="18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Column for 2022 ($)</w:t>
            </w:r>
          </w:p>
        </w:tc>
      </w:tr>
      <w:tr>
        <w:trPr>
          <w:trHeight w:val="223"/>
        </w:trPr>
        <w:tc>
          <w:tcPr>
            <w:tcW w:w="7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Lance Mitchell</w:t>
            </w:r>
          </w:p>
        </w:tc>
        <w:tc>
          <w:tcPr>
            <w:tcW w:w="2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93,000</w:t>
            </w:r>
          </w:p>
        </w:tc>
        <w:tc>
          <w:tcPr>
            <w:tcW w:w="36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69,518</w:t>
            </w:r>
          </w:p>
        </w:tc>
        <w:tc>
          <w:tcPr>
            <w:tcW w:w="140" w:type="dxa"/>
            <w:vAlign w:val="bottom"/>
            <w:tcBorders>
              <w:top w:val="single" w:sz="8" w:color="CCEEFF"/>
            </w:tcBorders>
            <w:shd w:val="clear" w:color="auto" w:fill="CCEEFF"/>
          </w:tcPr>
          <w:p>
            <w:pPr>
              <w:spacing w:after="0"/>
              <w:rPr>
                <w:sz w:val="19"/>
                <w:szCs w:val="19"/>
                <w:color w:val="auto"/>
              </w:rPr>
            </w:pPr>
          </w:p>
        </w:tc>
      </w:tr>
      <w:tr>
        <w:trPr>
          <w:trHeight w:val="230"/>
        </w:trPr>
        <w:tc>
          <w:tcPr>
            <w:tcW w:w="7480" w:type="dxa"/>
            <w:vAlign w:val="bottom"/>
            <w:gridSpan w:val="2"/>
          </w:tcPr>
          <w:p>
            <w:pPr>
              <w:ind w:left="20"/>
              <w:spacing w:after="0"/>
              <w:rPr>
                <w:sz w:val="20"/>
                <w:szCs w:val="20"/>
                <w:color w:val="auto"/>
              </w:rPr>
            </w:pPr>
            <w:r>
              <w:rPr>
                <w:rFonts w:ascii="Arial" w:cs="Arial" w:eastAsia="Arial" w:hAnsi="Arial"/>
                <w:sz w:val="18"/>
                <w:szCs w:val="18"/>
                <w:color w:val="auto"/>
              </w:rPr>
              <w:t>Michael Graham</w:t>
            </w:r>
          </w:p>
        </w:tc>
        <w:tc>
          <w:tcPr>
            <w:tcW w:w="1600" w:type="dxa"/>
            <w:vAlign w:val="bottom"/>
          </w:tcPr>
          <w:p>
            <w:pPr>
              <w:jc w:val="right"/>
              <w:spacing w:after="0"/>
              <w:rPr>
                <w:sz w:val="20"/>
                <w:szCs w:val="20"/>
                <w:color w:val="auto"/>
              </w:rPr>
            </w:pPr>
            <w:r>
              <w:rPr>
                <w:rFonts w:ascii="Arial" w:cs="Arial" w:eastAsia="Arial" w:hAnsi="Arial"/>
                <w:sz w:val="18"/>
                <w:szCs w:val="18"/>
                <w:color w:val="auto"/>
              </w:rPr>
              <w:t>287,937</w:t>
            </w:r>
          </w:p>
        </w:tc>
        <w:tc>
          <w:tcPr>
            <w:tcW w:w="3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112,296</w:t>
            </w:r>
          </w:p>
        </w:tc>
        <w:tc>
          <w:tcPr>
            <w:tcW w:w="140" w:type="dxa"/>
            <w:vAlign w:val="bottom"/>
          </w:tcPr>
          <w:p>
            <w:pPr>
              <w:spacing w:after="0"/>
              <w:rPr>
                <w:sz w:val="19"/>
                <w:szCs w:val="19"/>
                <w:color w:val="auto"/>
              </w:rPr>
            </w:pPr>
          </w:p>
        </w:tc>
      </w:tr>
      <w:tr>
        <w:trPr>
          <w:trHeight w:val="229"/>
        </w:trPr>
        <w:tc>
          <w:tcPr>
            <w:tcW w:w="7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Rachel Bishop</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51,875</w:t>
            </w:r>
          </w:p>
        </w:tc>
        <w:tc>
          <w:tcPr>
            <w:tcW w:w="36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30"/>
        </w:trPr>
        <w:tc>
          <w:tcPr>
            <w:tcW w:w="7480" w:type="dxa"/>
            <w:vAlign w:val="bottom"/>
            <w:gridSpan w:val="2"/>
          </w:tcPr>
          <w:p>
            <w:pPr>
              <w:ind w:left="20"/>
              <w:spacing w:after="0"/>
              <w:rPr>
                <w:sz w:val="20"/>
                <w:szCs w:val="20"/>
                <w:color w:val="auto"/>
              </w:rPr>
            </w:pPr>
            <w:r>
              <w:rPr>
                <w:rFonts w:ascii="Arial" w:cs="Arial" w:eastAsia="Arial" w:hAnsi="Arial"/>
                <w:sz w:val="18"/>
                <w:szCs w:val="18"/>
                <w:color w:val="auto"/>
              </w:rPr>
              <w:t>Judith Buckner</w:t>
            </w:r>
          </w:p>
        </w:tc>
        <w:tc>
          <w:tcPr>
            <w:tcW w:w="1600" w:type="dxa"/>
            <w:vAlign w:val="bottom"/>
          </w:tcPr>
          <w:p>
            <w:pPr>
              <w:jc w:val="right"/>
              <w:spacing w:after="0"/>
              <w:rPr>
                <w:sz w:val="20"/>
                <w:szCs w:val="20"/>
                <w:color w:val="auto"/>
              </w:rPr>
            </w:pPr>
            <w:r>
              <w:rPr>
                <w:rFonts w:ascii="Arial" w:cs="Arial" w:eastAsia="Arial" w:hAnsi="Arial"/>
                <w:sz w:val="18"/>
                <w:szCs w:val="18"/>
                <w:color w:val="auto"/>
              </w:rPr>
              <w:t>14,313</w:t>
            </w:r>
          </w:p>
        </w:tc>
        <w:tc>
          <w:tcPr>
            <w:tcW w:w="3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12,094</w:t>
            </w:r>
          </w:p>
        </w:tc>
        <w:tc>
          <w:tcPr>
            <w:tcW w:w="140" w:type="dxa"/>
            <w:vAlign w:val="bottom"/>
          </w:tcPr>
          <w:p>
            <w:pPr>
              <w:spacing w:after="0"/>
              <w:rPr>
                <w:sz w:val="19"/>
                <w:szCs w:val="19"/>
                <w:color w:val="auto"/>
              </w:rPr>
            </w:pPr>
          </w:p>
        </w:tc>
      </w:tr>
      <w:tr>
        <w:trPr>
          <w:trHeight w:val="230"/>
        </w:trPr>
        <w:tc>
          <w:tcPr>
            <w:tcW w:w="7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Lisa Smith</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37,433</w:t>
            </w:r>
          </w:p>
        </w:tc>
        <w:tc>
          <w:tcPr>
            <w:tcW w:w="3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39,539</w:t>
            </w:r>
          </w:p>
        </w:tc>
        <w:tc>
          <w:tcPr>
            <w:tcW w:w="140" w:type="dxa"/>
            <w:vAlign w:val="bottom"/>
            <w:shd w:val="clear" w:color="auto" w:fill="CCEEFF"/>
          </w:tcPr>
          <w:p>
            <w:pPr>
              <w:spacing w:after="0"/>
              <w:rPr>
                <w:sz w:val="19"/>
                <w:szCs w:val="19"/>
                <w:color w:val="auto"/>
              </w:rPr>
            </w:pPr>
          </w:p>
        </w:tc>
      </w:tr>
      <w:tr>
        <w:trPr>
          <w:trHeight w:val="230"/>
        </w:trPr>
        <w:tc>
          <w:tcPr>
            <w:tcW w:w="7480" w:type="dxa"/>
            <w:vAlign w:val="bottom"/>
            <w:gridSpan w:val="2"/>
          </w:tcPr>
          <w:p>
            <w:pPr>
              <w:ind w:left="20"/>
              <w:spacing w:after="0"/>
              <w:rPr>
                <w:sz w:val="20"/>
                <w:szCs w:val="20"/>
                <w:color w:val="auto"/>
              </w:rPr>
            </w:pPr>
            <w:r>
              <w:rPr>
                <w:rFonts w:ascii="Arial" w:cs="Arial" w:eastAsia="Arial" w:hAnsi="Arial"/>
                <w:sz w:val="18"/>
                <w:szCs w:val="18"/>
                <w:color w:val="auto"/>
              </w:rPr>
              <w:t>Craig Cappel</w:t>
            </w:r>
          </w:p>
        </w:tc>
        <w:tc>
          <w:tcPr>
            <w:tcW w:w="1600" w:type="dxa"/>
            <w:vAlign w:val="bottom"/>
          </w:tcPr>
          <w:p>
            <w:pPr>
              <w:jc w:val="right"/>
              <w:spacing w:after="0"/>
              <w:rPr>
                <w:sz w:val="20"/>
                <w:szCs w:val="20"/>
                <w:color w:val="auto"/>
              </w:rPr>
            </w:pPr>
            <w:r>
              <w:rPr>
                <w:rFonts w:ascii="Arial" w:cs="Arial" w:eastAsia="Arial" w:hAnsi="Arial"/>
                <w:sz w:val="18"/>
                <w:szCs w:val="18"/>
                <w:color w:val="auto"/>
              </w:rPr>
              <w:t>28,637</w:t>
            </w:r>
          </w:p>
        </w:tc>
        <w:tc>
          <w:tcPr>
            <w:tcW w:w="360" w:type="dxa"/>
            <w:vAlign w:val="bottom"/>
          </w:tcPr>
          <w:p>
            <w:pPr>
              <w:spacing w:after="0"/>
              <w:rPr>
                <w:sz w:val="20"/>
                <w:szCs w:val="20"/>
                <w:color w:val="auto"/>
              </w:rPr>
            </w:pPr>
          </w:p>
        </w:tc>
        <w:tc>
          <w:tcPr>
            <w:tcW w:w="1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bl>
    <w:p>
      <w:pPr>
        <w:spacing w:after="0" w:line="327" w:lineRule="exact"/>
        <w:rPr>
          <w:sz w:val="20"/>
          <w:szCs w:val="20"/>
          <w:color w:val="auto"/>
        </w:rPr>
      </w:pPr>
    </w:p>
    <w:p>
      <w:pPr>
        <w:ind w:left="340" w:hanging="332"/>
        <w:spacing w:after="0"/>
        <w:tabs>
          <w:tab w:leader="none" w:pos="340" w:val="left"/>
        </w:tabs>
        <w:numPr>
          <w:ilvl w:val="0"/>
          <w:numId w:val="36"/>
        </w:numPr>
        <w:rPr>
          <w:rFonts w:ascii="Arial" w:cs="Arial" w:eastAsia="Arial" w:hAnsi="Arial"/>
          <w:sz w:val="15"/>
          <w:szCs w:val="15"/>
          <w:color w:val="auto"/>
        </w:rPr>
      </w:pPr>
      <w:r>
        <w:rPr>
          <w:rFonts w:ascii="Arial" w:cs="Arial" w:eastAsia="Arial" w:hAnsi="Arial"/>
          <w:sz w:val="15"/>
          <w:szCs w:val="15"/>
          <w:color w:val="auto"/>
        </w:rPr>
        <w:t>The amounts shown in this column are reported in the Summary Compensation Table as part of the amounts in the “All Other Compensation” column for 2022.</w:t>
      </w:r>
    </w:p>
    <w:p>
      <w:pPr>
        <w:spacing w:after="0" w:line="232" w:lineRule="exact"/>
        <w:rPr>
          <w:rFonts w:ascii="Arial" w:cs="Arial" w:eastAsia="Arial" w:hAnsi="Arial"/>
          <w:sz w:val="15"/>
          <w:szCs w:val="15"/>
          <w:color w:val="auto"/>
        </w:rPr>
      </w:pPr>
    </w:p>
    <w:p>
      <w:pPr>
        <w:ind w:left="340" w:hanging="332"/>
        <w:spacing w:after="0"/>
        <w:tabs>
          <w:tab w:leader="none" w:pos="3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Of the amounts shown in this column, the following amounts are or were previously reported in the Summary Compensation Table:</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Aggregate Amount Reported in</w:t>
            </w:r>
          </w:p>
        </w:tc>
        <w:tc>
          <w:tcPr>
            <w:tcW w:w="0" w:type="dxa"/>
            <w:vAlign w:val="bottom"/>
          </w:tcPr>
          <w:p>
            <w:pPr>
              <w:spacing w:after="0"/>
              <w:rPr>
                <w:sz w:val="1"/>
                <w:szCs w:val="1"/>
                <w:color w:val="auto"/>
              </w:rPr>
            </w:pPr>
          </w:p>
        </w:tc>
      </w:tr>
      <w:tr>
        <w:trPr>
          <w:trHeight w:val="180"/>
        </w:trPr>
        <w:tc>
          <w:tcPr>
            <w:tcW w:w="798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Name</w:t>
            </w:r>
          </w:p>
        </w:tc>
        <w:tc>
          <w:tcPr>
            <w:tcW w:w="3260" w:type="dxa"/>
            <w:vAlign w:val="bottom"/>
            <w:gridSpan w:val="2"/>
          </w:tcPr>
          <w:p>
            <w:pPr>
              <w:jc w:val="center"/>
              <w:ind w:right="100"/>
              <w:spacing w:after="0" w:line="181" w:lineRule="exact"/>
              <w:rPr>
                <w:sz w:val="20"/>
                <w:szCs w:val="20"/>
                <w:color w:val="auto"/>
              </w:rPr>
            </w:pPr>
            <w:r>
              <w:rPr>
                <w:rFonts w:ascii="Arial" w:cs="Arial" w:eastAsia="Arial" w:hAnsi="Arial"/>
                <w:sz w:val="18"/>
                <w:szCs w:val="18"/>
                <w:b w:val="1"/>
                <w:bCs w:val="1"/>
                <w:color w:val="auto"/>
                <w:w w:val="90"/>
              </w:rPr>
              <w:t>Summary Compensation Table of this</w:t>
            </w:r>
          </w:p>
        </w:tc>
        <w:tc>
          <w:tcPr>
            <w:tcW w:w="0" w:type="dxa"/>
            <w:vAlign w:val="bottom"/>
          </w:tcPr>
          <w:p>
            <w:pPr>
              <w:spacing w:after="0"/>
              <w:rPr>
                <w:sz w:val="1"/>
                <w:szCs w:val="1"/>
                <w:color w:val="auto"/>
              </w:rPr>
            </w:pPr>
          </w:p>
        </w:tc>
      </w:tr>
      <w:tr>
        <w:trPr>
          <w:trHeight w:val="229"/>
        </w:trPr>
        <w:tc>
          <w:tcPr>
            <w:tcW w:w="7980" w:type="dxa"/>
            <w:vAlign w:val="bottom"/>
            <w:gridSpan w:val="2"/>
            <w:vMerge w:val="continue"/>
          </w:tcPr>
          <w:p>
            <w:pPr>
              <w:spacing w:after="0"/>
              <w:rPr>
                <w:sz w:val="19"/>
                <w:szCs w:val="19"/>
                <w:color w:val="auto"/>
              </w:rPr>
            </w:pPr>
          </w:p>
        </w:tc>
        <w:tc>
          <w:tcPr>
            <w:tcW w:w="3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and Prior Proxy Statements ($)</w:t>
            </w:r>
          </w:p>
        </w:tc>
        <w:tc>
          <w:tcPr>
            <w:tcW w:w="0" w:type="dxa"/>
            <w:vAlign w:val="bottom"/>
          </w:tcPr>
          <w:p>
            <w:pPr>
              <w:spacing w:after="0"/>
              <w:rPr>
                <w:sz w:val="1"/>
                <w:szCs w:val="1"/>
                <w:color w:val="auto"/>
              </w:rPr>
            </w:pPr>
          </w:p>
        </w:tc>
      </w:tr>
      <w:tr>
        <w:trPr>
          <w:trHeight w:val="223"/>
        </w:trPr>
        <w:tc>
          <w:tcPr>
            <w:tcW w:w="78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Lance Mitchell</w:t>
            </w:r>
          </w:p>
        </w:tc>
        <w:tc>
          <w:tcPr>
            <w:tcW w:w="180" w:type="dxa"/>
            <w:vAlign w:val="bottom"/>
            <w:tcBorders>
              <w:top w:val="single" w:sz="8" w:color="CCEEFF"/>
            </w:tcBorders>
            <w:shd w:val="clear" w:color="auto" w:fill="CCEEFF"/>
          </w:tcPr>
          <w:p>
            <w:pPr>
              <w:spacing w:after="0"/>
              <w:rPr>
                <w:sz w:val="19"/>
                <w:szCs w:val="19"/>
                <w:color w:val="auto"/>
              </w:rPr>
            </w:pPr>
          </w:p>
        </w:tc>
        <w:tc>
          <w:tcPr>
            <w:tcW w:w="3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2,644,137</w:t>
            </w: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80" w:type="dxa"/>
            <w:vAlign w:val="bottom"/>
            <w:gridSpan w:val="2"/>
          </w:tcPr>
          <w:p>
            <w:pPr>
              <w:ind w:left="20"/>
              <w:spacing w:after="0"/>
              <w:rPr>
                <w:sz w:val="20"/>
                <w:szCs w:val="20"/>
                <w:color w:val="auto"/>
              </w:rPr>
            </w:pPr>
            <w:r>
              <w:rPr>
                <w:rFonts w:ascii="Arial" w:cs="Arial" w:eastAsia="Arial" w:hAnsi="Arial"/>
                <w:sz w:val="18"/>
                <w:szCs w:val="18"/>
                <w:color w:val="auto"/>
              </w:rPr>
              <w:t>Michael Graham</w:t>
            </w:r>
          </w:p>
        </w:tc>
        <w:tc>
          <w:tcPr>
            <w:tcW w:w="3160" w:type="dxa"/>
            <w:vAlign w:val="bottom"/>
          </w:tcPr>
          <w:p>
            <w:pPr>
              <w:jc w:val="right"/>
              <w:spacing w:after="0"/>
              <w:rPr>
                <w:sz w:val="20"/>
                <w:szCs w:val="20"/>
                <w:color w:val="auto"/>
              </w:rPr>
            </w:pPr>
            <w:r>
              <w:rPr>
                <w:rFonts w:ascii="Arial" w:cs="Arial" w:eastAsia="Arial" w:hAnsi="Arial"/>
                <w:sz w:val="18"/>
                <w:szCs w:val="18"/>
                <w:color w:val="auto"/>
              </w:rPr>
              <w:t>5,549,933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Rachel Bishop</w:t>
            </w:r>
          </w:p>
        </w:tc>
        <w:tc>
          <w:tcPr>
            <w:tcW w:w="3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1,137,049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80" w:type="dxa"/>
            <w:vAlign w:val="bottom"/>
            <w:gridSpan w:val="2"/>
          </w:tcPr>
          <w:p>
            <w:pPr>
              <w:ind w:left="20"/>
              <w:spacing w:after="0"/>
              <w:rPr>
                <w:sz w:val="20"/>
                <w:szCs w:val="20"/>
                <w:color w:val="auto"/>
              </w:rPr>
            </w:pPr>
            <w:r>
              <w:rPr>
                <w:rFonts w:ascii="Arial" w:cs="Arial" w:eastAsia="Arial" w:hAnsi="Arial"/>
                <w:sz w:val="18"/>
                <w:szCs w:val="18"/>
                <w:color w:val="auto"/>
              </w:rPr>
              <w:t>Judith Buckner</w:t>
            </w:r>
          </w:p>
        </w:tc>
        <w:tc>
          <w:tcPr>
            <w:tcW w:w="3160" w:type="dxa"/>
            <w:vAlign w:val="bottom"/>
          </w:tcPr>
          <w:p>
            <w:pPr>
              <w:jc w:val="right"/>
              <w:spacing w:after="0"/>
              <w:rPr>
                <w:sz w:val="20"/>
                <w:szCs w:val="20"/>
                <w:color w:val="auto"/>
              </w:rPr>
            </w:pPr>
            <w:r>
              <w:rPr>
                <w:rFonts w:ascii="Arial" w:cs="Arial" w:eastAsia="Arial" w:hAnsi="Arial"/>
                <w:sz w:val="18"/>
                <w:szCs w:val="18"/>
                <w:color w:val="auto"/>
              </w:rPr>
              <w:t>696,358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Lisa Smith</w:t>
            </w:r>
          </w:p>
        </w:tc>
        <w:tc>
          <w:tcPr>
            <w:tcW w:w="3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488,292</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80" w:type="dxa"/>
            <w:vAlign w:val="bottom"/>
            <w:gridSpan w:val="2"/>
          </w:tcPr>
          <w:p>
            <w:pPr>
              <w:ind w:left="20"/>
              <w:spacing w:after="0"/>
              <w:rPr>
                <w:sz w:val="20"/>
                <w:szCs w:val="20"/>
                <w:color w:val="auto"/>
              </w:rPr>
            </w:pPr>
            <w:r>
              <w:rPr>
                <w:rFonts w:ascii="Arial" w:cs="Arial" w:eastAsia="Arial" w:hAnsi="Arial"/>
                <w:sz w:val="18"/>
                <w:szCs w:val="18"/>
                <w:color w:val="auto"/>
              </w:rPr>
              <w:t>Craig Cappel</w:t>
            </w:r>
          </w:p>
        </w:tc>
        <w:tc>
          <w:tcPr>
            <w:tcW w:w="3160" w:type="dxa"/>
            <w:vAlign w:val="bottom"/>
          </w:tcPr>
          <w:p>
            <w:pPr>
              <w:jc w:val="right"/>
              <w:spacing w:after="0"/>
              <w:rPr>
                <w:sz w:val="20"/>
                <w:szCs w:val="20"/>
                <w:color w:val="auto"/>
              </w:rPr>
            </w:pPr>
            <w:r>
              <w:rPr>
                <w:rFonts w:ascii="Arial" w:cs="Arial" w:eastAsia="Arial" w:hAnsi="Arial"/>
                <w:sz w:val="18"/>
                <w:szCs w:val="18"/>
                <w:color w:val="auto"/>
              </w:rPr>
              <w:t>448,256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4F81B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Agreements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Employment Agreements with the NEOs provide for severance in the event of certain types of termination:</w:t>
      </w:r>
    </w:p>
    <w:p>
      <w:pPr>
        <w:spacing w:after="0" w:line="225" w:lineRule="exact"/>
        <w:rPr>
          <w:sz w:val="20"/>
          <w:szCs w:val="20"/>
          <w:color w:val="auto"/>
        </w:rPr>
      </w:pPr>
    </w:p>
    <w:p>
      <w:pPr>
        <w:ind w:left="660" w:hanging="328"/>
        <w:spacing w:after="0" w:line="277"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if the executive is terminated without Cause (defined below) prior to a Sale of Business (defined below), the executive would be entitled to receive one times his or her base salary, paid in equal installments over 12 months following the date of termination;</w:t>
      </w:r>
    </w:p>
    <w:p>
      <w:pPr>
        <w:spacing w:after="0" w:line="170"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Courier New" w:cs="Courier New" w:eastAsia="Courier New" w:hAnsi="Courier New"/>
          <w:sz w:val="18"/>
          <w:szCs w:val="18"/>
          <w:color w:val="auto"/>
        </w:rPr>
        <w:t xml:space="preserve">◦  </w:t>
      </w:r>
      <w:r>
        <w:rPr>
          <w:rFonts w:ascii="Arial" w:cs="Arial" w:eastAsia="Arial" w:hAnsi="Arial"/>
          <w:sz w:val="18"/>
          <w:szCs w:val="18"/>
          <w:color w:val="auto"/>
        </w:rPr>
        <w:t>Mr. Mitchell would also be entitled to his annual bonus at target prorated through the date of termination; and</w:t>
      </w:r>
    </w:p>
    <w:p>
      <w:pPr>
        <w:spacing w:after="0" w:line="222" w:lineRule="exact"/>
        <w:rPr>
          <w:rFonts w:ascii="Arial" w:cs="Arial" w:eastAsia="Arial" w:hAnsi="Arial"/>
          <w:sz w:val="18"/>
          <w:szCs w:val="18"/>
          <w:color w:val="auto"/>
        </w:rPr>
      </w:pPr>
    </w:p>
    <w:p>
      <w:pPr>
        <w:jc w:val="both"/>
        <w:ind w:left="660" w:hanging="328"/>
        <w:spacing w:after="0" w:line="279" w:lineRule="auto"/>
        <w:tabs>
          <w:tab w:leader="none" w:pos="655" w:val="left"/>
        </w:tabs>
        <w:numPr>
          <w:ilvl w:val="0"/>
          <w:numId w:val="37"/>
        </w:numPr>
        <w:rPr>
          <w:rFonts w:ascii="Arial" w:cs="Arial" w:eastAsia="Arial" w:hAnsi="Arial"/>
          <w:sz w:val="17"/>
          <w:szCs w:val="17"/>
          <w:color w:val="auto"/>
        </w:rPr>
      </w:pPr>
      <w:r>
        <w:rPr>
          <w:rFonts w:ascii="Arial" w:cs="Arial" w:eastAsia="Arial" w:hAnsi="Arial"/>
          <w:sz w:val="17"/>
          <w:szCs w:val="17"/>
          <w:color w:val="auto"/>
        </w:rPr>
        <w:t>if a Sale of Business occurs and within 12 months following the closing of such Sale of Business either the executive is terminated without Cause, or executive’s position is materially reduced in remuneration or scope of duties (“Good Reason”) and the executive terminates his or her employment, then the executive would be entitled to receive (i) two times his or her base salary plus (ii) his or her annual bonus at target prorated through the date of termination, paid in equal installments over 24 months following the Date of Termination.</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Employment Agreements provide that if the executive breaches any of the provisions of the Restrictive Covenant Agreement to which he or she is a party, the executive’s right to receive further payments of severance amounts will be terminated.</w:t>
      </w:r>
    </w:p>
    <w:p>
      <w:pPr>
        <w:spacing w:after="0" w:line="170"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In addition, if the executive is terminated without Cause, then the executive and his or her eligible dependents will continue to be covered by the Company’s health plan for 12 months from the date of termination.</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“Sale of Business” is defined in the Employment Agreements as the sale or other disposition of (x) more than 50% of the shares or other equity interests of the Company or the Company’s direct or indirect parent to a non-affiliated party (which, for all executives other than Mr. Mitchell, shall not include a sale or an offering by Packaging Finance Limited of some or all of its shares in the Company, so long as the remainder of the shares continue to be owned by the public), or (y) more than 50% of the businesses or assets that, as of the most recent year end, generated more than 50% of the Company’s EBITDA (as determined in good faith by the Company’s Board of Directors, based on the Company’s regularly prepared financial statements), provided that a disposition as a result of lender foreclosure on assets or pursuant to a bankruptcy or judicially administered reorganization shall not constitute a Sale of Business. The Employment Agreements also provide that the executive’s position shall not be materially reduced by reason of the Company being smaller or having less operations as a result of the Sale of Business so long as the executive’s duties and responsibilities are generally consistent with his or her duties and responsibilities prior to the Sale of Business.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“Cause” is defined in the Employment Agreements as in the good faith determination of the CEO or Board of Directors that the executive has engaged in conduct consisting of (i) dishonesty or other serious misconduct related to his or her duties as an employee of the Company, or (ii) willful and continual failure (unless due to incapacity resulting from physical or mental illness) to perform the duties of the executive’s employment after written demand for substantial performance is delivered to the executive by the Company specifically identifying the manner in which the executive has not substantially performed such duties.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4F81B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Awards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RSU award agreements applicable to the NEOs for RSUs granted prior to 2022 provide that in the event of a termination of service due to the participant’s death or Retirement (as defined below), a pro rata portion of the RSUs with respect to the applicable vesting period will vest following such termination of service based on a fraction, the numerator of which is the number of full calendar months the participant had been employed in the applicable vesting period through the date of termination, and the denominator of which is 12;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participant must have been employed by the Company for at least twelve (12) months following the grant date of the RSUs.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 PSU award agreements applicable to the NEOs for PSUs granted prior to 2022 provide that in the event of a termination of service due to the participant’s death or Retirement, any unvested PSUs shall vest effective as of the date of such termination of service based on the likely level of achievement of the performance condition, as determined in the sole discretion of the CNG Committee, prorated based on a fraction, the numerator of which is the number of full calendar months the participant has been employed from the grant date through the date of such termination of service, and the denominator of which is 36;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participant must have been employed by the Company for at least twelve (12) months following the grant date of the PSUs.</w:t>
      </w:r>
    </w:p>
    <w:p>
      <w:pPr>
        <w:spacing w:after="0" w:line="19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Beginning with RSUs and PSUs granted to the NEOs in 2022, the award agreements provide for an additional termination scenario of “Enhanced Retirement,” as defined and further discussed below. The RSU and PSU award agreements for RSUs and PSUs granted prior to 2022 were not amended to provide for an Enhanced Retirement termination scenario, and therefore only include a regular Retirement termination scenario.</w:t>
      </w:r>
    </w:p>
    <w:p>
      <w:pPr>
        <w:spacing w:after="0" w:line="16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RSU award agreements applicable to the NEOs for RSUs granted beginning in 2022 provide that in the event of a termination of service due to the participant’s death following the first anniversary of the grant date, then a pro rata portion of the RSUs will vest on the termination date, determined as follows: (a) if the termination occurs between the first and second anniversaries of the grant date, the sum of (i) the number of RSUs that would have vested in the second vesting period, multiplied by a fraction equal to the full calendar months the participant has been employed from the grant date through the date of termination (the “Service Months”), over 24, plus (ii) the number of RSUs that would have vested in the third vesting period, multiplied by a fraction equal to the number of Service Months over 36; and (b) if the termination occurs between the second and third anniversaries of the grant date, the number of RSUs that would have vested in the third vesting period, multiplied by a fraction equal to the number of Service Months over 36.</w:t>
      </w:r>
    </w:p>
    <w:p>
      <w:pPr>
        <w:spacing w:after="0" w:line="16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the event of a participant’s Retirement after the first anniversary of the grant date, a pro rata portion of the RSUs with respect to the applicable vesting period in which termination occurs will vest on the first scheduled vesting date following termination, based on the number of full calendar months the participant has been employed in the applicable vesting period through the date of termination, over 12. In the event of a participant’s Enhanced Retirement</w:t>
      </w:r>
    </w:p>
    <w:p>
      <w:pPr>
        <w:spacing w:after="0" w:line="2" w:lineRule="exact"/>
        <w:rPr>
          <w:sz w:val="20"/>
          <w:szCs w:val="20"/>
          <w:color w:val="auto"/>
        </w:rPr>
      </w:pPr>
    </w:p>
    <w:p>
      <w:pPr>
        <w:jc w:val="both"/>
        <w:ind w:firstLine="8"/>
        <w:spacing w:after="0" w:line="290" w:lineRule="auto"/>
        <w:tabs>
          <w:tab w:leader="none" w:pos="246" w:val="left"/>
        </w:tabs>
        <w:numPr>
          <w:ilvl w:val="0"/>
          <w:numId w:val="38"/>
        </w:numPr>
        <w:rPr>
          <w:rFonts w:ascii="Arial" w:cs="Arial" w:eastAsia="Arial" w:hAnsi="Arial"/>
          <w:sz w:val="16"/>
          <w:szCs w:val="16"/>
          <w:color w:val="auto"/>
        </w:rPr>
      </w:pPr>
      <w:r>
        <w:rPr>
          <w:rFonts w:ascii="Arial" w:cs="Arial" w:eastAsia="Arial" w:hAnsi="Arial"/>
          <w:sz w:val="16"/>
          <w:szCs w:val="16"/>
          <w:color w:val="auto"/>
        </w:rPr>
        <w:t>on or after the six month anniversary of the grant date but prior to the first anniversary of the grant date, a pro rata portion of the RSUs will vest on each scheduled vesting date as follows (i) on the first vesting date following termination, the number of RSUs that would have vested in the first vesting period, multiplied by a fraction equal to the number of Service Months over 12, (ii) on the second vesting date following termination, the number of RSUs that would have vested in the second vesting period, multiplied by a fraction equal to the number of Service Months over 24, and (iii) on the final vesting date, the number of RSUs that would have vested in the third vesting period, multiplied by a fraction equal to the number of Service Months over 36; and (b) on or after the first anniversary of the grant date, the RSUs will remain outstanding and will vest on each regularly scheduled vesting date.</w:t>
      </w:r>
    </w:p>
    <w:p>
      <w:pPr>
        <w:spacing w:after="0" w:line="16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PSU award agreements applicable to the NEOs for PSUs granted beginning in 2022 provide that in the event of a termination of service due to the participant’s death following the first anniversary of the grant date, a pro rata portion will vest on the termination date, based on the number of PSUs that the CNG Committee determines would have vested based on the likely level of achievement of the performance conditions, multiplied by a fraction equal to the number of Service Months over 36. In the event of a participant’s Retirement that occurs after the first anniversary of the grant date, the PSUs will remain outstanding and a pro rata portion will vest on the scheduled vesting date, based on the number of achieved PSUs, multiplied by a fraction equal to the number of Service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4F81B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over 36. In the event of a participant’s Enhanced Retirement (a) after the six months anniversary of the grant date but prior to the first anniversary of the grant date, the PSUs will remain outstanding and a pro rata portion will vest on the scheduled vesting date, based on the number of achieved PSUs, multiplied by a fraction equal to the number of Service Months over 36; and (b) after the first anniversary of the grant date, the PSUs will remain outstanding and all achieved PSUs will vest on the scheduled vesting date.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these award agreements:</w:t>
      </w:r>
    </w:p>
    <w:p>
      <w:pPr>
        <w:spacing w:after="0" w:line="225" w:lineRule="exact"/>
        <w:rPr>
          <w:sz w:val="20"/>
          <w:szCs w:val="20"/>
          <w:color w:val="auto"/>
        </w:rPr>
      </w:pPr>
    </w:p>
    <w:p>
      <w:pPr>
        <w:jc w:val="both"/>
        <w:ind w:left="660" w:hanging="328"/>
        <w:spacing w:after="0" w:line="311" w:lineRule="auto"/>
        <w:tabs>
          <w:tab w:leader="none" w:pos="650" w:val="left"/>
        </w:tabs>
        <w:numPr>
          <w:ilvl w:val="0"/>
          <w:numId w:val="39"/>
        </w:numPr>
        <w:rPr>
          <w:rFonts w:ascii="Arial" w:cs="Arial" w:eastAsia="Arial" w:hAnsi="Arial"/>
          <w:sz w:val="16"/>
          <w:szCs w:val="16"/>
          <w:color w:val="auto"/>
        </w:rPr>
      </w:pPr>
      <w:r>
        <w:rPr>
          <w:rFonts w:ascii="Arial" w:cs="Arial" w:eastAsia="Arial" w:hAnsi="Arial"/>
          <w:sz w:val="16"/>
          <w:szCs w:val="16"/>
          <w:color w:val="auto"/>
        </w:rPr>
        <w:t>“Retirement” means a participant’s voluntary termination of service on or after the earliest to occur of: (i) the date on which such participant attains age 62, (ii) the date on which such participant attains age 55 and has completed 10 years of service with the Company or an affiliate (or predecessor thereof) or (iii) such participant’s age plus years of service with the Company or an affiliate (or predecessor thereof) totals at least 70.</w:t>
      </w:r>
    </w:p>
    <w:p>
      <w:pPr>
        <w:spacing w:after="0" w:line="148" w:lineRule="exact"/>
        <w:rPr>
          <w:rFonts w:ascii="Arial" w:cs="Arial" w:eastAsia="Arial" w:hAnsi="Arial"/>
          <w:sz w:val="16"/>
          <w:szCs w:val="16"/>
          <w:color w:val="auto"/>
        </w:rPr>
      </w:pPr>
    </w:p>
    <w:p>
      <w:pPr>
        <w:jc w:val="both"/>
        <w:ind w:left="660" w:hanging="328"/>
        <w:spacing w:after="0" w:line="255"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“Enhanced Retirement” means: (A) the participant has a voluntary termination of service on or after the earliest to occur of: (1) the date on which such participant attains age 62, (2) the date on which such participant attains age 55 and has completed 15 years of service with the Company or an affiliate (or predecessor thereof) or (3) such participant’s age plus years of service with the Company or an affiliate (or predecessor thereof) totals at least 75; (B) the participant enters into an extended restrictive covenant agreement; (C) the participant is not eligible to receive, and does not receive, any severance payments or benefits; and (D) the participant provides the Company with at least six months’ advance written notice of the participant’s retirement.</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extended vesting provisions are further subject to the participant’s continuous compliance with applicable non-competition and other restrictive covenant agreements.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Equity Incentive Plan provides that in the event of a Change in Control (defined below), outstanding equity awards shall immediately vest and settle. The PSU award agreements applicable to the NEOs provide that the number of unvested PSUs that will vest effective as of the date of such Change in Control will be based on the likely level of achievement of the performance conditions or, with respect to PSUs for which the performance period was completed, based on the actual level of achievement of the performance conditions, in each case as determined in the sole discretion of the CNG Committee.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Equity Incentive Plan defines “Change in Control” generally as the occurrence of any one or more of the following events:</w:t>
      </w:r>
    </w:p>
    <w:p>
      <w:pPr>
        <w:spacing w:after="0" w:line="225" w:lineRule="exact"/>
        <w:rPr>
          <w:sz w:val="20"/>
          <w:szCs w:val="20"/>
          <w:color w:val="auto"/>
        </w:rPr>
      </w:pPr>
    </w:p>
    <w:p>
      <w:pPr>
        <w:jc w:val="both"/>
        <w:ind w:left="340" w:hanging="8"/>
        <w:spacing w:after="0" w:line="259" w:lineRule="auto"/>
        <w:tabs>
          <w:tab w:leader="none" w:pos="697"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direct or indirect change in ownership or control of the Company effected through one transaction or a series of related transactions within a 12-month period, whereby any person other than the Company, directly or indirectly acquires or maintains beneficial ownership of securities of the Company constituting more than 50% of the total combined voting power of the Company’s equity securities issued and outstanding immediately after such acquisition;</w:t>
      </w:r>
    </w:p>
    <w:p>
      <w:pPr>
        <w:spacing w:after="0" w:line="186" w:lineRule="exact"/>
        <w:rPr>
          <w:rFonts w:ascii="Arial" w:cs="Arial" w:eastAsia="Arial" w:hAnsi="Arial"/>
          <w:sz w:val="18"/>
          <w:szCs w:val="18"/>
          <w:color w:val="auto"/>
        </w:rPr>
      </w:pPr>
    </w:p>
    <w:p>
      <w:pPr>
        <w:ind w:left="340" w:hanging="8"/>
        <w:spacing w:after="0" w:line="277" w:lineRule="auto"/>
        <w:tabs>
          <w:tab w:leader="none" w:pos="747" w:val="left"/>
        </w:tabs>
        <w:numPr>
          <w:ilvl w:val="0"/>
          <w:numId w:val="40"/>
        </w:numPr>
        <w:rPr>
          <w:rFonts w:ascii="Arial" w:cs="Arial" w:eastAsia="Arial" w:hAnsi="Arial"/>
          <w:sz w:val="18"/>
          <w:szCs w:val="18"/>
          <w:color w:val="auto"/>
        </w:rPr>
      </w:pPr>
      <w:r>
        <w:rPr>
          <w:rFonts w:ascii="Arial" w:cs="Arial" w:eastAsia="Arial" w:hAnsi="Arial"/>
          <w:sz w:val="18"/>
          <w:szCs w:val="18"/>
          <w:color w:val="auto"/>
        </w:rPr>
        <w:t>at any time during a period of 24 consecutive months, individuals who at the beginning of such period constituted the Board cease for any reason to constitute a majority of members of the Board, with certain exceptions;</w:t>
      </w:r>
    </w:p>
    <w:p>
      <w:pPr>
        <w:spacing w:after="0" w:line="170" w:lineRule="exact"/>
        <w:rPr>
          <w:rFonts w:ascii="Arial" w:cs="Arial" w:eastAsia="Arial" w:hAnsi="Arial"/>
          <w:sz w:val="18"/>
          <w:szCs w:val="18"/>
          <w:color w:val="auto"/>
        </w:rPr>
      </w:pPr>
    </w:p>
    <w:p>
      <w:pPr>
        <w:jc w:val="both"/>
        <w:ind w:left="340" w:hanging="8"/>
        <w:spacing w:after="0" w:line="255" w:lineRule="auto"/>
        <w:tabs>
          <w:tab w:leader="none" w:pos="837"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consummation of a merger, amalgamation or consolidation of the Company or any of its subsidiaries with any other corporation or entity, other than a merger, amalgamation or consolidation which would result in the voting securities of the Company issued and outstanding immediately prior to such merger, amalgamation or consolidation continuing to represent (either by remaining issued and outstanding or being converted into voting securities of the surviving entity or, if applicable, the ultimate parent thereof) at least 50% of the combined voting power and total fair market value of the securities of the Company or such surviving entity or parent issued and outstanding immediately after such merger, amalgamation or consolidation;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4F81B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40" w:hanging="8"/>
        <w:spacing w:after="0" w:line="308" w:lineRule="auto"/>
        <w:tabs>
          <w:tab w:leader="none" w:pos="8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consummation of any sale, lease, exchange or other transfer to any person (other than an affiliate of the Company), in one transaction or a series of related transactions within a 12-month period, of all or substantially all of the assets of the Company and its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4F81B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Potential Payments Table</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table below reflects the estimated value of compensation and benefits payable to each of our NEOs, other than Mr. Cappel, upon the occurrence of certain events. The amounts in the table are based on a hypothetical termination of employment or change in control date on December 31, 2022.</w:t>
      </w:r>
    </w:p>
    <w:p>
      <w:pPr>
        <w:spacing w:after="0" w:line="14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discussed above, Mr. Cappel’s employment with us terminated on November 2, 2022. In connection with his termination, Mr. Cappel is receiving severance payments of $525,000 and COBRA premium assistance of $13,441 over the 52-week period following his termination, and he received accrued but unpaid vacation of $28,269 at the time of his termination. In addition, the CNG Committee agreed that 12,125 RSUs held by Mr. Cappel scheduled to vest in early 2023 would not be forfeited upon his termination, and instead would vest and be settled as soon as administratively possible (which occurred on February 1, 2023). The remainder of Mr. Cappel’s equity awards were forfeited upon his termination. Mr. Cappel was also eligible to receive a payout of his 2022 AIP based on his eligible earnings, which resulted in a payout of $203,333.</w:t>
      </w:r>
    </w:p>
    <w:tbl>
      <w:tblPr>
        <w:tblLayout w:type="fixed"/>
        <w:tblInd w:w="0" w:type="dxa"/>
        <w:tblCellMar>
          <w:top w:w="0" w:type="dxa"/>
          <w:left w:w="0" w:type="dxa"/>
          <w:bottom w:w="0" w:type="dxa"/>
          <w:right w:w="0" w:type="dxa"/>
        </w:tblCellMar>
      </w:tblPr>
      <w:tr>
        <w:trPr>
          <w:trHeight w:val="184"/>
        </w:trPr>
        <w:tc>
          <w:tcPr>
            <w:tcW w:w="2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20" w:type="dxa"/>
            <w:vAlign w:val="bottom"/>
            <w:gridSpan w:val="3"/>
          </w:tcPr>
          <w:p>
            <w:pPr>
              <w:jc w:val="center"/>
              <w:ind w:right="380"/>
              <w:spacing w:after="0" w:line="183" w:lineRule="exact"/>
              <w:rPr>
                <w:sz w:val="20"/>
                <w:szCs w:val="20"/>
                <w:color w:val="auto"/>
              </w:rPr>
            </w:pPr>
            <w:r>
              <w:rPr>
                <w:rFonts w:ascii="Arial" w:cs="Arial" w:eastAsia="Arial" w:hAnsi="Arial"/>
                <w:sz w:val="18"/>
                <w:szCs w:val="18"/>
                <w:b w:val="1"/>
                <w:bCs w:val="1"/>
                <w:color w:val="auto"/>
                <w:w w:val="93"/>
              </w:rPr>
              <w:t>Termination</w:t>
            </w:r>
          </w:p>
        </w:tc>
        <w:tc>
          <w:tcPr>
            <w:tcW w:w="1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gridSpan w:val="3"/>
          </w:tcPr>
          <w:p>
            <w:pPr>
              <w:jc w:val="center"/>
              <w:ind w:right="380"/>
              <w:spacing w:after="0" w:line="184" w:lineRule="exact"/>
              <w:rPr>
                <w:sz w:val="20"/>
                <w:szCs w:val="20"/>
                <w:color w:val="auto"/>
              </w:rPr>
            </w:pPr>
            <w:r>
              <w:rPr>
                <w:rFonts w:ascii="Arial" w:cs="Arial" w:eastAsia="Arial" w:hAnsi="Arial"/>
                <w:sz w:val="18"/>
                <w:szCs w:val="18"/>
                <w:b w:val="1"/>
                <w:bCs w:val="1"/>
                <w:color w:val="auto"/>
                <w:w w:val="95"/>
              </w:rPr>
              <w:t>Without</w:t>
            </w:r>
          </w:p>
        </w:tc>
        <w:tc>
          <w:tcPr>
            <w:tcW w:w="1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20" w:type="dxa"/>
            <w:vAlign w:val="bottom"/>
            <w:gridSpan w:val="3"/>
          </w:tcPr>
          <w:p>
            <w:pPr>
              <w:jc w:val="center"/>
              <w:ind w:right="420"/>
              <w:spacing w:after="0" w:line="181" w:lineRule="exact"/>
              <w:rPr>
                <w:sz w:val="20"/>
                <w:szCs w:val="20"/>
                <w:color w:val="auto"/>
              </w:rPr>
            </w:pPr>
            <w:r>
              <w:rPr>
                <w:rFonts w:ascii="Arial" w:cs="Arial" w:eastAsia="Arial" w:hAnsi="Arial"/>
                <w:sz w:val="18"/>
                <w:szCs w:val="18"/>
                <w:b w:val="1"/>
                <w:bCs w:val="1"/>
                <w:color w:val="auto"/>
                <w:w w:val="88"/>
              </w:rPr>
              <w:t>Cause</w:t>
            </w:r>
          </w:p>
        </w:tc>
        <w:tc>
          <w:tcPr>
            <w:tcW w:w="1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20" w:type="dxa"/>
            <w:vAlign w:val="bottom"/>
            <w:gridSpan w:val="3"/>
          </w:tcPr>
          <w:p>
            <w:pPr>
              <w:jc w:val="center"/>
              <w:ind w:right="380"/>
              <w:spacing w:after="0" w:line="176" w:lineRule="exact"/>
              <w:rPr>
                <w:sz w:val="20"/>
                <w:szCs w:val="20"/>
                <w:color w:val="auto"/>
              </w:rPr>
            </w:pPr>
            <w:r>
              <w:rPr>
                <w:rFonts w:ascii="Arial" w:cs="Arial" w:eastAsia="Arial" w:hAnsi="Arial"/>
                <w:sz w:val="18"/>
                <w:szCs w:val="18"/>
                <w:b w:val="1"/>
                <w:bCs w:val="1"/>
                <w:color w:val="auto"/>
                <w:w w:val="92"/>
              </w:rPr>
              <w:t>or for Good</w:t>
            </w:r>
          </w:p>
        </w:tc>
        <w:tc>
          <w:tcPr>
            <w:tcW w:w="1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vMerge w:val="restart"/>
          </w:tcPr>
          <w:p>
            <w:pPr>
              <w:jc w:val="center"/>
              <w:ind w:right="30"/>
              <w:spacing w:after="0"/>
              <w:rPr>
                <w:sz w:val="20"/>
                <w:szCs w:val="20"/>
                <w:color w:val="auto"/>
              </w:rPr>
            </w:pPr>
            <w:r>
              <w:rPr>
                <w:rFonts w:ascii="Arial" w:cs="Arial" w:eastAsia="Arial" w:hAnsi="Arial"/>
                <w:sz w:val="18"/>
                <w:szCs w:val="18"/>
                <w:b w:val="1"/>
                <w:bCs w:val="1"/>
                <w:color w:val="auto"/>
                <w:w w:val="93"/>
              </w:rPr>
              <w:t>Termination</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gridSpan w:val="3"/>
          </w:tcPr>
          <w:p>
            <w:pPr>
              <w:jc w:val="center"/>
              <w:ind w:right="380"/>
              <w:spacing w:after="0" w:line="184" w:lineRule="exact"/>
              <w:rPr>
                <w:sz w:val="20"/>
                <w:szCs w:val="20"/>
                <w:color w:val="auto"/>
              </w:rPr>
            </w:pPr>
            <w:r>
              <w:rPr>
                <w:rFonts w:ascii="Arial" w:cs="Arial" w:eastAsia="Arial" w:hAnsi="Arial"/>
                <w:sz w:val="18"/>
                <w:szCs w:val="18"/>
                <w:b w:val="1"/>
                <w:bCs w:val="1"/>
                <w:color w:val="auto"/>
                <w:w w:val="86"/>
              </w:rPr>
              <w:t>Reason</w:t>
            </w:r>
          </w:p>
        </w:tc>
        <w:tc>
          <w:tcPr>
            <w:tcW w:w="1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20" w:type="dxa"/>
            <w:vAlign w:val="bottom"/>
            <w:gridSpan w:val="3"/>
          </w:tcPr>
          <w:p>
            <w:pPr>
              <w:jc w:val="center"/>
              <w:ind w:right="380"/>
              <w:spacing w:after="0" w:line="181" w:lineRule="exact"/>
              <w:rPr>
                <w:sz w:val="20"/>
                <w:szCs w:val="20"/>
                <w:color w:val="auto"/>
              </w:rPr>
            </w:pPr>
            <w:r>
              <w:rPr>
                <w:rFonts w:ascii="Arial" w:cs="Arial" w:eastAsia="Arial" w:hAnsi="Arial"/>
                <w:sz w:val="18"/>
                <w:szCs w:val="18"/>
                <w:b w:val="1"/>
                <w:bCs w:val="1"/>
                <w:color w:val="auto"/>
                <w:w w:val="94"/>
              </w:rPr>
              <w:t>Within 12</w:t>
            </w:r>
          </w:p>
        </w:tc>
        <w:tc>
          <w:tcPr>
            <w:tcW w:w="1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center"/>
              <w:ind w:right="30"/>
              <w:spacing w:after="0" w:line="176" w:lineRule="exact"/>
              <w:rPr>
                <w:sz w:val="20"/>
                <w:szCs w:val="20"/>
                <w:color w:val="auto"/>
              </w:rPr>
            </w:pPr>
            <w:r>
              <w:rPr>
                <w:rFonts w:ascii="Arial" w:cs="Arial" w:eastAsia="Arial" w:hAnsi="Arial"/>
                <w:sz w:val="18"/>
                <w:szCs w:val="18"/>
                <w:b w:val="1"/>
                <w:bCs w:val="1"/>
                <w:color w:val="auto"/>
                <w:w w:val="95"/>
              </w:rPr>
              <w:t>Without</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20" w:type="dxa"/>
            <w:vAlign w:val="bottom"/>
            <w:gridSpan w:val="3"/>
          </w:tcPr>
          <w:p>
            <w:pPr>
              <w:jc w:val="center"/>
              <w:ind w:right="380"/>
              <w:spacing w:after="0" w:line="176" w:lineRule="exact"/>
              <w:rPr>
                <w:sz w:val="20"/>
                <w:szCs w:val="20"/>
                <w:color w:val="auto"/>
              </w:rPr>
            </w:pPr>
            <w:r>
              <w:rPr>
                <w:rFonts w:ascii="Arial" w:cs="Arial" w:eastAsia="Arial" w:hAnsi="Arial"/>
                <w:sz w:val="18"/>
                <w:szCs w:val="18"/>
                <w:b w:val="1"/>
                <w:bCs w:val="1"/>
                <w:color w:val="auto"/>
                <w:w w:val="93"/>
              </w:rPr>
              <w:t>Months</w:t>
            </w:r>
          </w:p>
        </w:tc>
        <w:tc>
          <w:tcPr>
            <w:tcW w:w="1460" w:type="dxa"/>
            <w:vAlign w:val="bottom"/>
            <w:vMerge w:val="restart"/>
          </w:tcPr>
          <w:p>
            <w:pPr>
              <w:jc w:val="center"/>
              <w:ind w:right="10"/>
              <w:spacing w:after="0"/>
              <w:rPr>
                <w:sz w:val="20"/>
                <w:szCs w:val="20"/>
                <w:color w:val="auto"/>
              </w:rPr>
            </w:pPr>
            <w:r>
              <w:rPr>
                <w:rFonts w:ascii="Arial" w:cs="Arial" w:eastAsia="Arial" w:hAnsi="Arial"/>
                <w:sz w:val="18"/>
                <w:szCs w:val="18"/>
                <w:b w:val="1"/>
                <w:bCs w:val="1"/>
                <w:color w:val="auto"/>
                <w:w w:val="93"/>
              </w:rPr>
              <w:t>Termination</w:t>
            </w:r>
          </w:p>
        </w:tc>
        <w:tc>
          <w:tcPr>
            <w:tcW w:w="220" w:type="dxa"/>
            <w:vAlign w:val="bottom"/>
          </w:tcPr>
          <w:p>
            <w:pPr>
              <w:spacing w:after="0"/>
              <w:rPr>
                <w:sz w:val="15"/>
                <w:szCs w:val="15"/>
                <w:color w:val="auto"/>
              </w:rPr>
            </w:pPr>
          </w:p>
        </w:tc>
        <w:tc>
          <w:tcPr>
            <w:tcW w:w="1760" w:type="dxa"/>
            <w:vAlign w:val="bottom"/>
            <w:gridSpan w:val="4"/>
            <w:vMerge w:val="restart"/>
          </w:tcPr>
          <w:p>
            <w:pPr>
              <w:jc w:val="center"/>
              <w:ind w:right="280"/>
              <w:spacing w:after="0"/>
              <w:rPr>
                <w:sz w:val="20"/>
                <w:szCs w:val="20"/>
                <w:color w:val="auto"/>
              </w:rPr>
            </w:pPr>
            <w:r>
              <w:rPr>
                <w:rFonts w:ascii="Arial" w:cs="Arial" w:eastAsia="Arial" w:hAnsi="Arial"/>
                <w:sz w:val="18"/>
                <w:szCs w:val="18"/>
                <w:b w:val="1"/>
                <w:bCs w:val="1"/>
                <w:color w:val="auto"/>
                <w:w w:val="92"/>
              </w:rPr>
              <w:t>Termination Due</w:t>
            </w: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center"/>
              <w:ind w:right="30"/>
              <w:spacing w:after="0" w:line="176" w:lineRule="exact"/>
              <w:rPr>
                <w:sz w:val="20"/>
                <w:szCs w:val="20"/>
                <w:color w:val="auto"/>
              </w:rPr>
            </w:pPr>
            <w:r>
              <w:rPr>
                <w:rFonts w:ascii="Arial" w:cs="Arial" w:eastAsia="Arial" w:hAnsi="Arial"/>
                <w:sz w:val="18"/>
                <w:szCs w:val="18"/>
                <w:b w:val="1"/>
                <w:bCs w:val="1"/>
                <w:color w:val="auto"/>
                <w:w w:val="91"/>
              </w:rPr>
              <w:t>Cause Prior</w:t>
            </w:r>
          </w:p>
        </w:tc>
        <w:tc>
          <w:tcPr>
            <w:tcW w:w="200" w:type="dxa"/>
            <w:vAlign w:val="bottom"/>
          </w:tcPr>
          <w:p>
            <w:pPr>
              <w:spacing w:after="0"/>
              <w:rPr>
                <w:sz w:val="15"/>
                <w:szCs w:val="15"/>
                <w:color w:val="auto"/>
              </w:rPr>
            </w:pPr>
          </w:p>
        </w:tc>
        <w:tc>
          <w:tcPr>
            <w:tcW w:w="1700" w:type="dxa"/>
            <w:vAlign w:val="bottom"/>
            <w:gridSpan w:val="4"/>
          </w:tcPr>
          <w:p>
            <w:pPr>
              <w:jc w:val="center"/>
              <w:ind w:right="280"/>
              <w:spacing w:after="0" w:line="176" w:lineRule="exact"/>
              <w:rPr>
                <w:sz w:val="20"/>
                <w:szCs w:val="20"/>
                <w:color w:val="auto"/>
              </w:rPr>
            </w:pPr>
            <w:r>
              <w:rPr>
                <w:rFonts w:ascii="Arial" w:cs="Arial" w:eastAsia="Arial" w:hAnsi="Arial"/>
                <w:sz w:val="18"/>
                <w:szCs w:val="18"/>
                <w:b w:val="1"/>
                <w:bCs w:val="1"/>
                <w:color w:val="auto"/>
                <w:w w:val="89"/>
              </w:rPr>
              <w:t>Following a Sale</w:t>
            </w:r>
          </w:p>
        </w:tc>
        <w:tc>
          <w:tcPr>
            <w:tcW w:w="14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760" w:type="dxa"/>
            <w:vAlign w:val="bottom"/>
            <w:gridSpan w:val="4"/>
            <w:vMerge w:val="continue"/>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center"/>
              <w:ind w:right="30"/>
              <w:spacing w:after="0" w:line="189" w:lineRule="exact"/>
              <w:rPr>
                <w:sz w:val="20"/>
                <w:szCs w:val="20"/>
                <w:color w:val="auto"/>
              </w:rPr>
            </w:pPr>
            <w:r>
              <w:rPr>
                <w:rFonts w:ascii="Arial" w:cs="Arial" w:eastAsia="Arial" w:hAnsi="Arial"/>
                <w:sz w:val="18"/>
                <w:szCs w:val="18"/>
                <w:b w:val="1"/>
                <w:bCs w:val="1"/>
                <w:color w:val="auto"/>
                <w:w w:val="87"/>
              </w:rPr>
              <w:t>to a Sale of</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gridSpan w:val="3"/>
          </w:tcPr>
          <w:p>
            <w:pPr>
              <w:jc w:val="center"/>
              <w:ind w:right="380"/>
              <w:spacing w:after="0" w:line="189" w:lineRule="exact"/>
              <w:rPr>
                <w:sz w:val="20"/>
                <w:szCs w:val="20"/>
                <w:color w:val="auto"/>
              </w:rPr>
            </w:pPr>
            <w:r>
              <w:rPr>
                <w:rFonts w:ascii="Arial" w:cs="Arial" w:eastAsia="Arial" w:hAnsi="Arial"/>
                <w:sz w:val="18"/>
                <w:szCs w:val="18"/>
                <w:b w:val="1"/>
                <w:bCs w:val="1"/>
                <w:color w:val="auto"/>
                <w:w w:val="93"/>
              </w:rPr>
              <w:t>of</w:t>
            </w:r>
          </w:p>
        </w:tc>
        <w:tc>
          <w:tcPr>
            <w:tcW w:w="1460" w:type="dxa"/>
            <w:vAlign w:val="bottom"/>
          </w:tcPr>
          <w:p>
            <w:pPr>
              <w:jc w:val="center"/>
              <w:ind w:right="50"/>
              <w:spacing w:after="0" w:line="189" w:lineRule="exact"/>
              <w:rPr>
                <w:sz w:val="20"/>
                <w:szCs w:val="20"/>
                <w:color w:val="auto"/>
              </w:rPr>
            </w:pPr>
            <w:r>
              <w:rPr>
                <w:rFonts w:ascii="Arial" w:cs="Arial" w:eastAsia="Arial" w:hAnsi="Arial"/>
                <w:sz w:val="18"/>
                <w:szCs w:val="18"/>
                <w:b w:val="1"/>
                <w:bCs w:val="1"/>
                <w:color w:val="auto"/>
                <w:w w:val="90"/>
              </w:rPr>
              <w:t>Due to Death</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3"/>
          </w:tcPr>
          <w:p>
            <w:pPr>
              <w:jc w:val="center"/>
              <w:ind w:right="380"/>
              <w:spacing w:after="0" w:line="189" w:lineRule="exact"/>
              <w:rPr>
                <w:sz w:val="20"/>
                <w:szCs w:val="20"/>
                <w:color w:val="auto"/>
              </w:rPr>
            </w:pPr>
            <w:r>
              <w:rPr>
                <w:rFonts w:ascii="Arial" w:cs="Arial" w:eastAsia="Arial" w:hAnsi="Arial"/>
                <w:sz w:val="18"/>
                <w:szCs w:val="18"/>
                <w:b w:val="1"/>
                <w:bCs w:val="1"/>
                <w:color w:val="auto"/>
                <w:w w:val="88"/>
              </w:rPr>
              <w:t>to Enhanced</w:t>
            </w:r>
          </w:p>
        </w:tc>
        <w:tc>
          <w:tcPr>
            <w:tcW w:w="1400" w:type="dxa"/>
            <w:vAlign w:val="bottom"/>
            <w:gridSpan w:val="2"/>
          </w:tcPr>
          <w:p>
            <w:pPr>
              <w:jc w:val="center"/>
              <w:ind w:right="180"/>
              <w:spacing w:after="0" w:line="189" w:lineRule="exact"/>
              <w:rPr>
                <w:sz w:val="20"/>
                <w:szCs w:val="20"/>
                <w:color w:val="auto"/>
              </w:rPr>
            </w:pPr>
            <w:r>
              <w:rPr>
                <w:rFonts w:ascii="Arial" w:cs="Arial" w:eastAsia="Arial" w:hAnsi="Arial"/>
                <w:sz w:val="18"/>
                <w:szCs w:val="18"/>
                <w:b w:val="1"/>
                <w:bCs w:val="1"/>
                <w:color w:val="auto"/>
                <w:w w:val="89"/>
              </w:rPr>
              <w:t>Change in</w:t>
            </w:r>
          </w:p>
        </w:tc>
        <w:tc>
          <w:tcPr>
            <w:tcW w:w="0" w:type="dxa"/>
            <w:vAlign w:val="bottom"/>
          </w:tcPr>
          <w:p>
            <w:pPr>
              <w:spacing w:after="0"/>
              <w:rPr>
                <w:sz w:val="1"/>
                <w:szCs w:val="1"/>
                <w:color w:val="auto"/>
              </w:rPr>
            </w:pPr>
          </w:p>
        </w:tc>
      </w:tr>
      <w:tr>
        <w:trPr>
          <w:trHeight w:val="225"/>
        </w:trPr>
        <w:tc>
          <w:tcPr>
            <w:tcW w:w="2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center"/>
              <w:ind w:right="10"/>
              <w:spacing w:after="0"/>
              <w:rPr>
                <w:sz w:val="20"/>
                <w:szCs w:val="20"/>
                <w:color w:val="auto"/>
              </w:rPr>
            </w:pPr>
            <w:r>
              <w:rPr>
                <w:rFonts w:ascii="Arial" w:cs="Arial" w:eastAsia="Arial" w:hAnsi="Arial"/>
                <w:sz w:val="18"/>
                <w:szCs w:val="18"/>
                <w:b w:val="1"/>
                <w:bCs w:val="1"/>
                <w:color w:val="auto"/>
                <w:w w:val="82"/>
              </w:rPr>
              <w:t>Business</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2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82"/>
              </w:rPr>
              <w:t>Business</w:t>
            </w:r>
          </w:p>
        </w:tc>
        <w:tc>
          <w:tcPr>
            <w:tcW w:w="1460" w:type="dxa"/>
            <w:vAlign w:val="bottom"/>
          </w:tcPr>
          <w:p>
            <w:pPr>
              <w:jc w:val="center"/>
              <w:ind w:right="10"/>
              <w:spacing w:after="0"/>
              <w:rPr>
                <w:sz w:val="20"/>
                <w:szCs w:val="20"/>
                <w:color w:val="auto"/>
              </w:rPr>
            </w:pPr>
            <w:r>
              <w:rPr>
                <w:rFonts w:ascii="Arial" w:cs="Arial" w:eastAsia="Arial" w:hAnsi="Arial"/>
                <w:sz w:val="18"/>
                <w:szCs w:val="18"/>
                <w:b w:val="1"/>
                <w:bCs w:val="1"/>
                <w:color w:val="auto"/>
                <w:w w:val="92"/>
              </w:rPr>
              <w:t>or Retirement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gridSpan w:val="3"/>
          </w:tcPr>
          <w:p>
            <w:pPr>
              <w:jc w:val="center"/>
              <w:ind w:right="380"/>
              <w:spacing w:after="0" w:line="224" w:lineRule="exact"/>
              <w:rPr>
                <w:sz w:val="20"/>
                <w:szCs w:val="20"/>
                <w:color w:val="auto"/>
              </w:rPr>
            </w:pPr>
            <w:r>
              <w:rPr>
                <w:rFonts w:ascii="Arial" w:cs="Arial" w:eastAsia="Arial" w:hAnsi="Arial"/>
                <w:sz w:val="18"/>
                <w:szCs w:val="18"/>
                <w:b w:val="1"/>
                <w:bCs w:val="1"/>
                <w:color w:val="auto"/>
                <w:w w:val="88"/>
              </w:rPr>
              <w:t>Retirement</w:t>
            </w:r>
            <w:r>
              <w:rPr>
                <w:rFonts w:ascii="Arial" w:cs="Arial" w:eastAsia="Arial" w:hAnsi="Arial"/>
                <w:sz w:val="23"/>
                <w:szCs w:val="23"/>
                <w:b w:val="1"/>
                <w:bCs w:val="1"/>
                <w:color w:val="auto"/>
                <w:w w:val="88"/>
                <w:vertAlign w:val="superscript"/>
              </w:rPr>
              <w:t>(3)</w:t>
            </w:r>
          </w:p>
        </w:tc>
        <w:tc>
          <w:tcPr>
            <w:tcW w:w="14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Control</w:t>
            </w:r>
          </w:p>
        </w:tc>
        <w:tc>
          <w:tcPr>
            <w:tcW w:w="0" w:type="dxa"/>
            <w:vAlign w:val="bottom"/>
          </w:tcPr>
          <w:p>
            <w:pPr>
              <w:spacing w:after="0"/>
              <w:rPr>
                <w:sz w:val="1"/>
                <w:szCs w:val="1"/>
                <w:color w:val="auto"/>
              </w:rPr>
            </w:pPr>
          </w:p>
        </w:tc>
      </w:tr>
      <w:tr>
        <w:trPr>
          <w:trHeight w:val="234"/>
        </w:trPr>
        <w:tc>
          <w:tcPr>
            <w:tcW w:w="3180" w:type="dxa"/>
            <w:vAlign w:val="bottom"/>
            <w:gridSpan w:val="3"/>
          </w:tcPr>
          <w:p>
            <w:pPr>
              <w:ind w:left="20"/>
              <w:spacing w:after="0"/>
              <w:rPr>
                <w:sz w:val="20"/>
                <w:szCs w:val="20"/>
                <w:color w:val="auto"/>
              </w:rPr>
            </w:pPr>
            <w:r>
              <w:rPr>
                <w:rFonts w:ascii="Arial" w:cs="Arial" w:eastAsia="Arial" w:hAnsi="Arial"/>
                <w:sz w:val="18"/>
                <w:szCs w:val="18"/>
                <w:b w:val="1"/>
                <w:bCs w:val="1"/>
                <w:color w:val="auto"/>
              </w:rPr>
              <w:t>Name/Benefits</w:t>
            </w:r>
          </w:p>
        </w:tc>
        <w:tc>
          <w:tcPr>
            <w:tcW w:w="132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w:t>
            </w:r>
          </w:p>
        </w:tc>
        <w:tc>
          <w:tcPr>
            <w:tcW w:w="1600" w:type="dxa"/>
            <w:vAlign w:val="bottom"/>
            <w:gridSpan w:val="3"/>
          </w:tcPr>
          <w:p>
            <w:pPr>
              <w:jc w:val="center"/>
              <w:ind w:left="110"/>
              <w:spacing w:after="0"/>
              <w:rPr>
                <w:sz w:val="20"/>
                <w:szCs w:val="20"/>
                <w:color w:val="auto"/>
              </w:rPr>
            </w:pPr>
            <w:r>
              <w:rPr>
                <w:rFonts w:ascii="Arial" w:cs="Arial" w:eastAsia="Arial" w:hAnsi="Arial"/>
                <w:sz w:val="18"/>
                <w:szCs w:val="18"/>
                <w:b w:val="1"/>
                <w:bCs w:val="1"/>
                <w:color w:val="auto"/>
                <w:w w:val="90"/>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w:t>
            </w:r>
          </w:p>
        </w:tc>
        <w:tc>
          <w:tcPr>
            <w:tcW w:w="1700" w:type="dxa"/>
            <w:vAlign w:val="bottom"/>
            <w:gridSpan w:val="3"/>
          </w:tcPr>
          <w:p>
            <w:pPr>
              <w:jc w:val="center"/>
              <w:ind w:left="130"/>
              <w:spacing w:after="0"/>
              <w:rPr>
                <w:sz w:val="20"/>
                <w:szCs w:val="20"/>
                <w:color w:val="auto"/>
              </w:rPr>
            </w:pPr>
            <w:r>
              <w:rPr>
                <w:rFonts w:ascii="Arial" w:cs="Arial" w:eastAsia="Arial" w:hAnsi="Arial"/>
                <w:sz w:val="18"/>
                <w:szCs w:val="18"/>
                <w:b w:val="1"/>
                <w:bCs w:val="1"/>
                <w:color w:val="auto"/>
                <w:w w:val="90"/>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9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Lance Mitchell</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80" w:type="dxa"/>
            <w:vAlign w:val="bottom"/>
            <w:gridSpan w:val="3"/>
          </w:tcPr>
          <w:p>
            <w:pPr>
              <w:ind w:left="20"/>
              <w:spacing w:after="0"/>
              <w:rPr>
                <w:sz w:val="20"/>
                <w:szCs w:val="20"/>
                <w:color w:val="auto"/>
              </w:rPr>
            </w:pPr>
            <w:r>
              <w:rPr>
                <w:rFonts w:ascii="Arial" w:cs="Arial" w:eastAsia="Arial" w:hAnsi="Arial"/>
                <w:sz w:val="18"/>
                <w:szCs w:val="18"/>
                <w:color w:val="auto"/>
              </w:rPr>
              <w:t>Base salary</w:t>
            </w:r>
          </w:p>
        </w:tc>
        <w:tc>
          <w:tcPr>
            <w:tcW w:w="1320" w:type="dxa"/>
            <w:vAlign w:val="bottom"/>
          </w:tcPr>
          <w:p>
            <w:pPr>
              <w:jc w:val="right"/>
              <w:spacing w:after="0"/>
              <w:rPr>
                <w:sz w:val="20"/>
                <w:szCs w:val="20"/>
                <w:color w:val="auto"/>
              </w:rPr>
            </w:pPr>
            <w:r>
              <w:rPr>
                <w:rFonts w:ascii="Arial" w:cs="Arial" w:eastAsia="Arial" w:hAnsi="Arial"/>
                <w:sz w:val="18"/>
                <w:szCs w:val="18"/>
                <w:color w:val="auto"/>
              </w:rPr>
              <w:t>1,550,000</w:t>
            </w:r>
          </w:p>
        </w:tc>
        <w:tc>
          <w:tcPr>
            <w:tcW w:w="1600" w:type="dxa"/>
            <w:vAlign w:val="bottom"/>
            <w:gridSpan w:val="3"/>
          </w:tcPr>
          <w:p>
            <w:pPr>
              <w:jc w:val="right"/>
              <w:spacing w:after="0"/>
              <w:rPr>
                <w:sz w:val="20"/>
                <w:szCs w:val="20"/>
                <w:color w:val="auto"/>
              </w:rPr>
            </w:pPr>
            <w:r>
              <w:rPr>
                <w:rFonts w:ascii="Arial" w:cs="Arial" w:eastAsia="Arial" w:hAnsi="Arial"/>
                <w:sz w:val="18"/>
                <w:szCs w:val="18"/>
                <w:color w:val="auto"/>
              </w:rPr>
              <w:t>3,100,000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1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Annual bonus</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1,782,500</w:t>
            </w:r>
          </w:p>
        </w:tc>
        <w:tc>
          <w:tcPr>
            <w:tcW w:w="1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1,782,500</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180" w:type="dxa"/>
            <w:vAlign w:val="bottom"/>
            <w:gridSpan w:val="3"/>
          </w:tcPr>
          <w:p>
            <w:pPr>
              <w:ind w:left="20"/>
              <w:spacing w:after="0"/>
              <w:rPr>
                <w:sz w:val="20"/>
                <w:szCs w:val="20"/>
                <w:color w:val="auto"/>
              </w:rPr>
            </w:pPr>
            <w:r>
              <w:rPr>
                <w:rFonts w:ascii="Arial" w:cs="Arial" w:eastAsia="Arial" w:hAnsi="Arial"/>
                <w:sz w:val="18"/>
                <w:szCs w:val="18"/>
                <w:color w:val="auto"/>
              </w:rPr>
              <w:t>Health benefits</w:t>
            </w:r>
          </w:p>
        </w:tc>
        <w:tc>
          <w:tcPr>
            <w:tcW w:w="1320" w:type="dxa"/>
            <w:vAlign w:val="bottom"/>
          </w:tcPr>
          <w:p>
            <w:pPr>
              <w:jc w:val="right"/>
              <w:spacing w:after="0"/>
              <w:rPr>
                <w:sz w:val="20"/>
                <w:szCs w:val="20"/>
                <w:color w:val="auto"/>
              </w:rPr>
            </w:pPr>
            <w:r>
              <w:rPr>
                <w:rFonts w:ascii="Arial" w:cs="Arial" w:eastAsia="Arial" w:hAnsi="Arial"/>
                <w:sz w:val="18"/>
                <w:szCs w:val="18"/>
                <w:color w:val="auto"/>
              </w:rPr>
              <w:t>10,913</w:t>
            </w:r>
          </w:p>
        </w:tc>
        <w:tc>
          <w:tcPr>
            <w:tcW w:w="1600" w:type="dxa"/>
            <w:vAlign w:val="bottom"/>
            <w:gridSpan w:val="3"/>
          </w:tcPr>
          <w:p>
            <w:pPr>
              <w:jc w:val="right"/>
              <w:spacing w:after="0"/>
              <w:rPr>
                <w:sz w:val="20"/>
                <w:szCs w:val="20"/>
                <w:color w:val="auto"/>
              </w:rPr>
            </w:pPr>
            <w:r>
              <w:rPr>
                <w:rFonts w:ascii="Arial" w:cs="Arial" w:eastAsia="Arial" w:hAnsi="Arial"/>
                <w:sz w:val="18"/>
                <w:szCs w:val="18"/>
                <w:color w:val="auto"/>
              </w:rPr>
              <w:t>10,913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180" w:type="dxa"/>
            <w:vAlign w:val="bottom"/>
            <w:gridSpan w:val="3"/>
            <w:shd w:val="clear" w:color="auto" w:fill="CCEEFF"/>
          </w:tcPr>
          <w:p>
            <w:pPr>
              <w:ind w:left="20"/>
              <w:spacing w:after="0" w:line="207" w:lineRule="exact"/>
              <w:rPr>
                <w:sz w:val="20"/>
                <w:szCs w:val="20"/>
                <w:color w:val="auto"/>
              </w:rPr>
            </w:pPr>
            <w:r>
              <w:rPr>
                <w:rFonts w:ascii="Arial" w:cs="Arial" w:eastAsia="Arial" w:hAnsi="Arial"/>
                <w:sz w:val="18"/>
                <w:szCs w:val="18"/>
                <w:color w:val="auto"/>
              </w:rPr>
              <w:t>Value of RSUs</w:t>
            </w:r>
            <w:r>
              <w:rPr>
                <w:rFonts w:ascii="MS PGothic" w:cs="MS PGothic" w:eastAsia="MS PGothic" w:hAnsi="MS PGothic"/>
                <w:sz w:val="18"/>
                <w:szCs w:val="18"/>
                <w:color w:val="auto"/>
              </w:rPr>
              <w:t>⁽</w:t>
            </w:r>
            <w:r>
              <w:rPr>
                <w:rFonts w:ascii="Arial" w:cs="Arial" w:eastAsia="Arial" w:hAnsi="Arial"/>
                <w:sz w:val="18"/>
                <w:szCs w:val="18"/>
                <w:color w:val="auto"/>
              </w:rPr>
              <w:t>¹</w:t>
            </w:r>
            <w:r>
              <w:rPr>
                <w:rFonts w:ascii="MS PGothic" w:cs="MS PGothic" w:eastAsia="MS PGothic" w:hAnsi="MS PGothic"/>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1,267,225</w:t>
            </w:r>
          </w:p>
        </w:tc>
        <w:tc>
          <w:tcPr>
            <w:tcW w:w="1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2,349,323</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4,003,469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80" w:type="dxa"/>
            <w:vAlign w:val="bottom"/>
            <w:gridSpan w:val="3"/>
          </w:tcPr>
          <w:p>
            <w:pPr>
              <w:ind w:left="20"/>
              <w:spacing w:after="0" w:line="207" w:lineRule="exact"/>
              <w:rPr>
                <w:sz w:val="20"/>
                <w:szCs w:val="20"/>
                <w:color w:val="auto"/>
              </w:rPr>
            </w:pPr>
            <w:r>
              <w:rPr>
                <w:rFonts w:ascii="Arial" w:cs="Arial" w:eastAsia="Arial" w:hAnsi="Arial"/>
                <w:sz w:val="18"/>
                <w:szCs w:val="18"/>
                <w:color w:val="auto"/>
              </w:rPr>
              <w:t>Value of PSUs</w:t>
            </w:r>
            <w:r>
              <w:rPr>
                <w:rFonts w:ascii="MS PGothic" w:cs="MS PGothic" w:eastAsia="MS PGothic" w:hAnsi="MS PGothic"/>
                <w:sz w:val="18"/>
                <w:szCs w:val="18"/>
                <w:color w:val="auto"/>
              </w:rPr>
              <w:t>⁽</w:t>
            </w:r>
            <w:r>
              <w:rPr>
                <w:rFonts w:ascii="Arial" w:cs="Arial" w:eastAsia="Arial" w:hAnsi="Arial"/>
                <w:sz w:val="18"/>
                <w:szCs w:val="18"/>
                <w:color w:val="auto"/>
              </w:rPr>
              <w:t>¹</w:t>
            </w:r>
            <w:r>
              <w:rPr>
                <w:rFonts w:ascii="MS PGothic" w:cs="MS PGothic" w:eastAsia="MS PGothic" w:hAnsi="MS PGothic"/>
                <w:sz w:val="18"/>
                <w:szCs w:val="18"/>
                <w:color w:val="auto"/>
              </w:rPr>
              <w:t>⁾⁽</w:t>
            </w:r>
            <w:r>
              <w:rPr>
                <w:rFonts w:ascii="Arial" w:cs="Arial" w:eastAsia="Arial" w:hAnsi="Arial"/>
                <w:sz w:val="18"/>
                <w:szCs w:val="18"/>
                <w:color w:val="auto"/>
              </w:rPr>
              <w:t>²</w:t>
            </w:r>
            <w:r>
              <w:rPr>
                <w:rFonts w:ascii="MS PGothic" w:cs="MS PGothic" w:eastAsia="MS PGothic" w:hAnsi="MS PGothic"/>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2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318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3,343,413</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4,893,413</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1,267,225</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2,349,323</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4,003,469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18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Arial" w:cs="Arial" w:eastAsia="Arial" w:hAnsi="Arial"/>
                <w:sz w:val="18"/>
                <w:szCs w:val="18"/>
                <w:b w:val="1"/>
                <w:bCs w:val="1"/>
                <w:color w:val="auto"/>
              </w:rPr>
              <w:t>Michael Graham</w:t>
            </w: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180" w:type="dxa"/>
            <w:vAlign w:val="bottom"/>
            <w:gridSpan w:val="3"/>
            <w:vMerge w:val="continue"/>
          </w:tcPr>
          <w:p>
            <w:pPr>
              <w:spacing w:after="0"/>
              <w:rPr>
                <w:sz w:val="15"/>
                <w:szCs w:val="15"/>
                <w:color w:val="auto"/>
              </w:rPr>
            </w:pPr>
          </w:p>
        </w:tc>
        <w:tc>
          <w:tcPr>
            <w:tcW w:w="1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1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Base salary</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822,678</w:t>
            </w:r>
          </w:p>
        </w:tc>
        <w:tc>
          <w:tcPr>
            <w:tcW w:w="1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1,645,356</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180" w:type="dxa"/>
            <w:vAlign w:val="bottom"/>
            <w:gridSpan w:val="3"/>
          </w:tcPr>
          <w:p>
            <w:pPr>
              <w:ind w:left="20"/>
              <w:spacing w:after="0"/>
              <w:rPr>
                <w:sz w:val="20"/>
                <w:szCs w:val="20"/>
                <w:color w:val="auto"/>
              </w:rPr>
            </w:pPr>
            <w:r>
              <w:rPr>
                <w:rFonts w:ascii="Arial" w:cs="Arial" w:eastAsia="Arial" w:hAnsi="Arial"/>
                <w:sz w:val="18"/>
                <w:szCs w:val="18"/>
                <w:color w:val="auto"/>
              </w:rPr>
              <w:t>Annual bonus</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3"/>
          </w:tcPr>
          <w:p>
            <w:pPr>
              <w:jc w:val="right"/>
              <w:spacing w:after="0"/>
              <w:rPr>
                <w:sz w:val="20"/>
                <w:szCs w:val="20"/>
                <w:color w:val="auto"/>
              </w:rPr>
            </w:pPr>
            <w:r>
              <w:rPr>
                <w:rFonts w:ascii="Arial" w:cs="Arial" w:eastAsia="Arial" w:hAnsi="Arial"/>
                <w:sz w:val="18"/>
                <w:szCs w:val="18"/>
                <w:color w:val="auto"/>
              </w:rPr>
              <w:t>493,607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1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Health benefits</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9,097</w:t>
            </w:r>
          </w:p>
        </w:tc>
        <w:tc>
          <w:tcPr>
            <w:tcW w:w="1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9,097</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180" w:type="dxa"/>
            <w:vAlign w:val="bottom"/>
            <w:gridSpan w:val="3"/>
          </w:tcPr>
          <w:p>
            <w:pPr>
              <w:ind w:left="20"/>
              <w:spacing w:after="0" w:line="207" w:lineRule="exact"/>
              <w:rPr>
                <w:sz w:val="20"/>
                <w:szCs w:val="20"/>
                <w:color w:val="auto"/>
              </w:rPr>
            </w:pPr>
            <w:r>
              <w:rPr>
                <w:rFonts w:ascii="Arial" w:cs="Arial" w:eastAsia="Arial" w:hAnsi="Arial"/>
                <w:sz w:val="18"/>
                <w:szCs w:val="18"/>
                <w:color w:val="auto"/>
              </w:rPr>
              <w:t>Value of RSUs</w:t>
            </w:r>
            <w:r>
              <w:rPr>
                <w:rFonts w:ascii="MS PGothic" w:cs="MS PGothic" w:eastAsia="MS PGothic" w:hAnsi="MS PGothic"/>
                <w:sz w:val="18"/>
                <w:szCs w:val="18"/>
                <w:color w:val="auto"/>
              </w:rPr>
              <w:t>⁽</w:t>
            </w:r>
            <w:r>
              <w:rPr>
                <w:rFonts w:ascii="Arial" w:cs="Arial" w:eastAsia="Arial" w:hAnsi="Arial"/>
                <w:sz w:val="18"/>
                <w:szCs w:val="18"/>
                <w:color w:val="auto"/>
              </w:rPr>
              <w:t>¹</w:t>
            </w:r>
            <w:r>
              <w:rPr>
                <w:rFonts w:ascii="MS PGothic" w:cs="MS PGothic" w:eastAsia="MS PGothic" w:hAnsi="MS PGothic"/>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2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358,651</w:t>
            </w:r>
          </w:p>
        </w:tc>
        <w:tc>
          <w:tcPr>
            <w:tcW w:w="1700" w:type="dxa"/>
            <w:vAlign w:val="bottom"/>
            <w:gridSpan w:val="3"/>
          </w:tcPr>
          <w:p>
            <w:pPr>
              <w:jc w:val="right"/>
              <w:spacing w:after="0"/>
              <w:rPr>
                <w:sz w:val="20"/>
                <w:szCs w:val="20"/>
                <w:color w:val="auto"/>
              </w:rPr>
            </w:pPr>
            <w:r>
              <w:rPr>
                <w:rFonts w:ascii="Arial" w:cs="Arial" w:eastAsia="Arial" w:hAnsi="Arial"/>
                <w:sz w:val="18"/>
                <w:szCs w:val="18"/>
                <w:color w:val="auto"/>
              </w:rPr>
              <w:t>668,824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1,147,035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80" w:type="dxa"/>
            <w:vAlign w:val="bottom"/>
            <w:gridSpan w:val="3"/>
            <w:shd w:val="clear" w:color="auto" w:fill="CCEEFF"/>
          </w:tcPr>
          <w:p>
            <w:pPr>
              <w:ind w:left="20"/>
              <w:spacing w:after="0" w:line="207" w:lineRule="exact"/>
              <w:rPr>
                <w:sz w:val="20"/>
                <w:szCs w:val="20"/>
                <w:color w:val="auto"/>
              </w:rPr>
            </w:pPr>
            <w:r>
              <w:rPr>
                <w:rFonts w:ascii="Arial" w:cs="Arial" w:eastAsia="Arial" w:hAnsi="Arial"/>
                <w:sz w:val="18"/>
                <w:szCs w:val="18"/>
                <w:color w:val="auto"/>
              </w:rPr>
              <w:t>Value of PSUs</w:t>
            </w:r>
            <w:r>
              <w:rPr>
                <w:rFonts w:ascii="MS PGothic" w:cs="MS PGothic" w:eastAsia="MS PGothic" w:hAnsi="MS PGothic"/>
                <w:sz w:val="18"/>
                <w:szCs w:val="18"/>
                <w:color w:val="auto"/>
              </w:rPr>
              <w:t>⁽</w:t>
            </w:r>
            <w:r>
              <w:rPr>
                <w:rFonts w:ascii="Arial" w:cs="Arial" w:eastAsia="Arial" w:hAnsi="Arial"/>
                <w:sz w:val="18"/>
                <w:szCs w:val="18"/>
                <w:color w:val="auto"/>
              </w:rPr>
              <w:t>¹</w:t>
            </w:r>
            <w:r>
              <w:rPr>
                <w:rFonts w:ascii="MS PGothic" w:cs="MS PGothic" w:eastAsia="MS PGothic" w:hAnsi="MS PGothic"/>
                <w:sz w:val="18"/>
                <w:szCs w:val="18"/>
                <w:color w:val="auto"/>
              </w:rPr>
              <w:t>⁾⁽</w:t>
            </w:r>
            <w:r>
              <w:rPr>
                <w:rFonts w:ascii="Arial" w:cs="Arial" w:eastAsia="Arial" w:hAnsi="Arial"/>
                <w:sz w:val="18"/>
                <w:szCs w:val="18"/>
                <w:color w:val="auto"/>
              </w:rPr>
              <w:t>²</w:t>
            </w:r>
            <w:r>
              <w:rPr>
                <w:rFonts w:ascii="MS PGothic" w:cs="MS PGothic" w:eastAsia="MS PGothic" w:hAnsi="MS PGothic"/>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180" w:type="dxa"/>
            <w:vAlign w:val="bottom"/>
            <w:gridSpan w:val="3"/>
          </w:tcPr>
          <w:p>
            <w:pPr>
              <w:ind w:left="20"/>
              <w:spacing w:after="0"/>
              <w:rPr>
                <w:sz w:val="20"/>
                <w:szCs w:val="20"/>
                <w:color w:val="auto"/>
              </w:rPr>
            </w:pPr>
            <w:r>
              <w:rPr>
                <w:rFonts w:ascii="Arial" w:cs="Arial" w:eastAsia="Arial" w:hAnsi="Arial"/>
                <w:sz w:val="18"/>
                <w:szCs w:val="18"/>
                <w:b w:val="1"/>
                <w:bCs w:val="1"/>
                <w:color w:val="auto"/>
              </w:rPr>
              <w:t>Total</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831,775</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2,148,060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358,651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668,824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1,147,035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180" w:type="dxa"/>
            <w:vAlign w:val="bottom"/>
            <w:gridSpan w:val="3"/>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Rachel Bishop</w:t>
            </w:r>
          </w:p>
        </w:tc>
        <w:tc>
          <w:tcPr>
            <w:tcW w:w="1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80" w:type="dxa"/>
            <w:vAlign w:val="bottom"/>
            <w:gridSpan w:val="3"/>
          </w:tcPr>
          <w:p>
            <w:pPr>
              <w:ind w:left="20"/>
              <w:spacing w:after="0"/>
              <w:rPr>
                <w:sz w:val="20"/>
                <w:szCs w:val="20"/>
                <w:color w:val="auto"/>
              </w:rPr>
            </w:pPr>
            <w:r>
              <w:rPr>
                <w:rFonts w:ascii="Arial" w:cs="Arial" w:eastAsia="Arial" w:hAnsi="Arial"/>
                <w:sz w:val="18"/>
                <w:szCs w:val="18"/>
                <w:color w:val="auto"/>
              </w:rPr>
              <w:t>Base salary</w:t>
            </w:r>
          </w:p>
        </w:tc>
        <w:tc>
          <w:tcPr>
            <w:tcW w:w="1320" w:type="dxa"/>
            <w:vAlign w:val="bottom"/>
          </w:tcPr>
          <w:p>
            <w:pPr>
              <w:jc w:val="right"/>
              <w:spacing w:after="0"/>
              <w:rPr>
                <w:sz w:val="20"/>
                <w:szCs w:val="20"/>
                <w:color w:val="auto"/>
              </w:rPr>
            </w:pPr>
            <w:r>
              <w:rPr>
                <w:rFonts w:ascii="Arial" w:cs="Arial" w:eastAsia="Arial" w:hAnsi="Arial"/>
                <w:sz w:val="18"/>
                <w:szCs w:val="18"/>
                <w:color w:val="auto"/>
              </w:rPr>
              <w:t>525,000</w:t>
            </w:r>
          </w:p>
        </w:tc>
        <w:tc>
          <w:tcPr>
            <w:tcW w:w="1600" w:type="dxa"/>
            <w:vAlign w:val="bottom"/>
            <w:gridSpan w:val="3"/>
          </w:tcPr>
          <w:p>
            <w:pPr>
              <w:jc w:val="right"/>
              <w:spacing w:after="0"/>
              <w:rPr>
                <w:sz w:val="20"/>
                <w:szCs w:val="20"/>
                <w:color w:val="auto"/>
              </w:rPr>
            </w:pPr>
            <w:r>
              <w:rPr>
                <w:rFonts w:ascii="Arial" w:cs="Arial" w:eastAsia="Arial" w:hAnsi="Arial"/>
                <w:sz w:val="18"/>
                <w:szCs w:val="18"/>
                <w:color w:val="auto"/>
              </w:rPr>
              <w:t>1,050,000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1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Annual bonus</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341,250</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180" w:type="dxa"/>
            <w:vAlign w:val="bottom"/>
            <w:gridSpan w:val="3"/>
          </w:tcPr>
          <w:p>
            <w:pPr>
              <w:ind w:left="20"/>
              <w:spacing w:after="0"/>
              <w:rPr>
                <w:sz w:val="20"/>
                <w:szCs w:val="20"/>
                <w:color w:val="auto"/>
              </w:rPr>
            </w:pPr>
            <w:r>
              <w:rPr>
                <w:rFonts w:ascii="Arial" w:cs="Arial" w:eastAsia="Arial" w:hAnsi="Arial"/>
                <w:sz w:val="18"/>
                <w:szCs w:val="18"/>
                <w:color w:val="auto"/>
              </w:rPr>
              <w:t>Health benefits</w:t>
            </w:r>
          </w:p>
        </w:tc>
        <w:tc>
          <w:tcPr>
            <w:tcW w:w="1320" w:type="dxa"/>
            <w:vAlign w:val="bottom"/>
          </w:tcPr>
          <w:p>
            <w:pPr>
              <w:jc w:val="right"/>
              <w:spacing w:after="0"/>
              <w:rPr>
                <w:sz w:val="20"/>
                <w:szCs w:val="20"/>
                <w:color w:val="auto"/>
              </w:rPr>
            </w:pPr>
            <w:r>
              <w:rPr>
                <w:rFonts w:ascii="Arial" w:cs="Arial" w:eastAsia="Arial" w:hAnsi="Arial"/>
                <w:sz w:val="18"/>
                <w:szCs w:val="18"/>
                <w:color w:val="auto"/>
              </w:rPr>
              <w:t>11,130</w:t>
            </w:r>
          </w:p>
        </w:tc>
        <w:tc>
          <w:tcPr>
            <w:tcW w:w="1600" w:type="dxa"/>
            <w:vAlign w:val="bottom"/>
            <w:gridSpan w:val="3"/>
          </w:tcPr>
          <w:p>
            <w:pPr>
              <w:jc w:val="right"/>
              <w:spacing w:after="0"/>
              <w:rPr>
                <w:sz w:val="20"/>
                <w:szCs w:val="20"/>
                <w:color w:val="auto"/>
              </w:rPr>
            </w:pPr>
            <w:r>
              <w:rPr>
                <w:rFonts w:ascii="Arial" w:cs="Arial" w:eastAsia="Arial" w:hAnsi="Arial"/>
                <w:sz w:val="18"/>
                <w:szCs w:val="18"/>
                <w:color w:val="auto"/>
              </w:rPr>
              <w:t>11,130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180" w:type="dxa"/>
            <w:vAlign w:val="bottom"/>
            <w:gridSpan w:val="3"/>
            <w:shd w:val="clear" w:color="auto" w:fill="CCEEFF"/>
          </w:tcPr>
          <w:p>
            <w:pPr>
              <w:ind w:left="20"/>
              <w:spacing w:after="0" w:line="207" w:lineRule="exact"/>
              <w:rPr>
                <w:sz w:val="20"/>
                <w:szCs w:val="20"/>
                <w:color w:val="auto"/>
              </w:rPr>
            </w:pPr>
            <w:r>
              <w:rPr>
                <w:rFonts w:ascii="Arial" w:cs="Arial" w:eastAsia="Arial" w:hAnsi="Arial"/>
                <w:sz w:val="18"/>
                <w:szCs w:val="18"/>
                <w:color w:val="auto"/>
              </w:rPr>
              <w:t>Value of RSUs</w:t>
            </w:r>
            <w:r>
              <w:rPr>
                <w:rFonts w:ascii="MS PGothic" w:cs="MS PGothic" w:eastAsia="MS PGothic" w:hAnsi="MS PGothic"/>
                <w:sz w:val="18"/>
                <w:szCs w:val="18"/>
                <w:color w:val="auto"/>
              </w:rPr>
              <w:t>⁽</w:t>
            </w:r>
            <w:r>
              <w:rPr>
                <w:rFonts w:ascii="Arial" w:cs="Arial" w:eastAsia="Arial" w:hAnsi="Arial"/>
                <w:sz w:val="18"/>
                <w:szCs w:val="18"/>
                <w:color w:val="auto"/>
              </w:rPr>
              <w:t>¹</w:t>
            </w:r>
            <w:r>
              <w:rPr>
                <w:rFonts w:ascii="MS PGothic" w:cs="MS PGothic" w:eastAsia="MS PGothic" w:hAnsi="MS PGothic"/>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189,893</w:t>
            </w:r>
          </w:p>
        </w:tc>
        <w:tc>
          <w:tcPr>
            <w:tcW w:w="1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387,821</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670,023</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80" w:type="dxa"/>
            <w:vAlign w:val="bottom"/>
            <w:gridSpan w:val="3"/>
          </w:tcPr>
          <w:p>
            <w:pPr>
              <w:ind w:left="20"/>
              <w:spacing w:after="0" w:line="207" w:lineRule="exact"/>
              <w:rPr>
                <w:sz w:val="20"/>
                <w:szCs w:val="20"/>
                <w:color w:val="auto"/>
              </w:rPr>
            </w:pPr>
            <w:r>
              <w:rPr>
                <w:rFonts w:ascii="Arial" w:cs="Arial" w:eastAsia="Arial" w:hAnsi="Arial"/>
                <w:sz w:val="18"/>
                <w:szCs w:val="18"/>
                <w:color w:val="auto"/>
              </w:rPr>
              <w:t>Value of PSUs</w:t>
            </w:r>
            <w:r>
              <w:rPr>
                <w:rFonts w:ascii="MS PGothic" w:cs="MS PGothic" w:eastAsia="MS PGothic" w:hAnsi="MS PGothic"/>
                <w:sz w:val="18"/>
                <w:szCs w:val="18"/>
                <w:color w:val="auto"/>
              </w:rPr>
              <w:t>⁽</w:t>
            </w:r>
            <w:r>
              <w:rPr>
                <w:rFonts w:ascii="Arial" w:cs="Arial" w:eastAsia="Arial" w:hAnsi="Arial"/>
                <w:sz w:val="18"/>
                <w:szCs w:val="18"/>
                <w:color w:val="auto"/>
              </w:rPr>
              <w:t>¹</w:t>
            </w:r>
            <w:r>
              <w:rPr>
                <w:rFonts w:ascii="MS PGothic" w:cs="MS PGothic" w:eastAsia="MS PGothic" w:hAnsi="MS PGothic"/>
                <w:sz w:val="18"/>
                <w:szCs w:val="18"/>
                <w:color w:val="auto"/>
              </w:rPr>
              <w:t>⁾⁽</w:t>
            </w:r>
            <w:r>
              <w:rPr>
                <w:rFonts w:ascii="Arial" w:cs="Arial" w:eastAsia="Arial" w:hAnsi="Arial"/>
                <w:sz w:val="18"/>
                <w:szCs w:val="18"/>
                <w:color w:val="auto"/>
              </w:rPr>
              <w:t>²</w:t>
            </w:r>
            <w:r>
              <w:rPr>
                <w:rFonts w:ascii="MS PGothic" w:cs="MS PGothic" w:eastAsia="MS PGothic" w:hAnsi="MS PGothic"/>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2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318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536,130</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1,402,380</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189,893</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387,821</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670,023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4F81B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80" w:type="dxa"/>
            <w:vAlign w:val="bottom"/>
            <w:gridSpan w:val="3"/>
          </w:tcPr>
          <w:p>
            <w:pPr>
              <w:spacing w:after="0"/>
              <w:rPr>
                <w:sz w:val="20"/>
                <w:szCs w:val="20"/>
                <w:color w:val="auto"/>
              </w:rPr>
            </w:pPr>
            <w:r>
              <w:rPr>
                <w:rFonts w:ascii="Arial" w:cs="Arial" w:eastAsia="Arial" w:hAnsi="Arial"/>
                <w:sz w:val="18"/>
                <w:szCs w:val="18"/>
                <w:i w:val="1"/>
                <w:iCs w:val="1"/>
                <w:color w:val="auto"/>
              </w:rPr>
              <w:t>Potential Payments Table (cont.)</w:t>
            </w:r>
          </w:p>
        </w:tc>
        <w:tc>
          <w:tcPr>
            <w:tcW w:w="1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20" w:type="dxa"/>
            <w:vAlign w:val="bottom"/>
            <w:gridSpan w:val="3"/>
          </w:tcPr>
          <w:p>
            <w:pPr>
              <w:jc w:val="center"/>
              <w:ind w:right="380"/>
              <w:spacing w:after="0" w:line="202" w:lineRule="exact"/>
              <w:rPr>
                <w:sz w:val="20"/>
                <w:szCs w:val="20"/>
                <w:color w:val="auto"/>
              </w:rPr>
            </w:pPr>
            <w:r>
              <w:rPr>
                <w:rFonts w:ascii="Arial" w:cs="Arial" w:eastAsia="Arial" w:hAnsi="Arial"/>
                <w:sz w:val="18"/>
                <w:szCs w:val="18"/>
                <w:b w:val="1"/>
                <w:bCs w:val="1"/>
                <w:color w:val="auto"/>
                <w:w w:val="93"/>
              </w:rPr>
              <w:t>Termination</w:t>
            </w: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gridSpan w:val="3"/>
          </w:tcPr>
          <w:p>
            <w:pPr>
              <w:jc w:val="center"/>
              <w:ind w:right="380"/>
              <w:spacing w:after="0" w:line="184" w:lineRule="exact"/>
              <w:rPr>
                <w:sz w:val="20"/>
                <w:szCs w:val="20"/>
                <w:color w:val="auto"/>
              </w:rPr>
            </w:pPr>
            <w:r>
              <w:rPr>
                <w:rFonts w:ascii="Arial" w:cs="Arial" w:eastAsia="Arial" w:hAnsi="Arial"/>
                <w:sz w:val="18"/>
                <w:szCs w:val="18"/>
                <w:b w:val="1"/>
                <w:bCs w:val="1"/>
                <w:color w:val="auto"/>
                <w:w w:val="95"/>
              </w:rPr>
              <w:t>Without</w:t>
            </w:r>
          </w:p>
        </w:tc>
        <w:tc>
          <w:tcPr>
            <w:tcW w:w="1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20" w:type="dxa"/>
            <w:vAlign w:val="bottom"/>
            <w:gridSpan w:val="3"/>
          </w:tcPr>
          <w:p>
            <w:pPr>
              <w:jc w:val="center"/>
              <w:ind w:right="420"/>
              <w:spacing w:after="0" w:line="181" w:lineRule="exact"/>
              <w:rPr>
                <w:sz w:val="20"/>
                <w:szCs w:val="20"/>
                <w:color w:val="auto"/>
              </w:rPr>
            </w:pPr>
            <w:r>
              <w:rPr>
                <w:rFonts w:ascii="Arial" w:cs="Arial" w:eastAsia="Arial" w:hAnsi="Arial"/>
                <w:sz w:val="18"/>
                <w:szCs w:val="18"/>
                <w:b w:val="1"/>
                <w:bCs w:val="1"/>
                <w:color w:val="auto"/>
                <w:w w:val="88"/>
              </w:rPr>
              <w:t>Cause</w:t>
            </w: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20" w:type="dxa"/>
            <w:vAlign w:val="bottom"/>
            <w:gridSpan w:val="3"/>
          </w:tcPr>
          <w:p>
            <w:pPr>
              <w:jc w:val="center"/>
              <w:ind w:right="380"/>
              <w:spacing w:after="0" w:line="176" w:lineRule="exact"/>
              <w:rPr>
                <w:sz w:val="20"/>
                <w:szCs w:val="20"/>
                <w:color w:val="auto"/>
              </w:rPr>
            </w:pPr>
            <w:r>
              <w:rPr>
                <w:rFonts w:ascii="Arial" w:cs="Arial" w:eastAsia="Arial" w:hAnsi="Arial"/>
                <w:sz w:val="18"/>
                <w:szCs w:val="18"/>
                <w:b w:val="1"/>
                <w:bCs w:val="1"/>
                <w:color w:val="auto"/>
                <w:w w:val="92"/>
              </w:rPr>
              <w:t>or for Good</w:t>
            </w: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3"/>
              </w:rPr>
              <w:t>Termination</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gridSpan w:val="3"/>
          </w:tcPr>
          <w:p>
            <w:pPr>
              <w:jc w:val="center"/>
              <w:ind w:right="380"/>
              <w:spacing w:after="0" w:line="184" w:lineRule="exact"/>
              <w:rPr>
                <w:sz w:val="20"/>
                <w:szCs w:val="20"/>
                <w:color w:val="auto"/>
              </w:rPr>
            </w:pPr>
            <w:r>
              <w:rPr>
                <w:rFonts w:ascii="Arial" w:cs="Arial" w:eastAsia="Arial" w:hAnsi="Arial"/>
                <w:sz w:val="18"/>
                <w:szCs w:val="18"/>
                <w:b w:val="1"/>
                <w:bCs w:val="1"/>
                <w:color w:val="auto"/>
                <w:w w:val="86"/>
              </w:rPr>
              <w:t>Reason</w:t>
            </w:r>
          </w:p>
        </w:tc>
        <w:tc>
          <w:tcPr>
            <w:tcW w:w="1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20" w:type="dxa"/>
            <w:vAlign w:val="bottom"/>
            <w:gridSpan w:val="3"/>
          </w:tcPr>
          <w:p>
            <w:pPr>
              <w:jc w:val="center"/>
              <w:ind w:right="380"/>
              <w:spacing w:after="0" w:line="181" w:lineRule="exact"/>
              <w:rPr>
                <w:sz w:val="20"/>
                <w:szCs w:val="20"/>
                <w:color w:val="auto"/>
              </w:rPr>
            </w:pPr>
            <w:r>
              <w:rPr>
                <w:rFonts w:ascii="Arial" w:cs="Arial" w:eastAsia="Arial" w:hAnsi="Arial"/>
                <w:sz w:val="18"/>
                <w:szCs w:val="18"/>
                <w:b w:val="1"/>
                <w:bCs w:val="1"/>
                <w:color w:val="auto"/>
                <w:w w:val="94"/>
              </w:rPr>
              <w:t>Within 12</w:t>
            </w: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5"/>
              </w:rPr>
              <w:t>Without</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20" w:type="dxa"/>
            <w:vAlign w:val="bottom"/>
            <w:gridSpan w:val="3"/>
          </w:tcPr>
          <w:p>
            <w:pPr>
              <w:jc w:val="center"/>
              <w:ind w:right="380"/>
              <w:spacing w:after="0" w:line="176" w:lineRule="exact"/>
              <w:rPr>
                <w:sz w:val="20"/>
                <w:szCs w:val="20"/>
                <w:color w:val="auto"/>
              </w:rPr>
            </w:pPr>
            <w:r>
              <w:rPr>
                <w:rFonts w:ascii="Arial" w:cs="Arial" w:eastAsia="Arial" w:hAnsi="Arial"/>
                <w:sz w:val="18"/>
                <w:szCs w:val="18"/>
                <w:b w:val="1"/>
                <w:bCs w:val="1"/>
                <w:color w:val="auto"/>
                <w:w w:val="93"/>
              </w:rPr>
              <w:t>Months</w:t>
            </w:r>
          </w:p>
        </w:tc>
        <w:tc>
          <w:tcPr>
            <w:tcW w:w="1460" w:type="dxa"/>
            <w:vAlign w:val="bottom"/>
            <w:vMerge w:val="restart"/>
          </w:tcPr>
          <w:p>
            <w:pPr>
              <w:jc w:val="center"/>
              <w:ind w:right="10"/>
              <w:spacing w:after="0"/>
              <w:rPr>
                <w:sz w:val="20"/>
                <w:szCs w:val="20"/>
                <w:color w:val="auto"/>
              </w:rPr>
            </w:pPr>
            <w:r>
              <w:rPr>
                <w:rFonts w:ascii="Arial" w:cs="Arial" w:eastAsia="Arial" w:hAnsi="Arial"/>
                <w:sz w:val="18"/>
                <w:szCs w:val="18"/>
                <w:b w:val="1"/>
                <w:bCs w:val="1"/>
                <w:color w:val="auto"/>
                <w:w w:val="93"/>
              </w:rPr>
              <w:t>Termination</w:t>
            </w:r>
          </w:p>
        </w:tc>
        <w:tc>
          <w:tcPr>
            <w:tcW w:w="200" w:type="dxa"/>
            <w:vAlign w:val="bottom"/>
          </w:tcPr>
          <w:p>
            <w:pPr>
              <w:spacing w:after="0"/>
              <w:rPr>
                <w:sz w:val="15"/>
                <w:szCs w:val="15"/>
                <w:color w:val="auto"/>
              </w:rPr>
            </w:pPr>
          </w:p>
        </w:tc>
        <w:tc>
          <w:tcPr>
            <w:tcW w:w="1780" w:type="dxa"/>
            <w:vAlign w:val="bottom"/>
            <w:gridSpan w:val="4"/>
            <w:vMerge w:val="restart"/>
          </w:tcPr>
          <w:p>
            <w:pPr>
              <w:jc w:val="center"/>
              <w:ind w:right="320"/>
              <w:spacing w:after="0"/>
              <w:rPr>
                <w:sz w:val="20"/>
                <w:szCs w:val="20"/>
                <w:color w:val="auto"/>
              </w:rPr>
            </w:pPr>
            <w:r>
              <w:rPr>
                <w:rFonts w:ascii="Arial" w:cs="Arial" w:eastAsia="Arial" w:hAnsi="Arial"/>
                <w:sz w:val="18"/>
                <w:szCs w:val="18"/>
                <w:b w:val="1"/>
                <w:bCs w:val="1"/>
                <w:color w:val="auto"/>
                <w:w w:val="91"/>
              </w:rPr>
              <w:t>Termination Due</w:t>
            </w: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1"/>
              </w:rPr>
              <w:t>Cause Prior</w:t>
            </w:r>
          </w:p>
        </w:tc>
        <w:tc>
          <w:tcPr>
            <w:tcW w:w="200" w:type="dxa"/>
            <w:vAlign w:val="bottom"/>
          </w:tcPr>
          <w:p>
            <w:pPr>
              <w:spacing w:after="0"/>
              <w:rPr>
                <w:sz w:val="15"/>
                <w:szCs w:val="15"/>
                <w:color w:val="auto"/>
              </w:rPr>
            </w:pPr>
          </w:p>
        </w:tc>
        <w:tc>
          <w:tcPr>
            <w:tcW w:w="1700" w:type="dxa"/>
            <w:vAlign w:val="bottom"/>
            <w:gridSpan w:val="4"/>
          </w:tcPr>
          <w:p>
            <w:pPr>
              <w:jc w:val="center"/>
              <w:ind w:right="280"/>
              <w:spacing w:after="0" w:line="176" w:lineRule="exact"/>
              <w:rPr>
                <w:sz w:val="20"/>
                <w:szCs w:val="20"/>
                <w:color w:val="auto"/>
              </w:rPr>
            </w:pPr>
            <w:r>
              <w:rPr>
                <w:rFonts w:ascii="Arial" w:cs="Arial" w:eastAsia="Arial" w:hAnsi="Arial"/>
                <w:sz w:val="18"/>
                <w:szCs w:val="18"/>
                <w:b w:val="1"/>
                <w:bCs w:val="1"/>
                <w:color w:val="auto"/>
                <w:w w:val="89"/>
              </w:rPr>
              <w:t>Following a Sale</w:t>
            </w:r>
          </w:p>
        </w:tc>
        <w:tc>
          <w:tcPr>
            <w:tcW w:w="14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gridSpan w:val="4"/>
            <w:vMerge w:val="continue"/>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87"/>
              </w:rPr>
              <w:t>to a Sale of</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gridSpan w:val="3"/>
          </w:tcPr>
          <w:p>
            <w:pPr>
              <w:jc w:val="center"/>
              <w:ind w:right="380"/>
              <w:spacing w:after="0" w:line="189" w:lineRule="exact"/>
              <w:rPr>
                <w:sz w:val="20"/>
                <w:szCs w:val="20"/>
                <w:color w:val="auto"/>
              </w:rPr>
            </w:pPr>
            <w:r>
              <w:rPr>
                <w:rFonts w:ascii="Arial" w:cs="Arial" w:eastAsia="Arial" w:hAnsi="Arial"/>
                <w:sz w:val="18"/>
                <w:szCs w:val="18"/>
                <w:b w:val="1"/>
                <w:bCs w:val="1"/>
                <w:color w:val="auto"/>
                <w:w w:val="93"/>
              </w:rPr>
              <w:t>of</w:t>
            </w:r>
          </w:p>
        </w:tc>
        <w:tc>
          <w:tcPr>
            <w:tcW w:w="1460" w:type="dxa"/>
            <w:vAlign w:val="bottom"/>
          </w:tcPr>
          <w:p>
            <w:pPr>
              <w:jc w:val="center"/>
              <w:ind w:right="50"/>
              <w:spacing w:after="0" w:line="189" w:lineRule="exact"/>
              <w:rPr>
                <w:sz w:val="20"/>
                <w:szCs w:val="20"/>
                <w:color w:val="auto"/>
              </w:rPr>
            </w:pPr>
            <w:r>
              <w:rPr>
                <w:rFonts w:ascii="Arial" w:cs="Arial" w:eastAsia="Arial" w:hAnsi="Arial"/>
                <w:sz w:val="18"/>
                <w:szCs w:val="18"/>
                <w:b w:val="1"/>
                <w:bCs w:val="1"/>
                <w:color w:val="auto"/>
                <w:w w:val="90"/>
              </w:rPr>
              <w:t>Due to Death</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00" w:type="dxa"/>
            <w:vAlign w:val="bottom"/>
            <w:gridSpan w:val="3"/>
          </w:tcPr>
          <w:p>
            <w:pPr>
              <w:jc w:val="center"/>
              <w:ind w:right="400"/>
              <w:spacing w:after="0" w:line="189" w:lineRule="exact"/>
              <w:rPr>
                <w:sz w:val="20"/>
                <w:szCs w:val="20"/>
                <w:color w:val="auto"/>
              </w:rPr>
            </w:pPr>
            <w:r>
              <w:rPr>
                <w:rFonts w:ascii="Arial" w:cs="Arial" w:eastAsia="Arial" w:hAnsi="Arial"/>
                <w:sz w:val="18"/>
                <w:szCs w:val="18"/>
                <w:b w:val="1"/>
                <w:bCs w:val="1"/>
                <w:color w:val="auto"/>
                <w:w w:val="90"/>
              </w:rPr>
              <w:t>to Enhanced</w:t>
            </w:r>
          </w:p>
        </w:tc>
        <w:tc>
          <w:tcPr>
            <w:tcW w:w="1400" w:type="dxa"/>
            <w:vAlign w:val="bottom"/>
            <w:gridSpan w:val="2"/>
          </w:tcPr>
          <w:p>
            <w:pPr>
              <w:jc w:val="center"/>
              <w:ind w:right="180"/>
              <w:spacing w:after="0" w:line="189" w:lineRule="exact"/>
              <w:rPr>
                <w:sz w:val="20"/>
                <w:szCs w:val="20"/>
                <w:color w:val="auto"/>
              </w:rPr>
            </w:pPr>
            <w:r>
              <w:rPr>
                <w:rFonts w:ascii="Arial" w:cs="Arial" w:eastAsia="Arial" w:hAnsi="Arial"/>
                <w:sz w:val="18"/>
                <w:szCs w:val="18"/>
                <w:b w:val="1"/>
                <w:bCs w:val="1"/>
                <w:color w:val="auto"/>
                <w:w w:val="89"/>
              </w:rPr>
              <w:t>Change in</w:t>
            </w:r>
          </w:p>
        </w:tc>
        <w:tc>
          <w:tcPr>
            <w:tcW w:w="0" w:type="dxa"/>
            <w:vAlign w:val="bottom"/>
          </w:tcPr>
          <w:p>
            <w:pPr>
              <w:spacing w:after="0"/>
              <w:rPr>
                <w:sz w:val="1"/>
                <w:szCs w:val="1"/>
                <w:color w:val="auto"/>
              </w:rPr>
            </w:pPr>
          </w:p>
        </w:tc>
      </w:tr>
      <w:tr>
        <w:trPr>
          <w:trHeight w:val="225"/>
        </w:trPr>
        <w:tc>
          <w:tcPr>
            <w:tcW w:w="2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center"/>
              <w:ind w:right="10"/>
              <w:spacing w:after="0"/>
              <w:rPr>
                <w:sz w:val="20"/>
                <w:szCs w:val="20"/>
                <w:color w:val="auto"/>
              </w:rPr>
            </w:pPr>
            <w:r>
              <w:rPr>
                <w:rFonts w:ascii="Arial" w:cs="Arial" w:eastAsia="Arial" w:hAnsi="Arial"/>
                <w:sz w:val="18"/>
                <w:szCs w:val="18"/>
                <w:b w:val="1"/>
                <w:bCs w:val="1"/>
                <w:color w:val="auto"/>
                <w:w w:val="82"/>
              </w:rPr>
              <w:t>Business</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2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82"/>
              </w:rPr>
              <w:t>Business</w:t>
            </w:r>
          </w:p>
        </w:tc>
        <w:tc>
          <w:tcPr>
            <w:tcW w:w="1460" w:type="dxa"/>
            <w:vAlign w:val="bottom"/>
          </w:tcPr>
          <w:p>
            <w:pPr>
              <w:jc w:val="center"/>
              <w:ind w:right="10"/>
              <w:spacing w:after="0"/>
              <w:rPr>
                <w:sz w:val="20"/>
                <w:szCs w:val="20"/>
                <w:color w:val="auto"/>
              </w:rPr>
            </w:pPr>
            <w:r>
              <w:rPr>
                <w:rFonts w:ascii="Arial" w:cs="Arial" w:eastAsia="Arial" w:hAnsi="Arial"/>
                <w:sz w:val="18"/>
                <w:szCs w:val="18"/>
                <w:b w:val="1"/>
                <w:bCs w:val="1"/>
                <w:color w:val="auto"/>
                <w:w w:val="92"/>
              </w:rPr>
              <w:t>or Retirement</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00" w:type="dxa"/>
            <w:vAlign w:val="bottom"/>
            <w:gridSpan w:val="3"/>
          </w:tcPr>
          <w:p>
            <w:pPr>
              <w:jc w:val="center"/>
              <w:ind w:right="400"/>
              <w:spacing w:after="0" w:line="224" w:lineRule="exact"/>
              <w:rPr>
                <w:sz w:val="20"/>
                <w:szCs w:val="20"/>
                <w:color w:val="auto"/>
              </w:rPr>
            </w:pPr>
            <w:r>
              <w:rPr>
                <w:rFonts w:ascii="Arial" w:cs="Arial" w:eastAsia="Arial" w:hAnsi="Arial"/>
                <w:sz w:val="18"/>
                <w:szCs w:val="18"/>
                <w:b w:val="1"/>
                <w:bCs w:val="1"/>
                <w:color w:val="auto"/>
                <w:w w:val="90"/>
              </w:rPr>
              <w:t>Retirement</w:t>
            </w:r>
            <w:r>
              <w:rPr>
                <w:rFonts w:ascii="Arial" w:cs="Arial" w:eastAsia="Arial" w:hAnsi="Arial"/>
                <w:sz w:val="23"/>
                <w:szCs w:val="23"/>
                <w:b w:val="1"/>
                <w:bCs w:val="1"/>
                <w:color w:val="auto"/>
                <w:w w:val="90"/>
                <w:vertAlign w:val="superscript"/>
              </w:rPr>
              <w:t>(3)</w:t>
            </w:r>
          </w:p>
        </w:tc>
        <w:tc>
          <w:tcPr>
            <w:tcW w:w="14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Control</w:t>
            </w:r>
          </w:p>
        </w:tc>
        <w:tc>
          <w:tcPr>
            <w:tcW w:w="0" w:type="dxa"/>
            <w:vAlign w:val="bottom"/>
          </w:tcPr>
          <w:p>
            <w:pPr>
              <w:spacing w:after="0"/>
              <w:rPr>
                <w:sz w:val="1"/>
                <w:szCs w:val="1"/>
                <w:color w:val="auto"/>
              </w:rPr>
            </w:pPr>
          </w:p>
        </w:tc>
      </w:tr>
      <w:tr>
        <w:trPr>
          <w:trHeight w:val="234"/>
        </w:trPr>
        <w:tc>
          <w:tcPr>
            <w:tcW w:w="3180" w:type="dxa"/>
            <w:vAlign w:val="bottom"/>
            <w:gridSpan w:val="3"/>
          </w:tcPr>
          <w:p>
            <w:pPr>
              <w:ind w:left="20"/>
              <w:spacing w:after="0"/>
              <w:rPr>
                <w:sz w:val="20"/>
                <w:szCs w:val="20"/>
                <w:color w:val="auto"/>
              </w:rPr>
            </w:pPr>
            <w:r>
              <w:rPr>
                <w:rFonts w:ascii="Arial" w:cs="Arial" w:eastAsia="Arial" w:hAnsi="Arial"/>
                <w:sz w:val="18"/>
                <w:szCs w:val="18"/>
                <w:b w:val="1"/>
                <w:bCs w:val="1"/>
                <w:color w:val="auto"/>
              </w:rPr>
              <w:t>Name/Benefits</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1600" w:type="dxa"/>
            <w:vAlign w:val="bottom"/>
            <w:gridSpan w:val="3"/>
          </w:tcPr>
          <w:p>
            <w:pPr>
              <w:jc w:val="center"/>
              <w:ind w:left="110"/>
              <w:spacing w:after="0"/>
              <w:rPr>
                <w:sz w:val="20"/>
                <w:szCs w:val="20"/>
                <w:color w:val="auto"/>
              </w:rPr>
            </w:pPr>
            <w:r>
              <w:rPr>
                <w:rFonts w:ascii="Arial" w:cs="Arial" w:eastAsia="Arial" w:hAnsi="Arial"/>
                <w:sz w:val="18"/>
                <w:szCs w:val="18"/>
                <w:b w:val="1"/>
                <w:bCs w:val="1"/>
                <w:color w:val="auto"/>
                <w:w w:val="90"/>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w:t>
            </w:r>
          </w:p>
        </w:tc>
        <w:tc>
          <w:tcPr>
            <w:tcW w:w="1660" w:type="dxa"/>
            <w:vAlign w:val="bottom"/>
            <w:gridSpan w:val="3"/>
          </w:tcPr>
          <w:p>
            <w:pPr>
              <w:jc w:val="center"/>
              <w:ind w:left="110"/>
              <w:spacing w:after="0"/>
              <w:rPr>
                <w:sz w:val="20"/>
                <w:szCs w:val="20"/>
                <w:color w:val="auto"/>
              </w:rPr>
            </w:pPr>
            <w:r>
              <w:rPr>
                <w:rFonts w:ascii="Arial" w:cs="Arial" w:eastAsia="Arial" w:hAnsi="Arial"/>
                <w:sz w:val="18"/>
                <w:szCs w:val="18"/>
                <w:b w:val="1"/>
                <w:bCs w:val="1"/>
                <w:color w:val="auto"/>
                <w:w w:val="99"/>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9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Judith Buckner</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80" w:type="dxa"/>
            <w:vAlign w:val="bottom"/>
            <w:gridSpan w:val="3"/>
          </w:tcPr>
          <w:p>
            <w:pPr>
              <w:ind w:left="20"/>
              <w:spacing w:after="0"/>
              <w:rPr>
                <w:sz w:val="20"/>
                <w:szCs w:val="20"/>
                <w:color w:val="auto"/>
              </w:rPr>
            </w:pPr>
            <w:r>
              <w:rPr>
                <w:rFonts w:ascii="Arial" w:cs="Arial" w:eastAsia="Arial" w:hAnsi="Arial"/>
                <w:sz w:val="18"/>
                <w:szCs w:val="18"/>
                <w:color w:val="auto"/>
              </w:rPr>
              <w:t>Base salary</w:t>
            </w:r>
          </w:p>
        </w:tc>
        <w:tc>
          <w:tcPr>
            <w:tcW w:w="1320" w:type="dxa"/>
            <w:vAlign w:val="bottom"/>
          </w:tcPr>
          <w:p>
            <w:pPr>
              <w:jc w:val="right"/>
              <w:spacing w:after="0"/>
              <w:rPr>
                <w:sz w:val="20"/>
                <w:szCs w:val="20"/>
                <w:color w:val="auto"/>
              </w:rPr>
            </w:pPr>
            <w:r>
              <w:rPr>
                <w:rFonts w:ascii="Arial" w:cs="Arial" w:eastAsia="Arial" w:hAnsi="Arial"/>
                <w:sz w:val="18"/>
                <w:szCs w:val="18"/>
                <w:color w:val="auto"/>
              </w:rPr>
              <w:t>475,000</w:t>
            </w:r>
          </w:p>
        </w:tc>
        <w:tc>
          <w:tcPr>
            <w:tcW w:w="1600" w:type="dxa"/>
            <w:vAlign w:val="bottom"/>
            <w:gridSpan w:val="3"/>
          </w:tcPr>
          <w:p>
            <w:pPr>
              <w:jc w:val="right"/>
              <w:spacing w:after="0"/>
              <w:rPr>
                <w:sz w:val="20"/>
                <w:szCs w:val="20"/>
                <w:color w:val="auto"/>
              </w:rPr>
            </w:pPr>
            <w:r>
              <w:rPr>
                <w:rFonts w:ascii="Arial" w:cs="Arial" w:eastAsia="Arial" w:hAnsi="Arial"/>
                <w:sz w:val="18"/>
                <w:szCs w:val="18"/>
                <w:color w:val="auto"/>
              </w:rPr>
              <w:t>950,000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0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1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Annual bonus</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308,750</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180" w:type="dxa"/>
            <w:vAlign w:val="bottom"/>
            <w:gridSpan w:val="3"/>
          </w:tcPr>
          <w:p>
            <w:pPr>
              <w:ind w:left="20"/>
              <w:spacing w:after="0"/>
              <w:rPr>
                <w:sz w:val="20"/>
                <w:szCs w:val="20"/>
                <w:color w:val="auto"/>
              </w:rPr>
            </w:pPr>
            <w:r>
              <w:rPr>
                <w:rFonts w:ascii="Arial" w:cs="Arial" w:eastAsia="Arial" w:hAnsi="Arial"/>
                <w:sz w:val="18"/>
                <w:szCs w:val="18"/>
                <w:color w:val="auto"/>
              </w:rPr>
              <w:t>Health benefits</w:t>
            </w:r>
          </w:p>
        </w:tc>
        <w:tc>
          <w:tcPr>
            <w:tcW w:w="1320" w:type="dxa"/>
            <w:vAlign w:val="bottom"/>
          </w:tcPr>
          <w:p>
            <w:pPr>
              <w:jc w:val="right"/>
              <w:spacing w:after="0"/>
              <w:rPr>
                <w:sz w:val="20"/>
                <w:szCs w:val="20"/>
                <w:color w:val="auto"/>
              </w:rPr>
            </w:pPr>
            <w:r>
              <w:rPr>
                <w:rFonts w:ascii="Arial" w:cs="Arial" w:eastAsia="Arial" w:hAnsi="Arial"/>
                <w:sz w:val="18"/>
                <w:szCs w:val="18"/>
                <w:color w:val="auto"/>
              </w:rPr>
              <w:t>11,223</w:t>
            </w:r>
          </w:p>
        </w:tc>
        <w:tc>
          <w:tcPr>
            <w:tcW w:w="1600" w:type="dxa"/>
            <w:vAlign w:val="bottom"/>
            <w:gridSpan w:val="3"/>
          </w:tcPr>
          <w:p>
            <w:pPr>
              <w:jc w:val="right"/>
              <w:spacing w:after="0"/>
              <w:rPr>
                <w:sz w:val="20"/>
                <w:szCs w:val="20"/>
                <w:color w:val="auto"/>
              </w:rPr>
            </w:pPr>
            <w:r>
              <w:rPr>
                <w:rFonts w:ascii="Arial" w:cs="Arial" w:eastAsia="Arial" w:hAnsi="Arial"/>
                <w:sz w:val="18"/>
                <w:szCs w:val="18"/>
                <w:color w:val="auto"/>
              </w:rPr>
              <w:t>11,223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0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180" w:type="dxa"/>
            <w:vAlign w:val="bottom"/>
            <w:gridSpan w:val="3"/>
            <w:shd w:val="clear" w:color="auto" w:fill="CCEEFF"/>
          </w:tcPr>
          <w:p>
            <w:pPr>
              <w:ind w:left="20"/>
              <w:spacing w:after="0" w:line="207" w:lineRule="exact"/>
              <w:rPr>
                <w:sz w:val="20"/>
                <w:szCs w:val="20"/>
                <w:color w:val="auto"/>
              </w:rPr>
            </w:pPr>
            <w:r>
              <w:rPr>
                <w:rFonts w:ascii="Arial" w:cs="Arial" w:eastAsia="Arial" w:hAnsi="Arial"/>
                <w:sz w:val="18"/>
                <w:szCs w:val="18"/>
                <w:color w:val="auto"/>
              </w:rPr>
              <w:t>Value of RSUs</w:t>
            </w:r>
            <w:r>
              <w:rPr>
                <w:rFonts w:ascii="MS PGothic" w:cs="MS PGothic" w:eastAsia="MS PGothic" w:hAnsi="MS PGothic"/>
                <w:sz w:val="18"/>
                <w:szCs w:val="18"/>
                <w:color w:val="auto"/>
              </w:rPr>
              <w:t>⁽</w:t>
            </w:r>
            <w:r>
              <w:rPr>
                <w:rFonts w:ascii="Arial" w:cs="Arial" w:eastAsia="Arial" w:hAnsi="Arial"/>
                <w:sz w:val="18"/>
                <w:szCs w:val="18"/>
                <w:color w:val="auto"/>
              </w:rPr>
              <w:t>¹</w:t>
            </w:r>
            <w:r>
              <w:rPr>
                <w:rFonts w:ascii="MS PGothic" w:cs="MS PGothic" w:eastAsia="MS PGothic" w:hAnsi="MS PGothic"/>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163,421</w:t>
            </w:r>
          </w:p>
        </w:tc>
        <w:tc>
          <w:tcPr>
            <w:tcW w:w="1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342,522</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594,533</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80" w:type="dxa"/>
            <w:vAlign w:val="bottom"/>
            <w:gridSpan w:val="3"/>
          </w:tcPr>
          <w:p>
            <w:pPr>
              <w:ind w:left="20"/>
              <w:spacing w:after="0" w:line="207" w:lineRule="exact"/>
              <w:rPr>
                <w:sz w:val="20"/>
                <w:szCs w:val="20"/>
                <w:color w:val="auto"/>
              </w:rPr>
            </w:pPr>
            <w:r>
              <w:rPr>
                <w:rFonts w:ascii="Arial" w:cs="Arial" w:eastAsia="Arial" w:hAnsi="Arial"/>
                <w:sz w:val="18"/>
                <w:szCs w:val="18"/>
                <w:color w:val="auto"/>
              </w:rPr>
              <w:t>Value of PSUs</w:t>
            </w:r>
            <w:r>
              <w:rPr>
                <w:rFonts w:ascii="MS PGothic" w:cs="MS PGothic" w:eastAsia="MS PGothic" w:hAnsi="MS PGothic"/>
                <w:sz w:val="18"/>
                <w:szCs w:val="18"/>
                <w:color w:val="auto"/>
              </w:rPr>
              <w:t>⁽</w:t>
            </w:r>
            <w:r>
              <w:rPr>
                <w:rFonts w:ascii="Arial" w:cs="Arial" w:eastAsia="Arial" w:hAnsi="Arial"/>
                <w:sz w:val="18"/>
                <w:szCs w:val="18"/>
                <w:color w:val="auto"/>
              </w:rPr>
              <w:t>¹</w:t>
            </w:r>
            <w:r>
              <w:rPr>
                <w:rFonts w:ascii="MS PGothic" w:cs="MS PGothic" w:eastAsia="MS PGothic" w:hAnsi="MS PGothic"/>
                <w:sz w:val="18"/>
                <w:szCs w:val="18"/>
                <w:color w:val="auto"/>
              </w:rPr>
              <w:t>⁾⁽</w:t>
            </w:r>
            <w:r>
              <w:rPr>
                <w:rFonts w:ascii="Arial" w:cs="Arial" w:eastAsia="Arial" w:hAnsi="Arial"/>
                <w:sz w:val="18"/>
                <w:szCs w:val="18"/>
                <w:color w:val="auto"/>
              </w:rPr>
              <w:t>²</w:t>
            </w:r>
            <w:r>
              <w:rPr>
                <w:rFonts w:ascii="MS PGothic" w:cs="MS PGothic" w:eastAsia="MS PGothic" w:hAnsi="MS PGothic"/>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2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0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318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486,223</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1,269,973</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163,421</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342,522</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594,533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18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Arial" w:cs="Arial" w:eastAsia="Arial" w:hAnsi="Arial"/>
                <w:sz w:val="18"/>
                <w:szCs w:val="18"/>
                <w:b w:val="1"/>
                <w:bCs w:val="1"/>
                <w:color w:val="auto"/>
              </w:rPr>
              <w:t>Lisa Smith</w:t>
            </w: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180" w:type="dxa"/>
            <w:vAlign w:val="bottom"/>
            <w:gridSpan w:val="3"/>
            <w:vMerge w:val="continue"/>
          </w:tcPr>
          <w:p>
            <w:pPr>
              <w:spacing w:after="0"/>
              <w:rPr>
                <w:sz w:val="15"/>
                <w:szCs w:val="15"/>
                <w:color w:val="auto"/>
              </w:rPr>
            </w:pPr>
          </w:p>
        </w:tc>
        <w:tc>
          <w:tcPr>
            <w:tcW w:w="1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1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Base salary</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475,000</w:t>
            </w:r>
          </w:p>
        </w:tc>
        <w:tc>
          <w:tcPr>
            <w:tcW w:w="1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950,000</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180" w:type="dxa"/>
            <w:vAlign w:val="bottom"/>
            <w:gridSpan w:val="3"/>
          </w:tcPr>
          <w:p>
            <w:pPr>
              <w:ind w:left="20"/>
              <w:spacing w:after="0"/>
              <w:rPr>
                <w:sz w:val="20"/>
                <w:szCs w:val="20"/>
                <w:color w:val="auto"/>
              </w:rPr>
            </w:pPr>
            <w:r>
              <w:rPr>
                <w:rFonts w:ascii="Arial" w:cs="Arial" w:eastAsia="Arial" w:hAnsi="Arial"/>
                <w:sz w:val="18"/>
                <w:szCs w:val="18"/>
                <w:color w:val="auto"/>
              </w:rPr>
              <w:t>Annual bonus</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3"/>
          </w:tcPr>
          <w:p>
            <w:pPr>
              <w:jc w:val="right"/>
              <w:spacing w:after="0"/>
              <w:rPr>
                <w:sz w:val="20"/>
                <w:szCs w:val="20"/>
                <w:color w:val="auto"/>
              </w:rPr>
            </w:pPr>
            <w:r>
              <w:rPr>
                <w:rFonts w:ascii="Arial" w:cs="Arial" w:eastAsia="Arial" w:hAnsi="Arial"/>
                <w:sz w:val="18"/>
                <w:szCs w:val="18"/>
                <w:color w:val="auto"/>
              </w:rPr>
              <w:t>308,750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0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1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Health benefits</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16,450</w:t>
            </w:r>
          </w:p>
        </w:tc>
        <w:tc>
          <w:tcPr>
            <w:tcW w:w="1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16,450</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180" w:type="dxa"/>
            <w:vAlign w:val="bottom"/>
            <w:gridSpan w:val="3"/>
          </w:tcPr>
          <w:p>
            <w:pPr>
              <w:ind w:left="20"/>
              <w:spacing w:after="0" w:line="207" w:lineRule="exact"/>
              <w:rPr>
                <w:sz w:val="20"/>
                <w:szCs w:val="20"/>
                <w:color w:val="auto"/>
              </w:rPr>
            </w:pPr>
            <w:r>
              <w:rPr>
                <w:rFonts w:ascii="Arial" w:cs="Arial" w:eastAsia="Arial" w:hAnsi="Arial"/>
                <w:sz w:val="18"/>
                <w:szCs w:val="18"/>
                <w:color w:val="auto"/>
              </w:rPr>
              <w:t>Value of RSUs</w:t>
            </w:r>
            <w:r>
              <w:rPr>
                <w:rFonts w:ascii="MS PGothic" w:cs="MS PGothic" w:eastAsia="MS PGothic" w:hAnsi="MS PGothic"/>
                <w:sz w:val="18"/>
                <w:szCs w:val="18"/>
                <w:color w:val="auto"/>
              </w:rPr>
              <w:t>⁽</w:t>
            </w:r>
            <w:r>
              <w:rPr>
                <w:rFonts w:ascii="Arial" w:cs="Arial" w:eastAsia="Arial" w:hAnsi="Arial"/>
                <w:sz w:val="18"/>
                <w:szCs w:val="18"/>
                <w:color w:val="auto"/>
              </w:rPr>
              <w:t>¹</w:t>
            </w:r>
            <w:r>
              <w:rPr>
                <w:rFonts w:ascii="MS PGothic" w:cs="MS PGothic" w:eastAsia="MS PGothic" w:hAnsi="MS PGothic"/>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2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83,284</w:t>
            </w:r>
          </w:p>
        </w:tc>
        <w:tc>
          <w:tcPr>
            <w:tcW w:w="1660" w:type="dxa"/>
            <w:vAlign w:val="bottom"/>
            <w:gridSpan w:val="3"/>
          </w:tcPr>
          <w:p>
            <w:pPr>
              <w:jc w:val="right"/>
              <w:spacing w:after="0"/>
              <w:rPr>
                <w:sz w:val="20"/>
                <w:szCs w:val="20"/>
                <w:color w:val="auto"/>
              </w:rPr>
            </w:pPr>
            <w:r>
              <w:rPr>
                <w:rFonts w:ascii="Arial" w:cs="Arial" w:eastAsia="Arial" w:hAnsi="Arial"/>
                <w:sz w:val="18"/>
                <w:szCs w:val="18"/>
                <w:color w:val="auto"/>
              </w:rPr>
              <w:t>262,385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493,411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80" w:type="dxa"/>
            <w:vAlign w:val="bottom"/>
            <w:gridSpan w:val="3"/>
            <w:shd w:val="clear" w:color="auto" w:fill="CCEEFF"/>
          </w:tcPr>
          <w:p>
            <w:pPr>
              <w:ind w:left="20"/>
              <w:spacing w:after="0" w:line="207" w:lineRule="exact"/>
              <w:rPr>
                <w:sz w:val="20"/>
                <w:szCs w:val="20"/>
                <w:color w:val="auto"/>
              </w:rPr>
            </w:pPr>
            <w:r>
              <w:rPr>
                <w:rFonts w:ascii="Arial" w:cs="Arial" w:eastAsia="Arial" w:hAnsi="Arial"/>
                <w:sz w:val="18"/>
                <w:szCs w:val="18"/>
                <w:color w:val="auto"/>
              </w:rPr>
              <w:t>Value of PSUs</w:t>
            </w:r>
            <w:r>
              <w:rPr>
                <w:rFonts w:ascii="MS PGothic" w:cs="MS PGothic" w:eastAsia="MS PGothic" w:hAnsi="MS PGothic"/>
                <w:sz w:val="18"/>
                <w:szCs w:val="18"/>
                <w:color w:val="auto"/>
              </w:rPr>
              <w:t>⁽</w:t>
            </w:r>
            <w:r>
              <w:rPr>
                <w:rFonts w:ascii="Arial" w:cs="Arial" w:eastAsia="Arial" w:hAnsi="Arial"/>
                <w:sz w:val="18"/>
                <w:szCs w:val="18"/>
                <w:color w:val="auto"/>
              </w:rPr>
              <w:t>¹</w:t>
            </w:r>
            <w:r>
              <w:rPr>
                <w:rFonts w:ascii="MS PGothic" w:cs="MS PGothic" w:eastAsia="MS PGothic" w:hAnsi="MS PGothic"/>
                <w:sz w:val="18"/>
                <w:szCs w:val="18"/>
                <w:color w:val="auto"/>
              </w:rPr>
              <w:t>⁾⁽</w:t>
            </w:r>
            <w:r>
              <w:rPr>
                <w:rFonts w:ascii="Arial" w:cs="Arial" w:eastAsia="Arial" w:hAnsi="Arial"/>
                <w:sz w:val="18"/>
                <w:szCs w:val="18"/>
                <w:color w:val="auto"/>
              </w:rPr>
              <w:t>²</w:t>
            </w:r>
            <w:r>
              <w:rPr>
                <w:rFonts w:ascii="MS PGothic" w:cs="MS PGothic" w:eastAsia="MS PGothic" w:hAnsi="MS PGothic"/>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180" w:type="dxa"/>
            <w:vAlign w:val="bottom"/>
            <w:gridSpan w:val="3"/>
          </w:tcPr>
          <w:p>
            <w:pPr>
              <w:ind w:left="20"/>
              <w:spacing w:after="0"/>
              <w:rPr>
                <w:sz w:val="20"/>
                <w:szCs w:val="20"/>
                <w:color w:val="auto"/>
              </w:rPr>
            </w:pPr>
            <w:r>
              <w:rPr>
                <w:rFonts w:ascii="Arial" w:cs="Arial" w:eastAsia="Arial" w:hAnsi="Arial"/>
                <w:sz w:val="18"/>
                <w:szCs w:val="18"/>
                <w:b w:val="1"/>
                <w:bCs w:val="1"/>
                <w:color w:val="auto"/>
              </w:rPr>
              <w:t>Total</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491,450</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1,275,200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83,284</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262,385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493,411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8" w:lineRule="exact"/>
        <w:rPr>
          <w:sz w:val="20"/>
          <w:szCs w:val="20"/>
          <w:color w:val="auto"/>
        </w:rPr>
      </w:pPr>
    </w:p>
    <w:p>
      <w:pPr>
        <w:ind w:left="340" w:hanging="332"/>
        <w:spacing w:after="0" w:line="275" w:lineRule="auto"/>
        <w:tabs>
          <w:tab w:leader="none" w:pos="3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value of RSUs is determined by multiplying the number of unvested units for which vesting would be accelerated or that would continue to vest following the specified event by $29.98, the closing price for our common stock on December 30, 2022, the last trading day of 2022.</w:t>
      </w:r>
    </w:p>
    <w:p>
      <w:pPr>
        <w:spacing w:after="0" w:line="64" w:lineRule="exact"/>
        <w:rPr>
          <w:rFonts w:ascii="Arial" w:cs="Arial" w:eastAsia="Arial" w:hAnsi="Arial"/>
          <w:sz w:val="16"/>
          <w:szCs w:val="16"/>
          <w:color w:val="auto"/>
        </w:rPr>
      </w:pPr>
    </w:p>
    <w:p>
      <w:pPr>
        <w:jc w:val="both"/>
        <w:ind w:left="340" w:hanging="332"/>
        <w:spacing w:after="0" w:line="269" w:lineRule="auto"/>
        <w:tabs>
          <w:tab w:leader="none" w:pos="3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As of December 31, 2022, the NEOs held the following PSUs: (i) PSUs granted in 2020 with a three-year performance period of 2020-2022; and (ii) PSUs granted with a one-year performance period of 2022. Following 2022, the CNG Committee determined that none of the PSUs were earned, and therefore these PSUs have been forfeited and are not reflected in this table.</w:t>
      </w:r>
    </w:p>
    <w:p>
      <w:pPr>
        <w:spacing w:after="0" w:line="83" w:lineRule="exact"/>
        <w:rPr>
          <w:rFonts w:ascii="Arial" w:cs="Arial" w:eastAsia="Arial" w:hAnsi="Arial"/>
          <w:sz w:val="16"/>
          <w:szCs w:val="16"/>
          <w:color w:val="auto"/>
        </w:rPr>
      </w:pPr>
    </w:p>
    <w:p>
      <w:pPr>
        <w:jc w:val="both"/>
        <w:ind w:left="340" w:hanging="332"/>
        <w:spacing w:after="0" w:line="261" w:lineRule="auto"/>
        <w:tabs>
          <w:tab w:leader="none" w:pos="3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value of the RSUs in this column consist of the value of the RSUs granted in 2022 that would vest or continue to vest upon an Enhanced Retirement, plus the value of the RSUs granted in 2021 and 2020 that would vest or continue to vest upon a Retirement, since an Enhanced Retirement under the 2022 RSUs would qualify as a retirement under the 2021 and 2020 RSUs.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4F81B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CEO PAY RATIO</w:t>
      </w:r>
    </w:p>
    <w:p>
      <w:pPr>
        <w:spacing w:after="0" w:line="256"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following is a reasonable estimate of the ratio of the annual total compensation of Lance Mitchell, our Chief Executive Officer (our “CEO”), to the annual total compensation of the median of our other employees, together with an explanation of our methodology in calculating the same.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For 2022:</w:t>
      </w:r>
    </w:p>
    <w:p>
      <w:pPr>
        <w:spacing w:after="0" w:line="225"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annual total compensation of our median employee was $61,612;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annual total compensation of our CEO, as reported in the Summary Compensation Table included in this Proxy Statement, was $6,805,161.</w:t>
      </w:r>
    </w:p>
    <w:p>
      <w:pPr>
        <w:spacing w:after="0" w:line="24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Based on this information for 2022, we reasonably estimate that the ratio of our CEO’s annual total compensation to the annual total compensation of our median employee was 110:1. Our pay ratio estimate has been calculated in a manner consistent with Item 402(u) of Regulation S-K.</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our 2022 pay ratio analysis, we determined that we could use the same median employee that we identified last year, as permitted by SEC rules. There has been no change in either our employee population or our employee compensation arrangements that we believe would significantly impact our 2022 pay ratio disclosure.</w:t>
      </w:r>
    </w:p>
    <w:p>
      <w:pPr>
        <w:spacing w:after="0" w:line="21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With respect to our median employee, we determined that employee’s total compensation, including any perquisites and other benefits, in the same manner that we determine the total compensation of our named executive officers for purposes of the Summary Compensation Table disclosed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4F81B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 VERSUS PERFORMANCE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Please refer to the CD&amp;A in its entirety for a full discussion on how the CNG Committee makes its decisions on executive compensation and our pay-for-performance compensation philosophy. The following table sets forth additional compensation information regarding our principal executive officer, Lance Mitchell (“PEO” or “CEO”), and our other NEOs (averaged), along with total shareholder return (“TSR”), net income and Adjusted EBITDA performance results for our 2022, 2021 and 2020 fiscal years:</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7"/>
              </w:rPr>
              <w:t>Summary</w:t>
            </w:r>
          </w:p>
        </w:tc>
        <w:tc>
          <w:tcPr>
            <w:tcW w:w="13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0"/>
              </w:rPr>
              <w:t>Compensation</w:t>
            </w: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Average Summary</w:t>
            </w:r>
          </w:p>
        </w:tc>
        <w:tc>
          <w:tcPr>
            <w:tcW w:w="13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Average</w:t>
            </w:r>
          </w:p>
        </w:tc>
        <w:tc>
          <w:tcPr>
            <w:tcW w:w="2460" w:type="dxa"/>
            <w:vAlign w:val="bottom"/>
            <w:gridSpan w:val="3"/>
          </w:tcPr>
          <w:p>
            <w:pPr>
              <w:jc w:val="right"/>
              <w:spacing w:after="0"/>
              <w:rPr>
                <w:sz w:val="20"/>
                <w:szCs w:val="20"/>
                <w:color w:val="auto"/>
              </w:rPr>
            </w:pPr>
            <w:r>
              <w:rPr>
                <w:rFonts w:ascii="Arial" w:cs="Arial" w:eastAsia="Arial" w:hAnsi="Arial"/>
                <w:sz w:val="14"/>
                <w:szCs w:val="14"/>
                <w:b w:val="1"/>
                <w:bCs w:val="1"/>
                <w:color w:val="auto"/>
                <w:w w:val="95"/>
              </w:rPr>
              <w:t>Value of Initial Fixed $100 Investment</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Adjusted</w:t>
            </w: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4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13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2460" w:type="dxa"/>
            <w:vAlign w:val="bottom"/>
            <w:gridSpan w:val="3"/>
          </w:tcPr>
          <w:p>
            <w:pPr>
              <w:jc w:val="right"/>
              <w:ind w:right="834"/>
              <w:spacing w:after="0" w:line="149" w:lineRule="exact"/>
              <w:rPr>
                <w:sz w:val="20"/>
                <w:szCs w:val="20"/>
                <w:color w:val="auto"/>
              </w:rPr>
            </w:pPr>
            <w:r>
              <w:rPr>
                <w:rFonts w:ascii="Arial" w:cs="Arial" w:eastAsia="Arial" w:hAnsi="Arial"/>
                <w:sz w:val="14"/>
                <w:szCs w:val="14"/>
                <w:b w:val="1"/>
                <w:bCs w:val="1"/>
                <w:color w:val="auto"/>
              </w:rPr>
              <w:t>Based On:</w:t>
            </w:r>
          </w:p>
        </w:tc>
        <w:tc>
          <w:tcPr>
            <w:tcW w:w="100" w:type="dxa"/>
            <w:vAlign w:val="bottom"/>
          </w:tcPr>
          <w:p>
            <w:pPr>
              <w:spacing w:after="0"/>
              <w:rPr>
                <w:sz w:val="12"/>
                <w:szCs w:val="12"/>
                <w:color w:val="auto"/>
              </w:rPr>
            </w:pPr>
          </w:p>
        </w:tc>
        <w:tc>
          <w:tcPr>
            <w:tcW w:w="12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Net Income</w:t>
            </w: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6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Year</w:t>
            </w:r>
          </w:p>
        </w:tc>
        <w:tc>
          <w:tcPr>
            <w:tcW w:w="1400" w:type="dxa"/>
            <w:vAlign w:val="bottom"/>
            <w:gridSpan w:val="2"/>
          </w:tcPr>
          <w:p>
            <w:pPr>
              <w:jc w:val="center"/>
              <w:ind w:right="100"/>
              <w:spacing w:after="0" w:line="68" w:lineRule="exact"/>
              <w:rPr>
                <w:sz w:val="20"/>
                <w:szCs w:val="20"/>
                <w:color w:val="auto"/>
              </w:rPr>
            </w:pPr>
            <w:r>
              <w:rPr>
                <w:rFonts w:ascii="Arial" w:cs="Arial" w:eastAsia="Arial" w:hAnsi="Arial"/>
                <w:sz w:val="7"/>
                <w:szCs w:val="7"/>
                <w:b w:val="1"/>
                <w:bCs w:val="1"/>
                <w:color w:val="auto"/>
              </w:rPr>
              <w:t>Compensation</w:t>
            </w:r>
          </w:p>
        </w:tc>
        <w:tc>
          <w:tcPr>
            <w:tcW w:w="1380" w:type="dxa"/>
            <w:vAlign w:val="bottom"/>
            <w:gridSpan w:val="2"/>
          </w:tcPr>
          <w:p>
            <w:pPr>
              <w:jc w:val="center"/>
              <w:ind w:right="100"/>
              <w:spacing w:after="0" w:line="68" w:lineRule="exact"/>
              <w:rPr>
                <w:sz w:val="20"/>
                <w:szCs w:val="20"/>
                <w:color w:val="auto"/>
              </w:rPr>
            </w:pPr>
            <w:r>
              <w:rPr>
                <w:rFonts w:ascii="Arial" w:cs="Arial" w:eastAsia="Arial" w:hAnsi="Arial"/>
                <w:sz w:val="7"/>
                <w:szCs w:val="7"/>
                <w:b w:val="1"/>
                <w:bCs w:val="1"/>
                <w:color w:val="auto"/>
              </w:rPr>
              <w:t>Actually Paid to</w:t>
            </w:r>
          </w:p>
        </w:tc>
        <w:tc>
          <w:tcPr>
            <w:tcW w:w="140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95"/>
              </w:rPr>
              <w:t>Table Total for Non-</w:t>
            </w:r>
          </w:p>
        </w:tc>
        <w:tc>
          <w:tcPr>
            <w:tcW w:w="13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Actually Paid to</w:t>
            </w: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1200" w:type="dxa"/>
            <w:vAlign w:val="bottom"/>
            <w:vMerge w:val="restart"/>
          </w:tcPr>
          <w:p>
            <w:pPr>
              <w:jc w:val="center"/>
              <w:spacing w:after="0" w:line="162" w:lineRule="exact"/>
              <w:rPr>
                <w:sz w:val="20"/>
                <w:szCs w:val="20"/>
                <w:color w:val="auto"/>
              </w:rPr>
            </w:pPr>
            <w:r>
              <w:rPr>
                <w:rFonts w:ascii="Arial" w:cs="Arial" w:eastAsia="Arial" w:hAnsi="Arial"/>
                <w:sz w:val="14"/>
                <w:szCs w:val="14"/>
                <w:b w:val="1"/>
                <w:bCs w:val="1"/>
                <w:color w:val="auto"/>
                <w:w w:val="98"/>
              </w:rPr>
              <w:t>EBITDA</w:t>
            </w:r>
            <w:r>
              <w:rPr>
                <w:rFonts w:ascii="Arial" w:cs="Arial" w:eastAsia="Arial" w:hAnsi="Arial"/>
                <w:sz w:val="18"/>
                <w:szCs w:val="18"/>
                <w:b w:val="1"/>
                <w:bCs w:val="1"/>
                <w:color w:val="auto"/>
                <w:w w:val="98"/>
                <w:vertAlign w:val="superscript"/>
              </w:rPr>
              <w:t>(6)</w:t>
            </w:r>
          </w:p>
        </w:tc>
        <w:tc>
          <w:tcPr>
            <w:tcW w:w="0" w:type="dxa"/>
            <w:vAlign w:val="bottom"/>
          </w:tcPr>
          <w:p>
            <w:pPr>
              <w:spacing w:after="0"/>
              <w:rPr>
                <w:sz w:val="1"/>
                <w:szCs w:val="1"/>
                <w:color w:val="auto"/>
              </w:rPr>
            </w:pPr>
          </w:p>
        </w:tc>
      </w:tr>
      <w:tr>
        <w:trPr>
          <w:trHeight w:val="94"/>
        </w:trPr>
        <w:tc>
          <w:tcPr>
            <w:tcW w:w="640" w:type="dxa"/>
            <w:vAlign w:val="bottom"/>
            <w:gridSpan w:val="2"/>
            <w:vMerge w:val="continue"/>
          </w:tcPr>
          <w:p>
            <w:pPr>
              <w:spacing w:after="0"/>
              <w:rPr>
                <w:sz w:val="8"/>
                <w:szCs w:val="8"/>
                <w:color w:val="auto"/>
              </w:rPr>
            </w:pPr>
          </w:p>
        </w:tc>
        <w:tc>
          <w:tcPr>
            <w:tcW w:w="14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5"/>
              </w:rPr>
              <w:t>Table Total for PEO</w:t>
            </w:r>
          </w:p>
        </w:tc>
        <w:tc>
          <w:tcPr>
            <w:tcW w:w="1280" w:type="dxa"/>
            <w:vAlign w:val="bottom"/>
          </w:tcPr>
          <w:p>
            <w:pPr>
              <w:jc w:val="right"/>
              <w:ind w:right="319"/>
              <w:spacing w:after="0" w:line="95" w:lineRule="exact"/>
              <w:rPr>
                <w:sz w:val="20"/>
                <w:szCs w:val="20"/>
                <w:color w:val="auto"/>
              </w:rPr>
            </w:pPr>
            <w:r>
              <w:rPr>
                <w:rFonts w:ascii="Arial" w:cs="Arial" w:eastAsia="Arial" w:hAnsi="Arial"/>
                <w:sz w:val="9"/>
                <w:szCs w:val="9"/>
                <w:b w:val="1"/>
                <w:bCs w:val="1"/>
                <w:color w:val="auto"/>
              </w:rPr>
              <w:t>(1)(2)</w:t>
            </w:r>
          </w:p>
        </w:tc>
        <w:tc>
          <w:tcPr>
            <w:tcW w:w="100" w:type="dxa"/>
            <w:vAlign w:val="bottom"/>
          </w:tcPr>
          <w:p>
            <w:pPr>
              <w:spacing w:after="0"/>
              <w:rPr>
                <w:sz w:val="8"/>
                <w:szCs w:val="8"/>
                <w:color w:val="auto"/>
              </w:rPr>
            </w:pPr>
          </w:p>
        </w:tc>
        <w:tc>
          <w:tcPr>
            <w:tcW w:w="1400" w:type="dxa"/>
            <w:vAlign w:val="bottom"/>
            <w:gridSpan w:val="2"/>
            <w:vMerge w:val="continue"/>
          </w:tcPr>
          <w:p>
            <w:pPr>
              <w:spacing w:after="0"/>
              <w:rPr>
                <w:sz w:val="8"/>
                <w:szCs w:val="8"/>
                <w:color w:val="auto"/>
              </w:rPr>
            </w:pPr>
          </w:p>
        </w:tc>
        <w:tc>
          <w:tcPr>
            <w:tcW w:w="1380" w:type="dxa"/>
            <w:vAlign w:val="bottom"/>
            <w:gridSpan w:val="2"/>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($m)</w:t>
            </w:r>
          </w:p>
        </w:tc>
        <w:tc>
          <w:tcPr>
            <w:tcW w:w="1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0" w:type="dxa"/>
            <w:vAlign w:val="bottom"/>
            <w:gridSpan w:val="2"/>
            <w:vMerge w:val="continue"/>
          </w:tcPr>
          <w:p>
            <w:pPr>
              <w:spacing w:after="0"/>
              <w:rPr>
                <w:sz w:val="7"/>
                <w:szCs w:val="7"/>
                <w:color w:val="auto"/>
              </w:rPr>
            </w:pPr>
          </w:p>
        </w:tc>
        <w:tc>
          <w:tcPr>
            <w:tcW w:w="1380" w:type="dxa"/>
            <w:vAlign w:val="bottom"/>
            <w:gridSpan w:val="2"/>
          </w:tcPr>
          <w:p>
            <w:pPr>
              <w:ind w:left="380"/>
              <w:spacing w:after="0" w:line="81" w:lineRule="exact"/>
              <w:rPr>
                <w:sz w:val="20"/>
                <w:szCs w:val="20"/>
                <w:color w:val="auto"/>
              </w:rPr>
            </w:pPr>
            <w:r>
              <w:rPr>
                <w:rFonts w:ascii="Arial" w:cs="Arial" w:eastAsia="Arial" w:hAnsi="Arial"/>
                <w:sz w:val="9"/>
                <w:szCs w:val="9"/>
                <w:b w:val="1"/>
                <w:bCs w:val="1"/>
                <w:color w:val="auto"/>
              </w:rPr>
              <w:t>PEO</w:t>
            </w:r>
          </w:p>
        </w:tc>
        <w:tc>
          <w:tcPr>
            <w:tcW w:w="1300" w:type="dxa"/>
            <w:vAlign w:val="bottom"/>
          </w:tcPr>
          <w:p>
            <w:pPr>
              <w:jc w:val="right"/>
              <w:ind w:right="175"/>
              <w:spacing w:after="0" w:line="81" w:lineRule="exact"/>
              <w:rPr>
                <w:sz w:val="20"/>
                <w:szCs w:val="20"/>
                <w:color w:val="auto"/>
              </w:rPr>
            </w:pPr>
            <w:r>
              <w:rPr>
                <w:rFonts w:ascii="Arial" w:cs="Arial" w:eastAsia="Arial" w:hAnsi="Arial"/>
                <w:sz w:val="9"/>
                <w:szCs w:val="9"/>
                <w:b w:val="1"/>
                <w:bCs w:val="1"/>
                <w:color w:val="auto"/>
              </w:rPr>
              <w:t>(3)</w:t>
            </w:r>
          </w:p>
        </w:tc>
        <w:tc>
          <w:tcPr>
            <w:tcW w:w="100" w:type="dxa"/>
            <w:vAlign w:val="bottom"/>
          </w:tcPr>
          <w:p>
            <w:pPr>
              <w:spacing w:after="0"/>
              <w:rPr>
                <w:sz w:val="7"/>
                <w:szCs w:val="7"/>
                <w:color w:val="auto"/>
              </w:rPr>
            </w:pPr>
          </w:p>
        </w:tc>
        <w:tc>
          <w:tcPr>
            <w:tcW w:w="1380" w:type="dxa"/>
            <w:vAlign w:val="bottom"/>
            <w:gridSpan w:val="2"/>
          </w:tcPr>
          <w:p>
            <w:pPr>
              <w:jc w:val="center"/>
              <w:ind w:right="80"/>
              <w:spacing w:after="0" w:line="81" w:lineRule="exact"/>
              <w:rPr>
                <w:sz w:val="20"/>
                <w:szCs w:val="20"/>
                <w:color w:val="auto"/>
              </w:rPr>
            </w:pPr>
            <w:r>
              <w:rPr>
                <w:rFonts w:ascii="Arial" w:cs="Arial" w:eastAsia="Arial" w:hAnsi="Arial"/>
                <w:sz w:val="8"/>
                <w:szCs w:val="8"/>
                <w:b w:val="1"/>
                <w:bCs w:val="1"/>
                <w:color w:val="auto"/>
              </w:rPr>
              <w:t>Non-PEO NEOs</w:t>
            </w:r>
            <w:r>
              <w:rPr>
                <w:rFonts w:ascii="Arial" w:cs="Arial" w:eastAsia="Arial" w:hAnsi="Arial"/>
                <w:sz w:val="9"/>
                <w:szCs w:val="9"/>
                <w:b w:val="1"/>
                <w:bCs w:val="1"/>
                <w:color w:val="auto"/>
                <w:vertAlign w:val="superscript"/>
              </w:rPr>
              <w:t>(1)(2)</w:t>
            </w:r>
          </w:p>
        </w:tc>
        <w:tc>
          <w:tcPr>
            <w:tcW w:w="1200" w:type="dxa"/>
            <w:vAlign w:val="bottom"/>
            <w:vMerge w:val="restart"/>
          </w:tcPr>
          <w:p>
            <w:pPr>
              <w:jc w:val="center"/>
              <w:ind w:left="851"/>
              <w:spacing w:after="0"/>
              <w:rPr>
                <w:sz w:val="20"/>
                <w:szCs w:val="20"/>
                <w:color w:val="auto"/>
              </w:rPr>
            </w:pPr>
            <w:r>
              <w:rPr>
                <w:rFonts w:ascii="Arial" w:cs="Arial" w:eastAsia="Arial" w:hAnsi="Arial"/>
                <w:sz w:val="9"/>
                <w:szCs w:val="9"/>
                <w:b w:val="1"/>
                <w:bCs w:val="1"/>
                <w:color w:val="auto"/>
              </w:rPr>
              <w:t>(4)</w:t>
            </w:r>
          </w:p>
        </w:tc>
        <w:tc>
          <w:tcPr>
            <w:tcW w:w="80" w:type="dxa"/>
            <w:vAlign w:val="bottom"/>
          </w:tcPr>
          <w:p>
            <w:pPr>
              <w:spacing w:after="0"/>
              <w:rPr>
                <w:sz w:val="7"/>
                <w:szCs w:val="7"/>
                <w:color w:val="auto"/>
              </w:rPr>
            </w:pPr>
          </w:p>
        </w:tc>
        <w:tc>
          <w:tcPr>
            <w:tcW w:w="11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4"/>
              </w:rPr>
              <w:t>Peer Group</w:t>
            </w:r>
          </w:p>
        </w:tc>
        <w:tc>
          <w:tcPr>
            <w:tcW w:w="100" w:type="dxa"/>
            <w:vAlign w:val="bottom"/>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120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4"/>
              </w:rPr>
              <w:t>($m)</w:t>
            </w:r>
          </w:p>
        </w:tc>
        <w:tc>
          <w:tcPr>
            <w:tcW w:w="0" w:type="dxa"/>
            <w:vAlign w:val="bottom"/>
          </w:tcPr>
          <w:p>
            <w:pPr>
              <w:spacing w:after="0"/>
              <w:rPr>
                <w:sz w:val="1"/>
                <w:szCs w:val="1"/>
                <w:color w:val="auto"/>
              </w:rPr>
            </w:pPr>
          </w:p>
        </w:tc>
      </w:tr>
      <w:tr>
        <w:trPr>
          <w:trHeight w:val="68"/>
        </w:trPr>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5"/>
                <w:szCs w:val="5"/>
                <w:color w:val="auto"/>
              </w:rPr>
            </w:pPr>
          </w:p>
        </w:tc>
        <w:tc>
          <w:tcPr>
            <w:tcW w:w="1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5"/>
                <w:szCs w:val="5"/>
                <w:color w:val="auto"/>
              </w:rPr>
            </w:pPr>
          </w:p>
        </w:tc>
        <w:tc>
          <w:tcPr>
            <w:tcW w:w="1400" w:type="dxa"/>
            <w:vAlign w:val="bottom"/>
            <w:gridSpan w:val="2"/>
          </w:tcPr>
          <w:p>
            <w:pPr>
              <w:ind w:left="240"/>
              <w:spacing w:after="0" w:line="68" w:lineRule="exact"/>
              <w:rPr>
                <w:sz w:val="20"/>
                <w:szCs w:val="20"/>
                <w:color w:val="auto"/>
              </w:rPr>
            </w:pPr>
            <w:r>
              <w:rPr>
                <w:rFonts w:ascii="Arial" w:cs="Arial" w:eastAsia="Arial" w:hAnsi="Arial"/>
                <w:sz w:val="7"/>
                <w:szCs w:val="7"/>
                <w:b w:val="1"/>
                <w:bCs w:val="1"/>
                <w:color w:val="auto"/>
              </w:rPr>
              <w:t>PEO NEOs</w:t>
            </w:r>
          </w:p>
        </w:tc>
        <w:tc>
          <w:tcPr>
            <w:tcW w:w="1280" w:type="dxa"/>
            <w:vAlign w:val="bottom"/>
          </w:tcPr>
          <w:p>
            <w:pPr>
              <w:jc w:val="right"/>
              <w:ind w:right="516"/>
              <w:spacing w:after="0" w:line="68" w:lineRule="exact"/>
              <w:rPr>
                <w:sz w:val="20"/>
                <w:szCs w:val="20"/>
                <w:color w:val="auto"/>
              </w:rPr>
            </w:pPr>
            <w:r>
              <w:rPr>
                <w:rFonts w:ascii="Arial" w:cs="Arial" w:eastAsia="Arial" w:hAnsi="Arial"/>
                <w:sz w:val="7"/>
                <w:szCs w:val="7"/>
                <w:b w:val="1"/>
                <w:bCs w:val="1"/>
                <w:color w:val="auto"/>
              </w:rPr>
              <w:t>(3)</w:t>
            </w:r>
          </w:p>
        </w:tc>
        <w:tc>
          <w:tcPr>
            <w:tcW w:w="10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tcPr>
          <w:p>
            <w:pPr>
              <w:jc w:val="center"/>
              <w:spacing w:after="0" w:line="122"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0"/>
                <w:szCs w:val="10"/>
                <w:color w:val="auto"/>
              </w:rPr>
            </w:pPr>
          </w:p>
        </w:tc>
        <w:tc>
          <w:tcPr>
            <w:tcW w:w="1280" w:type="dxa"/>
            <w:vAlign w:val="bottom"/>
            <w:vMerge w:val="restart"/>
          </w:tcPr>
          <w:p>
            <w:pPr>
              <w:jc w:val="right"/>
              <w:ind w:right="496"/>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0"/>
                <w:szCs w:val="10"/>
                <w:color w:val="auto"/>
              </w:rPr>
            </w:pPr>
          </w:p>
        </w:tc>
        <w:tc>
          <w:tcPr>
            <w:tcW w:w="1280" w:type="dxa"/>
            <w:vAlign w:val="bottom"/>
            <w:gridSpan w:val="2"/>
          </w:tcPr>
          <w:p>
            <w:pPr>
              <w:ind w:left="80"/>
              <w:spacing w:after="0" w:line="122" w:lineRule="exact"/>
              <w:rPr>
                <w:sz w:val="20"/>
                <w:szCs w:val="20"/>
                <w:color w:val="auto"/>
              </w:rPr>
            </w:pPr>
            <w:r>
              <w:rPr>
                <w:rFonts w:ascii="Arial" w:cs="Arial" w:eastAsia="Arial" w:hAnsi="Arial"/>
                <w:sz w:val="14"/>
                <w:szCs w:val="14"/>
                <w:b w:val="1"/>
                <w:bCs w:val="1"/>
                <w:color w:val="auto"/>
              </w:rPr>
              <w:t>Company TSR</w:t>
            </w:r>
          </w:p>
        </w:tc>
        <w:tc>
          <w:tcPr>
            <w:tcW w:w="1180" w:type="dxa"/>
            <w:vAlign w:val="bottom"/>
          </w:tcPr>
          <w:p>
            <w:pPr>
              <w:jc w:val="center"/>
              <w:spacing w:after="0" w:line="122" w:lineRule="exact"/>
              <w:rPr>
                <w:sz w:val="20"/>
                <w:szCs w:val="20"/>
                <w:color w:val="auto"/>
              </w:rPr>
            </w:pPr>
            <w:r>
              <w:rPr>
                <w:rFonts w:ascii="Arial" w:cs="Arial" w:eastAsia="Arial" w:hAnsi="Arial"/>
                <w:sz w:val="14"/>
                <w:szCs w:val="14"/>
                <w:b w:val="1"/>
                <w:bCs w:val="1"/>
                <w:color w:val="auto"/>
                <w:vertAlign w:val="subscript"/>
              </w:rPr>
              <w:t>TSR</w:t>
            </w:r>
            <w:r>
              <w:rPr>
                <w:rFonts w:ascii="Arial" w:cs="Arial" w:eastAsia="Arial" w:hAnsi="Arial"/>
                <w:sz w:val="7"/>
                <w:szCs w:val="7"/>
                <w:b w:val="1"/>
                <w:bCs w:val="1"/>
                <w:color w:val="auto"/>
              </w:rPr>
              <w:t>(4)(5)</w:t>
            </w:r>
          </w:p>
        </w:tc>
        <w:tc>
          <w:tcPr>
            <w:tcW w:w="1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jc w:val="right"/>
              <w:ind w:right="451"/>
              <w:spacing w:after="0" w:line="135"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1"/>
                <w:szCs w:val="11"/>
                <w:color w:val="auto"/>
              </w:rPr>
            </w:pPr>
          </w:p>
        </w:tc>
        <w:tc>
          <w:tcPr>
            <w:tcW w:w="11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1"/>
        </w:trPr>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1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0"/>
        </w:trPr>
        <w:tc>
          <w:tcPr>
            <w:tcW w:w="5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2022</w:t>
            </w:r>
          </w:p>
        </w:tc>
        <w:tc>
          <w:tcPr>
            <w:tcW w:w="10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6,805,161</w:t>
            </w:r>
          </w:p>
        </w:tc>
        <w:tc>
          <w:tcPr>
            <w:tcW w:w="1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3,692,477</w:t>
            </w:r>
          </w:p>
        </w:tc>
        <w:tc>
          <w:tcPr>
            <w:tcW w:w="10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1,715,941</w:t>
            </w:r>
          </w:p>
        </w:tc>
        <w:tc>
          <w:tcPr>
            <w:tcW w:w="1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1,096,076</w:t>
            </w:r>
          </w:p>
        </w:tc>
        <w:tc>
          <w:tcPr>
            <w:tcW w:w="10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center"/>
              <w:ind w:left="871"/>
              <w:spacing w:after="0"/>
              <w:rPr>
                <w:sz w:val="20"/>
                <w:szCs w:val="20"/>
                <w:color w:val="auto"/>
              </w:rPr>
            </w:pPr>
            <w:r>
              <w:rPr>
                <w:rFonts w:ascii="Arial" w:cs="Arial" w:eastAsia="Arial" w:hAnsi="Arial"/>
                <w:sz w:val="14"/>
                <w:szCs w:val="14"/>
                <w:color w:val="auto"/>
                <w:w w:val="94"/>
              </w:rPr>
              <w:t>114</w:t>
            </w:r>
          </w:p>
        </w:tc>
        <w:tc>
          <w:tcPr>
            <w:tcW w:w="8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121</w:t>
            </w:r>
          </w:p>
        </w:tc>
        <w:tc>
          <w:tcPr>
            <w:tcW w:w="10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258</w:t>
            </w:r>
          </w:p>
        </w:tc>
        <w:tc>
          <w:tcPr>
            <w:tcW w:w="10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546</w:t>
            </w:r>
          </w:p>
        </w:tc>
        <w:tc>
          <w:tcPr>
            <w:tcW w:w="0" w:type="dxa"/>
            <w:vAlign w:val="bottom"/>
          </w:tcPr>
          <w:p>
            <w:pPr>
              <w:spacing w:after="0"/>
              <w:rPr>
                <w:sz w:val="1"/>
                <w:szCs w:val="1"/>
                <w:color w:val="auto"/>
              </w:rPr>
            </w:pPr>
          </w:p>
        </w:tc>
      </w:tr>
      <w:tr>
        <w:trPr>
          <w:trHeight w:val="182"/>
        </w:trPr>
        <w:tc>
          <w:tcPr>
            <w:tcW w:w="540" w:type="dxa"/>
            <w:vAlign w:val="bottom"/>
          </w:tcPr>
          <w:p>
            <w:pPr>
              <w:ind w:left="20"/>
              <w:spacing w:after="0"/>
              <w:rPr>
                <w:sz w:val="20"/>
                <w:szCs w:val="20"/>
                <w:color w:val="auto"/>
              </w:rPr>
            </w:pPr>
            <w:r>
              <w:rPr>
                <w:rFonts w:ascii="Arial" w:cs="Arial" w:eastAsia="Arial" w:hAnsi="Arial"/>
                <w:sz w:val="14"/>
                <w:szCs w:val="14"/>
                <w:color w:val="auto"/>
              </w:rPr>
              <w:t>2021</w:t>
            </w:r>
          </w:p>
        </w:tc>
        <w:tc>
          <w:tcPr>
            <w:tcW w:w="1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5,940,377</w:t>
            </w:r>
          </w:p>
        </w:tc>
        <w:tc>
          <w:tcPr>
            <w:tcW w:w="1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3,389,548</w:t>
            </w:r>
          </w:p>
        </w:tc>
        <w:tc>
          <w:tcPr>
            <w:tcW w:w="1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1,480,706</w:t>
            </w:r>
          </w:p>
        </w:tc>
        <w:tc>
          <w:tcPr>
            <w:tcW w:w="1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1,022,817</w:t>
            </w:r>
          </w:p>
        </w:tc>
        <w:tc>
          <w:tcPr>
            <w:tcW w:w="100" w:type="dxa"/>
            <w:vAlign w:val="bottom"/>
          </w:tcPr>
          <w:p>
            <w:pPr>
              <w:spacing w:after="0"/>
              <w:rPr>
                <w:sz w:val="15"/>
                <w:szCs w:val="15"/>
                <w:color w:val="auto"/>
              </w:rPr>
            </w:pPr>
          </w:p>
        </w:tc>
        <w:tc>
          <w:tcPr>
            <w:tcW w:w="1200" w:type="dxa"/>
            <w:vAlign w:val="bottom"/>
          </w:tcPr>
          <w:p>
            <w:pPr>
              <w:jc w:val="center"/>
              <w:ind w:left="871"/>
              <w:spacing w:after="0"/>
              <w:rPr>
                <w:sz w:val="20"/>
                <w:szCs w:val="20"/>
                <w:color w:val="auto"/>
              </w:rPr>
            </w:pPr>
            <w:r>
              <w:rPr>
                <w:rFonts w:ascii="Arial" w:cs="Arial" w:eastAsia="Arial" w:hAnsi="Arial"/>
                <w:sz w:val="14"/>
                <w:szCs w:val="14"/>
                <w:color w:val="auto"/>
                <w:w w:val="94"/>
              </w:rPr>
              <w:t>116</w:t>
            </w:r>
          </w:p>
        </w:tc>
        <w:tc>
          <w:tcPr>
            <w:tcW w:w="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131</w:t>
            </w: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324</w:t>
            </w: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601</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2020</w:t>
            </w: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11,410,221</w:t>
            </w: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12,624,919</w:t>
            </w: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2,683,195</w:t>
            </w: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2,896,277</w:t>
            </w: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jc w:val="center"/>
              <w:ind w:left="871"/>
              <w:spacing w:after="0"/>
              <w:rPr>
                <w:sz w:val="20"/>
                <w:szCs w:val="20"/>
                <w:color w:val="auto"/>
              </w:rPr>
            </w:pPr>
            <w:r>
              <w:rPr>
                <w:rFonts w:ascii="Arial" w:cs="Arial" w:eastAsia="Arial" w:hAnsi="Arial"/>
                <w:sz w:val="14"/>
                <w:szCs w:val="14"/>
                <w:color w:val="auto"/>
                <w:w w:val="94"/>
              </w:rPr>
              <w:t>107</w:t>
            </w: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363</w:t>
            </w: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717</w:t>
            </w:r>
          </w:p>
        </w:tc>
        <w:tc>
          <w:tcPr>
            <w:tcW w:w="0" w:type="dxa"/>
            <w:vAlign w:val="bottom"/>
          </w:tcPr>
          <w:p>
            <w:pPr>
              <w:spacing w:after="0"/>
              <w:rPr>
                <w:sz w:val="1"/>
                <w:szCs w:val="1"/>
                <w:color w:val="auto"/>
              </w:rPr>
            </w:pPr>
          </w:p>
        </w:tc>
      </w:tr>
      <w:tr>
        <w:trPr>
          <w:trHeight w:val="20"/>
        </w:trPr>
        <w:tc>
          <w:tcPr>
            <w:tcW w:w="5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8" w:lineRule="exact"/>
        <w:rPr>
          <w:sz w:val="20"/>
          <w:szCs w:val="20"/>
          <w:color w:val="auto"/>
        </w:rPr>
      </w:pPr>
    </w:p>
    <w:p>
      <w:pPr>
        <w:ind w:left="340" w:hanging="332"/>
        <w:spacing w:after="0" w:line="275" w:lineRule="auto"/>
        <w:tabs>
          <w:tab w:leader="none" w:pos="485" w:val="left"/>
        </w:tabs>
        <w:numPr>
          <w:ilvl w:val="0"/>
          <w:numId w:val="44"/>
        </w:numPr>
        <w:rPr>
          <w:rFonts w:ascii="Arial" w:cs="Arial" w:eastAsia="Arial" w:hAnsi="Arial"/>
          <w:sz w:val="16"/>
          <w:szCs w:val="16"/>
          <w:color w:val="auto"/>
        </w:rPr>
      </w:pPr>
      <w:r>
        <w:rPr>
          <w:rFonts w:ascii="Arial" w:cs="Arial" w:eastAsia="Arial" w:hAnsi="Arial"/>
          <w:sz w:val="16"/>
          <w:szCs w:val="16"/>
          <w:color w:val="auto"/>
        </w:rPr>
        <w:t>To calculate compensation actually paid (“CAP”), the following amounts were deducted from and added to the Summary Compensation Table (“SCT”) total compensation:</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PEO SCT Total to CAP Reconciliation</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vMerge w:val="restart"/>
          </w:tcPr>
          <w:p>
            <w:pPr>
              <w:jc w:val="center"/>
              <w:ind w:left="708"/>
              <w:spacing w:after="0"/>
              <w:rPr>
                <w:sz w:val="20"/>
                <w:szCs w:val="20"/>
                <w:color w:val="auto"/>
              </w:rPr>
            </w:pPr>
            <w:r>
              <w:rPr>
                <w:rFonts w:ascii="Arial" w:cs="Arial" w:eastAsia="Arial" w:hAnsi="Arial"/>
                <w:sz w:val="14"/>
                <w:szCs w:val="14"/>
                <w:b w:val="1"/>
                <w:bCs w:val="1"/>
                <w:color w:val="auto"/>
                <w:w w:val="94"/>
              </w:rPr>
              <w:t>SCT Total</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Deductions</w:t>
            </w:r>
          </w:p>
        </w:tc>
        <w:tc>
          <w:tcPr>
            <w:tcW w:w="960" w:type="dxa"/>
            <w:vAlign w:val="bottom"/>
            <w:gridSpan w:val="2"/>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Additions</w:t>
            </w:r>
          </w:p>
        </w:tc>
        <w:tc>
          <w:tcPr>
            <w:tcW w:w="1000" w:type="dxa"/>
            <w:vAlign w:val="bottom"/>
            <w:gridSpan w:val="2"/>
          </w:tcPr>
          <w:p>
            <w:pPr>
              <w:spacing w:after="0"/>
              <w:rPr>
                <w:sz w:val="14"/>
                <w:szCs w:val="14"/>
                <w:color w:val="auto"/>
              </w:rPr>
            </w:pPr>
          </w:p>
        </w:tc>
        <w:tc>
          <w:tcPr>
            <w:tcW w:w="2440" w:type="dxa"/>
            <w:vAlign w:val="bottom"/>
            <w:vMerge w:val="restart"/>
          </w:tcPr>
          <w:p>
            <w:pPr>
              <w:jc w:val="right"/>
              <w:ind w:right="1008"/>
              <w:spacing w:after="0"/>
              <w:rPr>
                <w:sz w:val="20"/>
                <w:szCs w:val="20"/>
                <w:color w:val="auto"/>
              </w:rPr>
            </w:pPr>
            <w:r>
              <w:rPr>
                <w:rFonts w:ascii="Arial" w:cs="Arial" w:eastAsia="Arial" w:hAnsi="Arial"/>
                <w:sz w:val="14"/>
                <w:szCs w:val="14"/>
                <w:b w:val="1"/>
                <w:bCs w:val="1"/>
                <w:color w:val="auto"/>
              </w:rPr>
              <w:t>CAP</w:t>
            </w:r>
          </w:p>
        </w:tc>
        <w:tc>
          <w:tcPr>
            <w:tcW w:w="0" w:type="dxa"/>
            <w:vAlign w:val="bottom"/>
          </w:tcPr>
          <w:p>
            <w:pPr>
              <w:spacing w:after="0"/>
              <w:rPr>
                <w:sz w:val="1"/>
                <w:szCs w:val="1"/>
                <w:color w:val="auto"/>
              </w:rPr>
            </w:pPr>
          </w:p>
        </w:tc>
      </w:tr>
      <w:tr>
        <w:trPr>
          <w:trHeight w:val="34"/>
        </w:trPr>
        <w:tc>
          <w:tcPr>
            <w:tcW w:w="920" w:type="dxa"/>
            <w:vAlign w:val="bottom"/>
            <w:gridSpan w:val="2"/>
            <w:vMerge w:val="restart"/>
          </w:tcPr>
          <w:p>
            <w:pPr>
              <w:ind w:left="20"/>
              <w:spacing w:after="0" w:line="103" w:lineRule="exact"/>
              <w:rPr>
                <w:sz w:val="20"/>
                <w:szCs w:val="20"/>
                <w:color w:val="auto"/>
              </w:rPr>
            </w:pPr>
            <w:r>
              <w:rPr>
                <w:rFonts w:ascii="Arial" w:cs="Arial" w:eastAsia="Arial" w:hAnsi="Arial"/>
                <w:sz w:val="11"/>
                <w:szCs w:val="11"/>
                <w:b w:val="1"/>
                <w:bCs w:val="1"/>
                <w:color w:val="auto"/>
              </w:rPr>
              <w:t>Year</w:t>
            </w:r>
          </w:p>
        </w:tc>
        <w:tc>
          <w:tcPr>
            <w:tcW w:w="164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4"/>
            <w:vMerge w:val="restart"/>
          </w:tcPr>
          <w:p>
            <w:pPr>
              <w:jc w:val="center"/>
              <w:ind w:right="100"/>
              <w:spacing w:after="0" w:line="103" w:lineRule="exact"/>
              <w:rPr>
                <w:sz w:val="20"/>
                <w:szCs w:val="20"/>
                <w:color w:val="auto"/>
              </w:rPr>
            </w:pPr>
            <w:r>
              <w:rPr>
                <w:rFonts w:ascii="Arial" w:cs="Arial" w:eastAsia="Arial" w:hAnsi="Arial"/>
                <w:sz w:val="11"/>
                <w:szCs w:val="11"/>
                <w:b w:val="1"/>
                <w:bCs w:val="1"/>
                <w:color w:val="auto"/>
              </w:rPr>
              <w:t>from SCT Total</w:t>
            </w:r>
          </w:p>
        </w:tc>
        <w:tc>
          <w:tcPr>
            <w:tcW w:w="2520" w:type="dxa"/>
            <w:vAlign w:val="bottom"/>
            <w:gridSpan w:val="4"/>
            <w:vMerge w:val="restart"/>
          </w:tcPr>
          <w:p>
            <w:pPr>
              <w:jc w:val="center"/>
              <w:ind w:right="100"/>
              <w:spacing w:after="0" w:line="103" w:lineRule="exact"/>
              <w:rPr>
                <w:sz w:val="20"/>
                <w:szCs w:val="20"/>
                <w:color w:val="auto"/>
              </w:rPr>
            </w:pPr>
            <w:r>
              <w:rPr>
                <w:rFonts w:ascii="Arial" w:cs="Arial" w:eastAsia="Arial" w:hAnsi="Arial"/>
                <w:sz w:val="11"/>
                <w:szCs w:val="11"/>
                <w:b w:val="1"/>
                <w:bCs w:val="1"/>
                <w:color w:val="auto"/>
              </w:rPr>
              <w:t>to SCT Total</w:t>
            </w:r>
          </w:p>
        </w:tc>
        <w:tc>
          <w:tcPr>
            <w:tcW w:w="2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69"/>
        </w:trPr>
        <w:tc>
          <w:tcPr>
            <w:tcW w:w="920" w:type="dxa"/>
            <w:vAlign w:val="bottom"/>
            <w:gridSpan w:val="2"/>
            <w:vMerge w:val="continue"/>
          </w:tcPr>
          <w:p>
            <w:pPr>
              <w:spacing w:after="0"/>
              <w:rPr>
                <w:sz w:val="5"/>
                <w:szCs w:val="5"/>
                <w:color w:val="auto"/>
              </w:rPr>
            </w:pPr>
          </w:p>
        </w:tc>
        <w:tc>
          <w:tcPr>
            <w:tcW w:w="164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4"/>
            <w:vMerge w:val="continue"/>
          </w:tcPr>
          <w:p>
            <w:pPr>
              <w:spacing w:after="0"/>
              <w:rPr>
                <w:sz w:val="5"/>
                <w:szCs w:val="5"/>
                <w:color w:val="auto"/>
              </w:rPr>
            </w:pPr>
          </w:p>
        </w:tc>
        <w:tc>
          <w:tcPr>
            <w:tcW w:w="2520" w:type="dxa"/>
            <w:vAlign w:val="bottom"/>
            <w:gridSpan w:val="4"/>
            <w:vMerge w:val="continue"/>
          </w:tcPr>
          <w:p>
            <w:pPr>
              <w:spacing w:after="0"/>
              <w:rPr>
                <w:sz w:val="5"/>
                <w:szCs w:val="5"/>
                <w:color w:val="auto"/>
              </w:rPr>
            </w:pPr>
          </w:p>
        </w:tc>
        <w:tc>
          <w:tcPr>
            <w:tcW w:w="2440" w:type="dxa"/>
            <w:vAlign w:val="bottom"/>
            <w:vMerge w:val="restart"/>
          </w:tcPr>
          <w:p>
            <w:pPr>
              <w:jc w:val="right"/>
              <w:ind w:right="106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5"/>
        </w:trPr>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vMerge w:val="continue"/>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60" w:type="dxa"/>
            <w:vAlign w:val="bottom"/>
            <w:gridSpan w:val="3"/>
          </w:tcPr>
          <w:p>
            <w:pPr>
              <w:jc w:val="center"/>
              <w:ind w:right="960"/>
              <w:spacing w:after="0" w:line="214" w:lineRule="exact"/>
              <w:rPr>
                <w:sz w:val="20"/>
                <w:szCs w:val="20"/>
                <w:color w:val="auto"/>
              </w:rPr>
            </w:pPr>
            <w:r>
              <w:rPr>
                <w:rFonts w:ascii="Arial" w:cs="Arial" w:eastAsia="Arial" w:hAnsi="Arial"/>
                <w:sz w:val="24"/>
                <w:szCs w:val="24"/>
                <w:b w:val="1"/>
                <w:bCs w:val="1"/>
                <w:color w:val="auto"/>
                <w:w w:val="92"/>
                <w:vertAlign w:val="subscript"/>
              </w:rPr>
              <w:t>($)</w:t>
            </w:r>
            <w:r>
              <w:rPr>
                <w:rFonts w:ascii="Arial" w:cs="Arial" w:eastAsia="Arial" w:hAnsi="Arial"/>
                <w:sz w:val="9"/>
                <w:szCs w:val="9"/>
                <w:b w:val="1"/>
                <w:bCs w:val="1"/>
                <w:color w:val="auto"/>
                <w:w w:val="92"/>
              </w:rPr>
              <w:t>(i)</w:t>
            </w:r>
          </w:p>
        </w:tc>
        <w:tc>
          <w:tcPr>
            <w:tcW w:w="920" w:type="dxa"/>
            <w:vAlign w:val="bottom"/>
          </w:tcPr>
          <w:p>
            <w:pPr>
              <w:spacing w:after="0"/>
              <w:rPr>
                <w:sz w:val="18"/>
                <w:szCs w:val="18"/>
                <w:color w:val="auto"/>
              </w:rPr>
            </w:pPr>
          </w:p>
        </w:tc>
        <w:tc>
          <w:tcPr>
            <w:tcW w:w="1600" w:type="dxa"/>
            <w:vAlign w:val="bottom"/>
            <w:gridSpan w:val="3"/>
          </w:tcPr>
          <w:p>
            <w:pPr>
              <w:jc w:val="center"/>
              <w:ind w:right="1000"/>
              <w:spacing w:after="0" w:line="214" w:lineRule="exact"/>
              <w:rPr>
                <w:sz w:val="20"/>
                <w:szCs w:val="20"/>
                <w:color w:val="auto"/>
              </w:rPr>
            </w:pPr>
            <w:r>
              <w:rPr>
                <w:rFonts w:ascii="Arial" w:cs="Arial" w:eastAsia="Arial" w:hAnsi="Arial"/>
                <w:sz w:val="24"/>
                <w:szCs w:val="24"/>
                <w:b w:val="1"/>
                <w:bCs w:val="1"/>
                <w:color w:val="auto"/>
                <w:w w:val="91"/>
                <w:vertAlign w:val="subscript"/>
              </w:rPr>
              <w:t>($)</w:t>
            </w:r>
            <w:r>
              <w:rPr>
                <w:rFonts w:ascii="Arial" w:cs="Arial" w:eastAsia="Arial" w:hAnsi="Arial"/>
                <w:sz w:val="9"/>
                <w:szCs w:val="9"/>
                <w:b w:val="1"/>
                <w:bCs w:val="1"/>
                <w:color w:val="auto"/>
                <w:w w:val="91"/>
              </w:rPr>
              <w:t>(ii)</w:t>
            </w:r>
          </w:p>
        </w:tc>
        <w:tc>
          <w:tcPr>
            <w:tcW w:w="24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8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2022</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640" w:type="dxa"/>
            <w:vAlign w:val="bottom"/>
            <w:tcBorders>
              <w:top w:val="single" w:sz="8" w:color="auto"/>
              <w:bottom w:val="single" w:sz="8" w:color="CCEEFF"/>
            </w:tcBorders>
            <w:shd w:val="clear" w:color="auto" w:fill="CCEEFF"/>
          </w:tcPr>
          <w:p>
            <w:pPr>
              <w:spacing w:after="0"/>
              <w:rPr>
                <w:sz w:val="15"/>
                <w:szCs w:val="15"/>
                <w:color w:val="auto"/>
              </w:rPr>
            </w:pP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6,805,161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420" w:type="dxa"/>
            <w:vAlign w:val="bottom"/>
            <w:tcBorders>
              <w:top w:val="single" w:sz="8" w:color="auto"/>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(5,044,385)</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440" w:type="dxa"/>
            <w:vAlign w:val="bottom"/>
            <w:tcBorders>
              <w:top w:val="single" w:sz="8" w:color="auto"/>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1,931,701</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3,692,477</w:t>
            </w:r>
          </w:p>
        </w:tc>
        <w:tc>
          <w:tcPr>
            <w:tcW w:w="0" w:type="dxa"/>
            <w:vAlign w:val="bottom"/>
          </w:tcPr>
          <w:p>
            <w:pPr>
              <w:spacing w:after="0"/>
              <w:rPr>
                <w:sz w:val="1"/>
                <w:szCs w:val="1"/>
                <w:color w:val="auto"/>
              </w:rPr>
            </w:pPr>
          </w:p>
        </w:tc>
      </w:tr>
      <w:tr>
        <w:trPr>
          <w:trHeight w:val="182"/>
        </w:trPr>
        <w:tc>
          <w:tcPr>
            <w:tcW w:w="840" w:type="dxa"/>
            <w:vAlign w:val="bottom"/>
          </w:tcPr>
          <w:p>
            <w:pPr>
              <w:ind w:left="20"/>
              <w:spacing w:after="0"/>
              <w:rPr>
                <w:sz w:val="20"/>
                <w:szCs w:val="20"/>
                <w:color w:val="auto"/>
              </w:rPr>
            </w:pPr>
            <w:r>
              <w:rPr>
                <w:rFonts w:ascii="Arial" w:cs="Arial" w:eastAsia="Arial" w:hAnsi="Arial"/>
                <w:sz w:val="14"/>
                <w:szCs w:val="14"/>
                <w:color w:val="auto"/>
              </w:rPr>
              <w:t>2021</w:t>
            </w:r>
          </w:p>
        </w:tc>
        <w:tc>
          <w:tcPr>
            <w:tcW w:w="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5,940,377</w:t>
            </w:r>
          </w:p>
        </w:tc>
        <w:tc>
          <w:tcPr>
            <w:tcW w:w="100" w:type="dxa"/>
            <w:vAlign w:val="bottom"/>
          </w:tcPr>
          <w:p>
            <w:pPr>
              <w:spacing w:after="0"/>
              <w:rPr>
                <w:sz w:val="15"/>
                <w:szCs w:val="15"/>
                <w:color w:val="auto"/>
              </w:rPr>
            </w:pPr>
          </w:p>
        </w:tc>
        <w:tc>
          <w:tcPr>
            <w:tcW w:w="2420" w:type="dxa"/>
            <w:vAlign w:val="bottom"/>
            <w:gridSpan w:val="3"/>
          </w:tcPr>
          <w:p>
            <w:pPr>
              <w:jc w:val="right"/>
              <w:ind w:right="20"/>
              <w:spacing w:after="0"/>
              <w:rPr>
                <w:sz w:val="20"/>
                <w:szCs w:val="20"/>
                <w:color w:val="auto"/>
              </w:rPr>
            </w:pPr>
            <w:r>
              <w:rPr>
                <w:rFonts w:ascii="Arial" w:cs="Arial" w:eastAsia="Arial" w:hAnsi="Arial"/>
                <w:sz w:val="14"/>
                <w:szCs w:val="14"/>
                <w:color w:val="auto"/>
              </w:rPr>
              <w:t>(4,362,672)</w:t>
            </w:r>
          </w:p>
        </w:tc>
        <w:tc>
          <w:tcPr>
            <w:tcW w:w="100" w:type="dxa"/>
            <w:vAlign w:val="bottom"/>
          </w:tcPr>
          <w:p>
            <w:pPr>
              <w:spacing w:after="0"/>
              <w:rPr>
                <w:sz w:val="15"/>
                <w:szCs w:val="15"/>
                <w:color w:val="auto"/>
              </w:rPr>
            </w:pPr>
          </w:p>
        </w:tc>
        <w:tc>
          <w:tcPr>
            <w:tcW w:w="2440" w:type="dxa"/>
            <w:vAlign w:val="bottom"/>
            <w:gridSpan w:val="3"/>
          </w:tcPr>
          <w:p>
            <w:pPr>
              <w:jc w:val="right"/>
              <w:ind w:right="20"/>
              <w:spacing w:after="0"/>
              <w:rPr>
                <w:sz w:val="20"/>
                <w:szCs w:val="20"/>
                <w:color w:val="auto"/>
              </w:rPr>
            </w:pPr>
            <w:r>
              <w:rPr>
                <w:rFonts w:ascii="Arial" w:cs="Arial" w:eastAsia="Arial" w:hAnsi="Arial"/>
                <w:sz w:val="14"/>
                <w:szCs w:val="14"/>
                <w:color w:val="auto"/>
              </w:rPr>
              <w:t>1,811,843</w:t>
            </w:r>
          </w:p>
        </w:tc>
        <w:tc>
          <w:tcPr>
            <w:tcW w:w="80" w:type="dxa"/>
            <w:vAlign w:val="bottom"/>
          </w:tcPr>
          <w:p>
            <w:pPr>
              <w:spacing w:after="0"/>
              <w:rPr>
                <w:sz w:val="15"/>
                <w:szCs w:val="15"/>
                <w:color w:val="auto"/>
              </w:rPr>
            </w:pPr>
          </w:p>
        </w:tc>
        <w:tc>
          <w:tcPr>
            <w:tcW w:w="2440" w:type="dxa"/>
            <w:vAlign w:val="bottom"/>
          </w:tcPr>
          <w:p>
            <w:pPr>
              <w:jc w:val="right"/>
              <w:spacing w:after="0"/>
              <w:rPr>
                <w:sz w:val="20"/>
                <w:szCs w:val="20"/>
                <w:color w:val="auto"/>
              </w:rPr>
            </w:pPr>
            <w:r>
              <w:rPr>
                <w:rFonts w:ascii="Arial" w:cs="Arial" w:eastAsia="Arial" w:hAnsi="Arial"/>
                <w:sz w:val="14"/>
                <w:szCs w:val="14"/>
                <w:color w:val="auto"/>
              </w:rPr>
              <w:t>3,389,548</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2020</w:t>
            </w:r>
          </w:p>
        </w:tc>
        <w:tc>
          <w:tcPr>
            <w:tcW w:w="8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11,410,221</w:t>
            </w:r>
          </w:p>
        </w:tc>
        <w:tc>
          <w:tcPr>
            <w:tcW w:w="100" w:type="dxa"/>
            <w:vAlign w:val="bottom"/>
            <w:shd w:val="clear" w:color="auto" w:fill="CCEEFF"/>
          </w:tcPr>
          <w:p>
            <w:pPr>
              <w:spacing w:after="0"/>
              <w:rPr>
                <w:sz w:val="15"/>
                <w:szCs w:val="15"/>
                <w:color w:val="auto"/>
              </w:rPr>
            </w:pPr>
          </w:p>
        </w:tc>
        <w:tc>
          <w:tcPr>
            <w:tcW w:w="242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(3,488,004)</w:t>
            </w:r>
          </w:p>
        </w:tc>
        <w:tc>
          <w:tcPr>
            <w:tcW w:w="100" w:type="dxa"/>
            <w:vAlign w:val="bottom"/>
            <w:shd w:val="clear" w:color="auto" w:fill="CCEEFF"/>
          </w:tcPr>
          <w:p>
            <w:pPr>
              <w:spacing w:after="0"/>
              <w:rPr>
                <w:sz w:val="15"/>
                <w:szCs w:val="15"/>
                <w:color w:val="auto"/>
              </w:rPr>
            </w:pPr>
          </w:p>
        </w:tc>
        <w:tc>
          <w:tcPr>
            <w:tcW w:w="244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4,702,702</w:t>
            </w:r>
          </w:p>
        </w:tc>
        <w:tc>
          <w:tcPr>
            <w:tcW w:w="80" w:type="dxa"/>
            <w:vAlign w:val="bottom"/>
            <w:shd w:val="clear" w:color="auto" w:fill="CCEEFF"/>
          </w:tcPr>
          <w:p>
            <w:pPr>
              <w:spacing w:after="0"/>
              <w:rPr>
                <w:sz w:val="15"/>
                <w:szCs w:val="15"/>
                <w:color w:val="auto"/>
              </w:rPr>
            </w:pPr>
          </w:p>
        </w:tc>
        <w:tc>
          <w:tcPr>
            <w:tcW w:w="2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12,624,919</w:t>
            </w:r>
          </w:p>
        </w:tc>
        <w:tc>
          <w:tcPr>
            <w:tcW w:w="0" w:type="dxa"/>
            <w:vAlign w:val="bottom"/>
          </w:tcPr>
          <w:p>
            <w:pPr>
              <w:spacing w:after="0"/>
              <w:rPr>
                <w:sz w:val="1"/>
                <w:szCs w:val="1"/>
                <w:color w:val="auto"/>
              </w:rPr>
            </w:pPr>
          </w:p>
        </w:tc>
      </w:tr>
      <w:tr>
        <w:trPr>
          <w:trHeight w:val="20"/>
        </w:trPr>
        <w:tc>
          <w:tcPr>
            <w:tcW w:w="8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4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6" w:right="339" w:bottom="1440" w:gutter="0" w:footer="0" w:header="0"/>
        </w:sectPr>
      </w:pPr>
    </w:p>
    <w:p>
      <w:pPr>
        <w:spacing w:after="0" w:line="222" w:lineRule="exact"/>
        <w:rPr>
          <w:sz w:val="20"/>
          <w:szCs w:val="20"/>
          <w:color w:val="auto"/>
        </w:rPr>
      </w:pPr>
    </w:p>
    <w:p>
      <w:pPr>
        <w:ind w:left="320" w:hanging="312"/>
        <w:spacing w:after="0"/>
        <w:tabs>
          <w:tab w:leader="none" w:pos="3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Represents the following for each year:</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4"/>
              </w:rPr>
              <w:t>Year-Over-Year Change in</w:t>
            </w:r>
          </w:p>
        </w:tc>
        <w:tc>
          <w:tcPr>
            <w:tcW w:w="20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4"/>
              </w:rPr>
              <w:t>Change in Fair Value of Prior</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6"/>
              </w:rPr>
              <w:t>Fair Value at End of Prior</w:t>
            </w:r>
          </w:p>
        </w:tc>
        <w:tc>
          <w:tcPr>
            <w:tcW w:w="0" w:type="dxa"/>
            <w:vAlign w:val="bottom"/>
          </w:tcPr>
          <w:p>
            <w:pPr>
              <w:spacing w:after="0"/>
              <w:rPr>
                <w:sz w:val="1"/>
                <w:szCs w:val="1"/>
                <w:color w:val="auto"/>
              </w:rPr>
            </w:pPr>
          </w:p>
        </w:tc>
      </w:tr>
      <w:tr>
        <w:trPr>
          <w:trHeight w:val="68"/>
        </w:trPr>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0" w:type="dxa"/>
            <w:vAlign w:val="bottom"/>
            <w:gridSpan w:val="2"/>
            <w:vMerge w:val="continue"/>
          </w:tcPr>
          <w:p>
            <w:pPr>
              <w:spacing w:after="0"/>
              <w:rPr>
                <w:sz w:val="5"/>
                <w:szCs w:val="5"/>
                <w:color w:val="auto"/>
              </w:rPr>
            </w:pPr>
          </w:p>
        </w:tc>
        <w:tc>
          <w:tcPr>
            <w:tcW w:w="2020" w:type="dxa"/>
            <w:vAlign w:val="bottom"/>
            <w:gridSpan w:val="2"/>
            <w:vMerge w:val="continue"/>
          </w:tcPr>
          <w:p>
            <w:pPr>
              <w:spacing w:after="0"/>
              <w:rPr>
                <w:sz w:val="5"/>
                <w:szCs w:val="5"/>
                <w:color w:val="auto"/>
              </w:rPr>
            </w:pPr>
          </w:p>
        </w:tc>
        <w:tc>
          <w:tcPr>
            <w:tcW w:w="1940" w:type="dxa"/>
            <w:vAlign w:val="bottom"/>
            <w:vMerge w:val="restart"/>
          </w:tcPr>
          <w:p>
            <w:pPr>
              <w:jc w:val="center"/>
              <w:spacing w:after="0" w:line="145" w:lineRule="exact"/>
              <w:rPr>
                <w:sz w:val="20"/>
                <w:szCs w:val="20"/>
                <w:color w:val="auto"/>
              </w:rPr>
            </w:pPr>
            <w:r>
              <w:rPr>
                <w:rFonts w:ascii="Arial" w:cs="Arial" w:eastAsia="Arial" w:hAnsi="Arial"/>
                <w:sz w:val="14"/>
                <w:szCs w:val="14"/>
                <w:b w:val="1"/>
                <w:bCs w:val="1"/>
                <w:color w:val="auto"/>
                <w:w w:val="94"/>
              </w:rPr>
              <w:t>Year of Prior Years' Awards</w:t>
            </w:r>
          </w:p>
        </w:tc>
        <w:tc>
          <w:tcPr>
            <w:tcW w:w="0" w:type="dxa"/>
            <w:vAlign w:val="bottom"/>
          </w:tcPr>
          <w:p>
            <w:pPr>
              <w:spacing w:after="0"/>
              <w:rPr>
                <w:sz w:val="1"/>
                <w:szCs w:val="1"/>
                <w:color w:val="auto"/>
              </w:rPr>
            </w:pPr>
          </w:p>
        </w:tc>
      </w:tr>
      <w:tr>
        <w:trPr>
          <w:trHeight w:val="77"/>
        </w:trPr>
        <w:tc>
          <w:tcPr>
            <w:tcW w:w="8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0" w:type="dxa"/>
            <w:vAlign w:val="bottom"/>
            <w:gridSpan w:val="2"/>
            <w:vMerge w:val="restart"/>
          </w:tcPr>
          <w:p>
            <w:pPr>
              <w:jc w:val="center"/>
              <w:ind w:right="100"/>
              <w:spacing w:after="0" w:line="145" w:lineRule="exact"/>
              <w:rPr>
                <w:sz w:val="20"/>
                <w:szCs w:val="20"/>
                <w:color w:val="auto"/>
              </w:rPr>
            </w:pPr>
            <w:r>
              <w:rPr>
                <w:rFonts w:ascii="Arial" w:cs="Arial" w:eastAsia="Arial" w:hAnsi="Arial"/>
                <w:sz w:val="14"/>
                <w:szCs w:val="14"/>
                <w:b w:val="1"/>
                <w:bCs w:val="1"/>
                <w:color w:val="auto"/>
                <w:w w:val="96"/>
              </w:rPr>
              <w:t>Grant Date Fair Value of</w:t>
            </w:r>
          </w:p>
        </w:tc>
        <w:tc>
          <w:tcPr>
            <w:tcW w:w="2000" w:type="dxa"/>
            <w:vAlign w:val="bottom"/>
            <w:gridSpan w:val="2"/>
            <w:vMerge w:val="restart"/>
          </w:tcPr>
          <w:p>
            <w:pPr>
              <w:jc w:val="center"/>
              <w:ind w:right="100"/>
              <w:spacing w:after="0" w:line="145" w:lineRule="exact"/>
              <w:rPr>
                <w:sz w:val="20"/>
                <w:szCs w:val="20"/>
                <w:color w:val="auto"/>
              </w:rPr>
            </w:pPr>
            <w:r>
              <w:rPr>
                <w:rFonts w:ascii="Arial" w:cs="Arial" w:eastAsia="Arial" w:hAnsi="Arial"/>
                <w:sz w:val="14"/>
                <w:szCs w:val="14"/>
                <w:b w:val="1"/>
                <w:bCs w:val="1"/>
                <w:color w:val="auto"/>
                <w:w w:val="95"/>
              </w:rPr>
              <w:t>Fair Value of Prior Years'</w:t>
            </w:r>
          </w:p>
        </w:tc>
        <w:tc>
          <w:tcPr>
            <w:tcW w:w="2020" w:type="dxa"/>
            <w:vAlign w:val="bottom"/>
            <w:gridSpan w:val="2"/>
            <w:vMerge w:val="continue"/>
          </w:tcPr>
          <w:p>
            <w:pPr>
              <w:spacing w:after="0"/>
              <w:rPr>
                <w:sz w:val="6"/>
                <w:szCs w:val="6"/>
                <w:color w:val="auto"/>
              </w:rPr>
            </w:pPr>
          </w:p>
        </w:tc>
        <w:tc>
          <w:tcPr>
            <w:tcW w:w="1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0" w:type="dxa"/>
            <w:vAlign w:val="bottom"/>
            <w:gridSpan w:val="2"/>
            <w:vMerge w:val="continue"/>
          </w:tcPr>
          <w:p>
            <w:pPr>
              <w:spacing w:after="0"/>
              <w:rPr>
                <w:sz w:val="5"/>
                <w:szCs w:val="5"/>
                <w:color w:val="auto"/>
              </w:rPr>
            </w:pPr>
          </w:p>
        </w:tc>
        <w:tc>
          <w:tcPr>
            <w:tcW w:w="2000" w:type="dxa"/>
            <w:vAlign w:val="bottom"/>
            <w:gridSpan w:val="2"/>
            <w:vMerge w:val="continue"/>
          </w:tcPr>
          <w:p>
            <w:pPr>
              <w:spacing w:after="0"/>
              <w:rPr>
                <w:sz w:val="5"/>
                <w:szCs w:val="5"/>
                <w:color w:val="auto"/>
              </w:rPr>
            </w:pPr>
          </w:p>
        </w:tc>
        <w:tc>
          <w:tcPr>
            <w:tcW w:w="2020" w:type="dxa"/>
            <w:vAlign w:val="bottom"/>
            <w:gridSpan w:val="2"/>
            <w:vMerge w:val="restart"/>
          </w:tcPr>
          <w:p>
            <w:pPr>
              <w:jc w:val="center"/>
              <w:ind w:right="80"/>
              <w:spacing w:after="0" w:line="135" w:lineRule="exact"/>
              <w:rPr>
                <w:sz w:val="20"/>
                <w:szCs w:val="20"/>
                <w:color w:val="auto"/>
              </w:rPr>
            </w:pPr>
            <w:r>
              <w:rPr>
                <w:rFonts w:ascii="Arial" w:cs="Arial" w:eastAsia="Arial" w:hAnsi="Arial"/>
                <w:sz w:val="14"/>
                <w:szCs w:val="14"/>
                <w:b w:val="1"/>
                <w:bCs w:val="1"/>
                <w:color w:val="auto"/>
                <w:w w:val="92"/>
              </w:rPr>
              <w:t>Years' Awards that Vested in</w:t>
            </w:r>
          </w:p>
        </w:tc>
        <w:tc>
          <w:tcPr>
            <w:tcW w:w="1940" w:type="dxa"/>
            <w:vAlign w:val="bottom"/>
            <w:vMerge w:val="restart"/>
          </w:tcPr>
          <w:p>
            <w:pPr>
              <w:jc w:val="center"/>
              <w:spacing w:after="0" w:line="135" w:lineRule="exact"/>
              <w:rPr>
                <w:sz w:val="20"/>
                <w:szCs w:val="20"/>
                <w:color w:val="auto"/>
              </w:rPr>
            </w:pPr>
            <w:r>
              <w:rPr>
                <w:rFonts w:ascii="Arial" w:cs="Arial" w:eastAsia="Arial" w:hAnsi="Arial"/>
                <w:sz w:val="14"/>
                <w:szCs w:val="14"/>
                <w:b w:val="1"/>
                <w:bCs w:val="1"/>
                <w:color w:val="auto"/>
                <w:w w:val="94"/>
              </w:rPr>
              <w:t>that Failed to Meet Applicable</w:t>
            </w:r>
          </w:p>
        </w:tc>
        <w:tc>
          <w:tcPr>
            <w:tcW w:w="0" w:type="dxa"/>
            <w:vAlign w:val="bottom"/>
          </w:tcPr>
          <w:p>
            <w:pPr>
              <w:spacing w:after="0"/>
              <w:rPr>
                <w:sz w:val="1"/>
                <w:szCs w:val="1"/>
                <w:color w:val="auto"/>
              </w:rPr>
            </w:pPr>
          </w:p>
        </w:tc>
      </w:tr>
      <w:tr>
        <w:trPr>
          <w:trHeight w:val="68"/>
        </w:trPr>
        <w:tc>
          <w:tcPr>
            <w:tcW w:w="940" w:type="dxa"/>
            <w:vAlign w:val="bottom"/>
            <w:gridSpan w:val="2"/>
            <w:vMerge w:val="restart"/>
          </w:tcPr>
          <w:p>
            <w:pPr>
              <w:ind w:left="20"/>
              <w:spacing w:after="0" w:line="149" w:lineRule="exact"/>
              <w:rPr>
                <w:sz w:val="20"/>
                <w:szCs w:val="20"/>
                <w:color w:val="auto"/>
              </w:rPr>
            </w:pPr>
            <w:r>
              <w:rPr>
                <w:rFonts w:ascii="Arial" w:cs="Arial" w:eastAsia="Arial" w:hAnsi="Arial"/>
                <w:sz w:val="14"/>
                <w:szCs w:val="14"/>
                <w:b w:val="1"/>
                <w:bCs w:val="1"/>
                <w:color w:val="auto"/>
              </w:rPr>
              <w:t>Year</w:t>
            </w:r>
          </w:p>
        </w:tc>
        <w:tc>
          <w:tcPr>
            <w:tcW w:w="200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Covered Year Equity Awards</w:t>
            </w:r>
          </w:p>
        </w:tc>
        <w:tc>
          <w:tcPr>
            <w:tcW w:w="200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Awards Unvested at the End</w:t>
            </w:r>
          </w:p>
        </w:tc>
        <w:tc>
          <w:tcPr>
            <w:tcW w:w="2020" w:type="dxa"/>
            <w:vAlign w:val="bottom"/>
            <w:gridSpan w:val="2"/>
            <w:vMerge w:val="continue"/>
          </w:tcPr>
          <w:p>
            <w:pPr>
              <w:spacing w:after="0"/>
              <w:rPr>
                <w:sz w:val="5"/>
                <w:szCs w:val="5"/>
                <w:color w:val="auto"/>
              </w:rPr>
            </w:pPr>
          </w:p>
        </w:tc>
        <w:tc>
          <w:tcPr>
            <w:tcW w:w="1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940" w:type="dxa"/>
            <w:vAlign w:val="bottom"/>
            <w:gridSpan w:val="2"/>
            <w:vMerge w:val="continue"/>
          </w:tcPr>
          <w:p>
            <w:pPr>
              <w:spacing w:after="0"/>
              <w:rPr>
                <w:sz w:val="7"/>
                <w:szCs w:val="7"/>
                <w:color w:val="auto"/>
              </w:rPr>
            </w:pPr>
          </w:p>
        </w:tc>
        <w:tc>
          <w:tcPr>
            <w:tcW w:w="2000" w:type="dxa"/>
            <w:vAlign w:val="bottom"/>
            <w:gridSpan w:val="2"/>
            <w:vMerge w:val="continue"/>
          </w:tcPr>
          <w:p>
            <w:pPr>
              <w:spacing w:after="0"/>
              <w:rPr>
                <w:sz w:val="7"/>
                <w:szCs w:val="7"/>
                <w:color w:val="auto"/>
              </w:rPr>
            </w:pPr>
          </w:p>
        </w:tc>
        <w:tc>
          <w:tcPr>
            <w:tcW w:w="2000" w:type="dxa"/>
            <w:vAlign w:val="bottom"/>
            <w:gridSpan w:val="2"/>
            <w:vMerge w:val="continue"/>
          </w:tcPr>
          <w:p>
            <w:pPr>
              <w:spacing w:after="0"/>
              <w:rPr>
                <w:sz w:val="7"/>
                <w:szCs w:val="7"/>
                <w:color w:val="auto"/>
              </w:rPr>
            </w:pPr>
          </w:p>
        </w:tc>
        <w:tc>
          <w:tcPr>
            <w:tcW w:w="202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Covered Year</w:t>
            </w:r>
          </w:p>
        </w:tc>
        <w:tc>
          <w:tcPr>
            <w:tcW w:w="19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2"/>
              </w:rPr>
              <w:t>Vesting Conditions During the</w:t>
            </w:r>
          </w:p>
        </w:tc>
        <w:tc>
          <w:tcPr>
            <w:tcW w:w="0" w:type="dxa"/>
            <w:vAlign w:val="bottom"/>
          </w:tcPr>
          <w:p>
            <w:pPr>
              <w:spacing w:after="0"/>
              <w:rPr>
                <w:sz w:val="1"/>
                <w:szCs w:val="1"/>
                <w:color w:val="auto"/>
              </w:rPr>
            </w:pPr>
          </w:p>
        </w:tc>
      </w:tr>
      <w:tr>
        <w:trPr>
          <w:trHeight w:val="68"/>
        </w:trPr>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900" w:type="dxa"/>
            <w:vAlign w:val="bottom"/>
            <w:vMerge w:val="restart"/>
          </w:tcPr>
          <w:p>
            <w:pPr>
              <w:jc w:val="center"/>
              <w:spacing w:after="0" w:line="139"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5"/>
                <w:szCs w:val="5"/>
                <w:color w:val="auto"/>
              </w:rPr>
            </w:pPr>
          </w:p>
        </w:tc>
        <w:tc>
          <w:tcPr>
            <w:tcW w:w="2000" w:type="dxa"/>
            <w:vAlign w:val="bottom"/>
            <w:gridSpan w:val="2"/>
            <w:vMerge w:val="restart"/>
          </w:tcPr>
          <w:p>
            <w:pPr>
              <w:jc w:val="center"/>
              <w:ind w:right="80"/>
              <w:spacing w:after="0" w:line="139" w:lineRule="exact"/>
              <w:rPr>
                <w:sz w:val="20"/>
                <w:szCs w:val="20"/>
                <w:color w:val="auto"/>
              </w:rPr>
            </w:pPr>
            <w:r>
              <w:rPr>
                <w:rFonts w:ascii="Arial" w:cs="Arial" w:eastAsia="Arial" w:hAnsi="Arial"/>
                <w:sz w:val="14"/>
                <w:szCs w:val="14"/>
                <w:b w:val="1"/>
                <w:bCs w:val="1"/>
                <w:color w:val="auto"/>
                <w:w w:val="93"/>
              </w:rPr>
              <w:t>of Covered Year</w:t>
            </w:r>
          </w:p>
        </w:tc>
        <w:tc>
          <w:tcPr>
            <w:tcW w:w="2020" w:type="dxa"/>
            <w:vAlign w:val="bottom"/>
            <w:gridSpan w:val="2"/>
            <w:vMerge w:val="continue"/>
          </w:tcPr>
          <w:p>
            <w:pPr>
              <w:spacing w:after="0"/>
              <w:rPr>
                <w:sz w:val="5"/>
                <w:szCs w:val="5"/>
                <w:color w:val="auto"/>
              </w:rPr>
            </w:pPr>
          </w:p>
        </w:tc>
        <w:tc>
          <w:tcPr>
            <w:tcW w:w="1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8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9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00" w:type="dxa"/>
            <w:vAlign w:val="bottom"/>
            <w:gridSpan w:val="2"/>
            <w:vMerge w:val="continue"/>
          </w:tcPr>
          <w:p>
            <w:pPr>
              <w:spacing w:after="0"/>
              <w:rPr>
                <w:sz w:val="6"/>
                <w:szCs w:val="6"/>
                <w:color w:val="auto"/>
              </w:rPr>
            </w:pPr>
          </w:p>
        </w:tc>
        <w:tc>
          <w:tcPr>
            <w:tcW w:w="19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6"/>
                <w:szCs w:val="6"/>
                <w:color w:val="auto"/>
              </w:rPr>
            </w:pPr>
          </w:p>
        </w:tc>
        <w:tc>
          <w:tcPr>
            <w:tcW w:w="19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3"/>
              </w:rPr>
              <w:t>Covered Year</w:t>
            </w:r>
          </w:p>
        </w:tc>
        <w:tc>
          <w:tcPr>
            <w:tcW w:w="0" w:type="dxa"/>
            <w:vAlign w:val="bottom"/>
          </w:tcPr>
          <w:p>
            <w:pPr>
              <w:spacing w:after="0"/>
              <w:rPr>
                <w:sz w:val="1"/>
                <w:szCs w:val="1"/>
                <w:color w:val="auto"/>
              </w:rPr>
            </w:pPr>
          </w:p>
        </w:tc>
      </w:tr>
      <w:tr>
        <w:trPr>
          <w:trHeight w:val="77"/>
        </w:trPr>
        <w:tc>
          <w:tcPr>
            <w:tcW w:w="8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w:t>
            </w:r>
          </w:p>
        </w:tc>
        <w:tc>
          <w:tcPr>
            <w:tcW w:w="80" w:type="dxa"/>
            <w:vAlign w:val="bottom"/>
          </w:tcPr>
          <w:p>
            <w:pPr>
              <w:spacing w:after="0"/>
              <w:rPr>
                <w:sz w:val="6"/>
                <w:szCs w:val="6"/>
                <w:color w:val="auto"/>
              </w:rPr>
            </w:pPr>
          </w:p>
        </w:tc>
        <w:tc>
          <w:tcPr>
            <w:tcW w:w="19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86"/>
        </w:trPr>
        <w:tc>
          <w:tcPr>
            <w:tcW w:w="84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90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92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9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9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2"/>
        </w:trPr>
        <w:tc>
          <w:tcPr>
            <w:tcW w:w="840" w:type="dxa"/>
            <w:vAlign w:val="bottom"/>
          </w:tcPr>
          <w:p>
            <w:pPr>
              <w:ind w:left="20"/>
              <w:spacing w:after="0"/>
              <w:rPr>
                <w:sz w:val="20"/>
                <w:szCs w:val="20"/>
                <w:color w:val="auto"/>
              </w:rPr>
            </w:pPr>
            <w:r>
              <w:rPr>
                <w:rFonts w:ascii="Arial" w:cs="Arial" w:eastAsia="Arial" w:hAnsi="Arial"/>
                <w:sz w:val="14"/>
                <w:szCs w:val="14"/>
                <w:color w:val="auto"/>
              </w:rPr>
              <w:t>2022</w:t>
            </w:r>
          </w:p>
        </w:tc>
        <w:tc>
          <w:tcPr>
            <w:tcW w:w="100" w:type="dxa"/>
            <w:vAlign w:val="bottom"/>
          </w:tcPr>
          <w:p>
            <w:pPr>
              <w:spacing w:after="0"/>
              <w:rPr>
                <w:sz w:val="15"/>
                <w:szCs w:val="15"/>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(3,875,000)</w:t>
            </w:r>
          </w:p>
        </w:tc>
        <w:tc>
          <w:tcPr>
            <w:tcW w:w="100" w:type="dxa"/>
            <w:vAlign w:val="bottom"/>
          </w:tcPr>
          <w:p>
            <w:pPr>
              <w:spacing w:after="0"/>
              <w:rPr>
                <w:sz w:val="15"/>
                <w:szCs w:val="15"/>
                <w:color w:val="auto"/>
              </w:rPr>
            </w:pPr>
          </w:p>
        </w:tc>
        <w:tc>
          <w:tcPr>
            <w:tcW w:w="1920" w:type="dxa"/>
            <w:vAlign w:val="bottom"/>
          </w:tcPr>
          <w:p>
            <w:pPr>
              <w:jc w:val="right"/>
              <w:spacing w:after="0"/>
              <w:rPr>
                <w:sz w:val="20"/>
                <w:szCs w:val="20"/>
                <w:color w:val="auto"/>
              </w:rPr>
            </w:pPr>
            <w:r>
              <w:rPr>
                <w:rFonts w:ascii="Arial" w:cs="Arial" w:eastAsia="Arial" w:hAnsi="Arial"/>
                <w:sz w:val="14"/>
                <w:szCs w:val="14"/>
                <w:color w:val="auto"/>
              </w:rPr>
              <w:t>(98,138)</w:t>
            </w:r>
          </w:p>
        </w:tc>
        <w:tc>
          <w:tcPr>
            <w:tcW w:w="80" w:type="dxa"/>
            <w:vAlign w:val="bottom"/>
          </w:tcPr>
          <w:p>
            <w:pPr>
              <w:spacing w:after="0"/>
              <w:rPr>
                <w:sz w:val="15"/>
                <w:szCs w:val="15"/>
                <w:color w:val="auto"/>
              </w:rPr>
            </w:pPr>
          </w:p>
        </w:tc>
        <w:tc>
          <w:tcPr>
            <w:tcW w:w="1920" w:type="dxa"/>
            <w:vAlign w:val="bottom"/>
          </w:tcPr>
          <w:p>
            <w:pPr>
              <w:jc w:val="right"/>
              <w:spacing w:after="0"/>
              <w:rPr>
                <w:sz w:val="20"/>
                <w:szCs w:val="20"/>
                <w:color w:val="auto"/>
              </w:rPr>
            </w:pPr>
            <w:r>
              <w:rPr>
                <w:rFonts w:ascii="Arial" w:cs="Arial" w:eastAsia="Arial" w:hAnsi="Arial"/>
                <w:sz w:val="14"/>
                <w:szCs w:val="14"/>
                <w:color w:val="auto"/>
              </w:rPr>
              <w:t>(56,682)</w:t>
            </w:r>
          </w:p>
        </w:tc>
        <w:tc>
          <w:tcPr>
            <w:tcW w:w="100" w:type="dxa"/>
            <w:vAlign w:val="bottom"/>
          </w:tcPr>
          <w:p>
            <w:pPr>
              <w:spacing w:after="0"/>
              <w:rPr>
                <w:sz w:val="15"/>
                <w:szCs w:val="15"/>
                <w:color w:val="auto"/>
              </w:rPr>
            </w:pPr>
          </w:p>
        </w:tc>
        <w:tc>
          <w:tcPr>
            <w:tcW w:w="1940" w:type="dxa"/>
            <w:vAlign w:val="bottom"/>
          </w:tcPr>
          <w:p>
            <w:pPr>
              <w:jc w:val="right"/>
              <w:spacing w:after="0"/>
              <w:rPr>
                <w:sz w:val="20"/>
                <w:szCs w:val="20"/>
                <w:color w:val="auto"/>
              </w:rPr>
            </w:pPr>
            <w:r>
              <w:rPr>
                <w:rFonts w:ascii="Arial" w:cs="Arial" w:eastAsia="Arial" w:hAnsi="Arial"/>
                <w:sz w:val="14"/>
                <w:szCs w:val="14"/>
                <w:color w:val="auto"/>
              </w:rPr>
              <w:t>(1,014,565)</w:t>
            </w:r>
          </w:p>
        </w:tc>
        <w:tc>
          <w:tcPr>
            <w:tcW w:w="0" w:type="dxa"/>
            <w:vAlign w:val="bottom"/>
          </w:tcPr>
          <w:p>
            <w:pPr>
              <w:spacing w:after="0"/>
              <w:rPr>
                <w:sz w:val="1"/>
                <w:szCs w:val="1"/>
                <w:color w:val="auto"/>
              </w:rPr>
            </w:pPr>
          </w:p>
        </w:tc>
      </w:tr>
      <w:tr>
        <w:trPr>
          <w:trHeight w:val="197"/>
        </w:trPr>
        <w:tc>
          <w:tcPr>
            <w:tcW w:w="840" w:type="dxa"/>
            <w:vAlign w:val="bottom"/>
          </w:tcPr>
          <w:p>
            <w:pPr>
              <w:ind w:left="20"/>
              <w:spacing w:after="0"/>
              <w:rPr>
                <w:sz w:val="20"/>
                <w:szCs w:val="20"/>
                <w:color w:val="auto"/>
              </w:rPr>
            </w:pPr>
            <w:r>
              <w:rPr>
                <w:rFonts w:ascii="Arial" w:cs="Arial" w:eastAsia="Arial" w:hAnsi="Arial"/>
                <w:sz w:val="14"/>
                <w:szCs w:val="14"/>
                <w:color w:val="auto"/>
              </w:rPr>
              <w:t>2021</w:t>
            </w:r>
          </w:p>
        </w:tc>
        <w:tc>
          <w:tcPr>
            <w:tcW w:w="100" w:type="dxa"/>
            <w:vAlign w:val="bottom"/>
          </w:tcPr>
          <w:p>
            <w:pPr>
              <w:spacing w:after="0"/>
              <w:rPr>
                <w:sz w:val="17"/>
                <w:szCs w:val="17"/>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(3,487,508)</w:t>
            </w:r>
          </w:p>
        </w:tc>
        <w:tc>
          <w:tcPr>
            <w:tcW w:w="100" w:type="dxa"/>
            <w:vAlign w:val="bottom"/>
          </w:tcPr>
          <w:p>
            <w:pPr>
              <w:spacing w:after="0"/>
              <w:rPr>
                <w:sz w:val="17"/>
                <w:szCs w:val="17"/>
                <w:color w:val="auto"/>
              </w:rPr>
            </w:pPr>
          </w:p>
        </w:tc>
        <w:tc>
          <w:tcPr>
            <w:tcW w:w="1920" w:type="dxa"/>
            <w:vAlign w:val="bottom"/>
          </w:tcPr>
          <w:p>
            <w:pPr>
              <w:jc w:val="right"/>
              <w:spacing w:after="0"/>
              <w:rPr>
                <w:sz w:val="20"/>
                <w:szCs w:val="20"/>
                <w:color w:val="auto"/>
              </w:rPr>
            </w:pPr>
            <w:r>
              <w:rPr>
                <w:rFonts w:ascii="Arial" w:cs="Arial" w:eastAsia="Arial" w:hAnsi="Arial"/>
                <w:sz w:val="14"/>
                <w:szCs w:val="14"/>
                <w:color w:val="auto"/>
              </w:rPr>
              <w:t>(843,332)</w:t>
            </w:r>
          </w:p>
        </w:tc>
        <w:tc>
          <w:tcPr>
            <w:tcW w:w="80" w:type="dxa"/>
            <w:vAlign w:val="bottom"/>
          </w:tcPr>
          <w:p>
            <w:pPr>
              <w:spacing w:after="0"/>
              <w:rPr>
                <w:sz w:val="17"/>
                <w:szCs w:val="17"/>
                <w:color w:val="auto"/>
              </w:rPr>
            </w:pPr>
          </w:p>
        </w:tc>
        <w:tc>
          <w:tcPr>
            <w:tcW w:w="1920" w:type="dxa"/>
            <w:vAlign w:val="bottom"/>
          </w:tcPr>
          <w:p>
            <w:pPr>
              <w:jc w:val="right"/>
              <w:spacing w:after="0"/>
              <w:rPr>
                <w:sz w:val="20"/>
                <w:szCs w:val="20"/>
                <w:color w:val="auto"/>
              </w:rPr>
            </w:pPr>
            <w:r>
              <w:rPr>
                <w:rFonts w:ascii="Arial" w:cs="Arial" w:eastAsia="Arial" w:hAnsi="Arial"/>
                <w:sz w:val="14"/>
                <w:szCs w:val="14"/>
                <w:color w:val="auto"/>
              </w:rPr>
              <w:t>(31,832)</w:t>
            </w:r>
          </w:p>
        </w:tc>
        <w:tc>
          <w:tcPr>
            <w:tcW w:w="100" w:type="dxa"/>
            <w:vAlign w:val="bottom"/>
          </w:tcPr>
          <w:p>
            <w:pPr>
              <w:spacing w:after="0"/>
              <w:rPr>
                <w:sz w:val="17"/>
                <w:szCs w:val="17"/>
                <w:color w:val="auto"/>
              </w:rPr>
            </w:pPr>
          </w:p>
        </w:tc>
        <w:tc>
          <w:tcPr>
            <w:tcW w:w="19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840" w:type="dxa"/>
            <w:vAlign w:val="bottom"/>
          </w:tcPr>
          <w:p>
            <w:pPr>
              <w:ind w:left="20"/>
              <w:spacing w:after="0"/>
              <w:rPr>
                <w:sz w:val="20"/>
                <w:szCs w:val="20"/>
                <w:color w:val="auto"/>
              </w:rPr>
            </w:pPr>
            <w:r>
              <w:rPr>
                <w:rFonts w:ascii="Arial" w:cs="Arial" w:eastAsia="Arial" w:hAnsi="Arial"/>
                <w:sz w:val="14"/>
                <w:szCs w:val="14"/>
                <w:color w:val="auto"/>
              </w:rPr>
              <w:t>2020</w:t>
            </w:r>
          </w:p>
        </w:tc>
        <w:tc>
          <w:tcPr>
            <w:tcW w:w="100" w:type="dxa"/>
            <w:vAlign w:val="bottom"/>
          </w:tcPr>
          <w:p>
            <w:pPr>
              <w:spacing w:after="0"/>
              <w:rPr>
                <w:sz w:val="17"/>
                <w:szCs w:val="17"/>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(3,488,004)</w:t>
            </w:r>
          </w:p>
        </w:tc>
        <w:tc>
          <w:tcPr>
            <w:tcW w:w="100" w:type="dxa"/>
            <w:vAlign w:val="bottom"/>
          </w:tcPr>
          <w:p>
            <w:pPr>
              <w:spacing w:after="0"/>
              <w:rPr>
                <w:sz w:val="17"/>
                <w:szCs w:val="17"/>
                <w:color w:val="auto"/>
              </w:rPr>
            </w:pPr>
          </w:p>
        </w:tc>
        <w:tc>
          <w:tcPr>
            <w:tcW w:w="20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9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6926580" cy="1289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2658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-377190</wp:posOffset>
            </wp:positionV>
            <wp:extent cx="6926580" cy="1371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2658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40"/>
        <w:spacing w:after="0"/>
        <w:rPr>
          <w:sz w:val="20"/>
          <w:szCs w:val="20"/>
          <w:color w:val="auto"/>
        </w:rPr>
      </w:pPr>
      <w:r>
        <w:rPr>
          <w:rFonts w:ascii="Arial" w:cs="Arial" w:eastAsia="Arial" w:hAnsi="Arial"/>
          <w:sz w:val="14"/>
          <w:szCs w:val="14"/>
          <w:b w:val="1"/>
          <w:bCs w:val="1"/>
          <w:u w:val="single" w:color="auto"/>
          <w:color w:val="auto"/>
        </w:rPr>
        <w:t>Deductions</w:t>
      </w:r>
    </w:p>
    <w:p>
      <w:pPr>
        <w:spacing w:after="0" w:line="206" w:lineRule="auto"/>
        <w:rPr>
          <w:sz w:val="20"/>
          <w:szCs w:val="20"/>
          <w:color w:val="auto"/>
        </w:rPr>
      </w:pPr>
      <w:r>
        <w:rPr>
          <w:rFonts w:ascii="Arial" w:cs="Arial" w:eastAsia="Arial" w:hAnsi="Arial"/>
          <w:sz w:val="14"/>
          <w:szCs w:val="14"/>
          <w:b w:val="1"/>
          <w:bCs w:val="1"/>
          <w:color w:val="auto"/>
        </w:rPr>
        <w:t>from SCT Total</w:t>
      </w:r>
    </w:p>
    <w:p>
      <w:pPr>
        <w:ind w:left="400"/>
        <w:spacing w:after="0"/>
        <w:rPr>
          <w:sz w:val="20"/>
          <w:szCs w:val="20"/>
          <w:color w:val="auto"/>
        </w:rPr>
      </w:pPr>
      <w:r>
        <w:rPr>
          <w:rFonts w:ascii="Arial" w:cs="Arial" w:eastAsia="Arial" w:hAnsi="Arial"/>
          <w:sz w:val="14"/>
          <w:szCs w:val="14"/>
          <w:b w:val="1"/>
          <w:bCs w:val="1"/>
          <w:color w:val="auto"/>
        </w:rPr>
        <w:t>($)</w:t>
      </w:r>
    </w:p>
    <w:p>
      <w:pPr>
        <w:spacing w:after="0" w:line="259" w:lineRule="exact"/>
        <w:rPr>
          <w:sz w:val="20"/>
          <w:szCs w:val="20"/>
          <w:color w:val="auto"/>
        </w:rPr>
      </w:pPr>
    </w:p>
    <w:p>
      <w:pPr>
        <w:jc w:val="right"/>
        <w:ind w:right="340"/>
        <w:spacing w:after="0"/>
        <w:rPr>
          <w:sz w:val="20"/>
          <w:szCs w:val="20"/>
          <w:color w:val="auto"/>
        </w:rPr>
      </w:pPr>
      <w:r>
        <w:rPr>
          <w:rFonts w:ascii="Arial" w:cs="Arial" w:eastAsia="Arial" w:hAnsi="Arial"/>
          <w:sz w:val="14"/>
          <w:szCs w:val="14"/>
          <w:color w:val="auto"/>
        </w:rPr>
        <w:t>(5,044,385)</w:t>
      </w:r>
    </w:p>
    <w:p>
      <w:pPr>
        <w:spacing w:after="0" w:line="42" w:lineRule="exact"/>
        <w:rPr>
          <w:sz w:val="20"/>
          <w:szCs w:val="20"/>
          <w:color w:val="auto"/>
        </w:rPr>
      </w:pPr>
    </w:p>
    <w:p>
      <w:pPr>
        <w:jc w:val="right"/>
        <w:ind w:right="340"/>
        <w:spacing w:after="0"/>
        <w:rPr>
          <w:sz w:val="20"/>
          <w:szCs w:val="20"/>
          <w:color w:val="auto"/>
        </w:rPr>
      </w:pPr>
      <w:r>
        <w:rPr>
          <w:rFonts w:ascii="Arial" w:cs="Arial" w:eastAsia="Arial" w:hAnsi="Arial"/>
          <w:sz w:val="14"/>
          <w:szCs w:val="14"/>
          <w:color w:val="auto"/>
        </w:rPr>
        <w:t>(4,362,672)</w:t>
      </w:r>
    </w:p>
    <w:p>
      <w:pPr>
        <w:spacing w:after="0" w:line="42" w:lineRule="exact"/>
        <w:rPr>
          <w:sz w:val="20"/>
          <w:szCs w:val="20"/>
          <w:color w:val="auto"/>
        </w:rPr>
      </w:pPr>
    </w:p>
    <w:p>
      <w:pPr>
        <w:jc w:val="right"/>
        <w:ind w:right="340"/>
        <w:spacing w:after="0"/>
        <w:rPr>
          <w:sz w:val="20"/>
          <w:szCs w:val="20"/>
          <w:color w:val="auto"/>
        </w:rPr>
      </w:pPr>
      <w:r>
        <w:rPr>
          <w:rFonts w:ascii="Arial" w:cs="Arial" w:eastAsia="Arial" w:hAnsi="Arial"/>
          <w:sz w:val="14"/>
          <w:szCs w:val="14"/>
          <w:color w:val="auto"/>
        </w:rPr>
        <w:t>(3,488,004)</w:t>
      </w:r>
    </w:p>
    <w:p>
      <w:pPr>
        <w:spacing w:after="0" w:line="221" w:lineRule="exact"/>
        <w:rPr>
          <w:sz w:val="20"/>
          <w:szCs w:val="20"/>
          <w:color w:val="auto"/>
        </w:rPr>
      </w:pPr>
    </w:p>
    <w:p>
      <w:pPr>
        <w:sectPr>
          <w:pgSz w:w="11900" w:h="16838" w:orient="portrait"/>
          <w:cols w:equalWidth="0" w:num="2">
            <w:col w:w="8900" w:space="560"/>
            <w:col w:w="1780"/>
          </w:cols>
          <w:pgMar w:left="320" w:top="126" w:right="339" w:bottom="1440" w:gutter="0" w:footer="0" w:header="0"/>
          <w:type w:val="continuous"/>
        </w:sectPr>
      </w:pPr>
    </w:p>
    <w:p>
      <w:pPr>
        <w:spacing w:after="0" w:line="261" w:lineRule="exact"/>
        <w:rPr>
          <w:sz w:val="20"/>
          <w:szCs w:val="20"/>
          <w:color w:val="auto"/>
        </w:rPr>
      </w:pPr>
    </w:p>
    <w:p>
      <w:pPr>
        <w:ind w:left="360" w:hanging="352"/>
        <w:spacing w:after="0"/>
        <w:tabs>
          <w:tab w:leader="none" w:pos="3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Represents the following for each year:</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Year</w:t>
            </w:r>
          </w:p>
        </w:tc>
        <w:tc>
          <w:tcPr>
            <w:tcW w:w="3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Fair Value of Covered Year Equity Awards at</w:t>
            </w:r>
          </w:p>
        </w:tc>
        <w:tc>
          <w:tcPr>
            <w:tcW w:w="134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Additions</w:t>
            </w: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4260" w:type="dxa"/>
            <w:vAlign w:val="bottom"/>
            <w:gridSpan w:val="2"/>
            <w:vMerge w:val="continue"/>
          </w:tcPr>
          <w:p>
            <w:pPr>
              <w:spacing w:after="0"/>
              <w:rPr>
                <w:sz w:val="10"/>
                <w:szCs w:val="10"/>
                <w:color w:val="auto"/>
              </w:rPr>
            </w:pPr>
          </w:p>
        </w:tc>
        <w:tc>
          <w:tcPr>
            <w:tcW w:w="3380" w:type="dxa"/>
            <w:vAlign w:val="bottom"/>
            <w:gridSpan w:val="2"/>
          </w:tcPr>
          <w:p>
            <w:pPr>
              <w:jc w:val="center"/>
              <w:ind w:right="100"/>
              <w:spacing w:after="0" w:line="115" w:lineRule="exact"/>
              <w:rPr>
                <w:sz w:val="20"/>
                <w:szCs w:val="20"/>
                <w:color w:val="auto"/>
              </w:rPr>
            </w:pPr>
            <w:r>
              <w:rPr>
                <w:rFonts w:ascii="Arial" w:cs="Arial" w:eastAsia="Arial" w:hAnsi="Arial"/>
                <w:sz w:val="13"/>
                <w:szCs w:val="13"/>
                <w:b w:val="1"/>
                <w:bCs w:val="1"/>
                <w:color w:val="auto"/>
                <w:w w:val="99"/>
              </w:rPr>
              <w:t>Covered Year End</w:t>
            </w:r>
          </w:p>
        </w:tc>
        <w:tc>
          <w:tcPr>
            <w:tcW w:w="1340" w:type="dxa"/>
            <w:vAlign w:val="bottom"/>
          </w:tcPr>
          <w:p>
            <w:pPr>
              <w:ind w:left="1240"/>
              <w:spacing w:after="0" w:line="115" w:lineRule="exact"/>
              <w:rPr>
                <w:sz w:val="20"/>
                <w:szCs w:val="20"/>
                <w:color w:val="auto"/>
              </w:rPr>
            </w:pPr>
            <w:r>
              <w:rPr>
                <w:rFonts w:ascii="Arial" w:cs="Arial" w:eastAsia="Arial" w:hAnsi="Arial"/>
                <w:sz w:val="12"/>
                <w:szCs w:val="12"/>
                <w:b w:val="1"/>
                <w:bCs w:val="1"/>
                <w:color w:val="auto"/>
                <w:w w:val="70"/>
              </w:rPr>
              <w:t>to</w:t>
            </w:r>
          </w:p>
        </w:tc>
        <w:tc>
          <w:tcPr>
            <w:tcW w:w="1940" w:type="dxa"/>
            <w:vAlign w:val="bottom"/>
            <w:gridSpan w:val="2"/>
          </w:tcPr>
          <w:p>
            <w:pPr>
              <w:jc w:val="right"/>
              <w:ind w:right="1260"/>
              <w:spacing w:after="0" w:line="115" w:lineRule="exact"/>
              <w:rPr>
                <w:sz w:val="20"/>
                <w:szCs w:val="20"/>
                <w:color w:val="auto"/>
              </w:rPr>
            </w:pPr>
            <w:r>
              <w:rPr>
                <w:rFonts w:ascii="Arial" w:cs="Arial" w:eastAsia="Arial" w:hAnsi="Arial"/>
                <w:sz w:val="13"/>
                <w:szCs w:val="13"/>
                <w:b w:val="1"/>
                <w:bCs w:val="1"/>
                <w:color w:val="auto"/>
              </w:rPr>
              <w:t>SCT Total</w:t>
            </w:r>
          </w:p>
        </w:tc>
        <w:tc>
          <w:tcPr>
            <w:tcW w:w="0" w:type="dxa"/>
            <w:vAlign w:val="bottom"/>
          </w:tcPr>
          <w:p>
            <w:pPr>
              <w:spacing w:after="0"/>
              <w:rPr>
                <w:sz w:val="1"/>
                <w:szCs w:val="1"/>
                <w:color w:val="auto"/>
              </w:rPr>
            </w:pPr>
          </w:p>
        </w:tc>
      </w:tr>
      <w:tr>
        <w:trPr>
          <w:trHeight w:val="196"/>
        </w:trPr>
        <w:tc>
          <w:tcPr>
            <w:tcW w:w="41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00" w:type="dxa"/>
            <w:vAlign w:val="bottom"/>
            <w:tcBorders>
              <w:bottom w:val="single" w:sz="8" w:color="CCEEFF"/>
            </w:tcBorders>
          </w:tcPr>
          <w:p>
            <w:pPr>
              <w:spacing w:after="0"/>
              <w:rPr>
                <w:sz w:val="17"/>
                <w:szCs w:val="17"/>
                <w:color w:val="auto"/>
              </w:rPr>
            </w:pPr>
          </w:p>
        </w:tc>
        <w:tc>
          <w:tcPr>
            <w:tcW w:w="1940" w:type="dxa"/>
            <w:vAlign w:val="bottom"/>
            <w:tcBorders>
              <w:bottom w:val="single" w:sz="8" w:color="auto"/>
            </w:tcBorders>
            <w:gridSpan w:val="2"/>
          </w:tcPr>
          <w:p>
            <w:pPr>
              <w:jc w:val="right"/>
              <w:ind w:right="151"/>
              <w:spacing w:after="0"/>
              <w:rPr>
                <w:sz w:val="20"/>
                <w:szCs w:val="20"/>
                <w:color w:val="auto"/>
              </w:rPr>
            </w:pPr>
            <w:r>
              <w:rPr>
                <w:rFonts w:ascii="Arial" w:cs="Arial" w:eastAsia="Arial" w:hAnsi="Arial"/>
                <w:sz w:val="14"/>
                <w:szCs w:val="14"/>
                <w:b w:val="1"/>
                <w:bCs w:val="1"/>
                <w:color w:val="auto"/>
              </w:rPr>
              <w:t>($)</w:t>
            </w:r>
          </w:p>
        </w:tc>
        <w:tc>
          <w:tcPr>
            <w:tcW w:w="13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2022</w:t>
            </w:r>
          </w:p>
        </w:tc>
        <w:tc>
          <w:tcPr>
            <w:tcW w:w="100" w:type="dxa"/>
            <w:vAlign w:val="bottom"/>
            <w:tcBorders>
              <w:bottom w:val="single" w:sz="8" w:color="CCEEFF"/>
            </w:tcBorders>
            <w:shd w:val="clear" w:color="auto" w:fill="CCEEFF"/>
          </w:tcPr>
          <w:p>
            <w:pPr>
              <w:spacing w:after="0"/>
              <w:rPr>
                <w:sz w:val="15"/>
                <w:szCs w:val="15"/>
                <w:color w:val="auto"/>
              </w:rPr>
            </w:pPr>
          </w:p>
        </w:tc>
        <w:tc>
          <w:tcPr>
            <w:tcW w:w="3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1,931,701</w:t>
            </w:r>
          </w:p>
        </w:tc>
        <w:tc>
          <w:tcPr>
            <w:tcW w:w="100" w:type="dxa"/>
            <w:vAlign w:val="bottom"/>
            <w:tcBorders>
              <w:bottom w:val="single" w:sz="8" w:color="CCEEFF"/>
            </w:tcBorders>
            <w:shd w:val="clear" w:color="auto" w:fill="CCEEFF"/>
          </w:tcPr>
          <w:p>
            <w:pPr>
              <w:spacing w:after="0"/>
              <w:rPr>
                <w:sz w:val="15"/>
                <w:szCs w:val="15"/>
                <w:color w:val="auto"/>
              </w:rPr>
            </w:pPr>
          </w:p>
        </w:tc>
        <w:tc>
          <w:tcPr>
            <w:tcW w:w="32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1,931,701</w:t>
            </w:r>
          </w:p>
        </w:tc>
        <w:tc>
          <w:tcPr>
            <w:tcW w:w="0" w:type="dxa"/>
            <w:vAlign w:val="bottom"/>
          </w:tcPr>
          <w:p>
            <w:pPr>
              <w:spacing w:after="0"/>
              <w:rPr>
                <w:sz w:val="1"/>
                <w:szCs w:val="1"/>
                <w:color w:val="auto"/>
              </w:rPr>
            </w:pPr>
          </w:p>
        </w:tc>
      </w:tr>
      <w:tr>
        <w:trPr>
          <w:trHeight w:val="182"/>
        </w:trPr>
        <w:tc>
          <w:tcPr>
            <w:tcW w:w="4160" w:type="dxa"/>
            <w:vAlign w:val="bottom"/>
          </w:tcPr>
          <w:p>
            <w:pPr>
              <w:ind w:left="20"/>
              <w:spacing w:after="0"/>
              <w:rPr>
                <w:sz w:val="20"/>
                <w:szCs w:val="20"/>
                <w:color w:val="auto"/>
              </w:rPr>
            </w:pPr>
            <w:r>
              <w:rPr>
                <w:rFonts w:ascii="Arial" w:cs="Arial" w:eastAsia="Arial" w:hAnsi="Arial"/>
                <w:sz w:val="14"/>
                <w:szCs w:val="14"/>
                <w:color w:val="auto"/>
              </w:rPr>
              <w:t>2021</w:t>
            </w:r>
          </w:p>
        </w:tc>
        <w:tc>
          <w:tcPr>
            <w:tcW w:w="100" w:type="dxa"/>
            <w:vAlign w:val="bottom"/>
          </w:tcPr>
          <w:p>
            <w:pPr>
              <w:spacing w:after="0"/>
              <w:rPr>
                <w:sz w:val="15"/>
                <w:szCs w:val="15"/>
                <w:color w:val="auto"/>
              </w:rPr>
            </w:pPr>
          </w:p>
        </w:tc>
        <w:tc>
          <w:tcPr>
            <w:tcW w:w="3280" w:type="dxa"/>
            <w:vAlign w:val="bottom"/>
          </w:tcPr>
          <w:p>
            <w:pPr>
              <w:jc w:val="right"/>
              <w:spacing w:after="0"/>
              <w:rPr>
                <w:sz w:val="20"/>
                <w:szCs w:val="20"/>
                <w:color w:val="auto"/>
              </w:rPr>
            </w:pPr>
            <w:r>
              <w:rPr>
                <w:rFonts w:ascii="Arial" w:cs="Arial" w:eastAsia="Arial" w:hAnsi="Arial"/>
                <w:sz w:val="14"/>
                <w:szCs w:val="14"/>
                <w:color w:val="auto"/>
              </w:rPr>
              <w:t>1,811,843</w:t>
            </w:r>
          </w:p>
        </w:tc>
        <w:tc>
          <w:tcPr>
            <w:tcW w:w="100" w:type="dxa"/>
            <w:vAlign w:val="bottom"/>
          </w:tcPr>
          <w:p>
            <w:pPr>
              <w:spacing w:after="0"/>
              <w:rPr>
                <w:sz w:val="15"/>
                <w:szCs w:val="15"/>
                <w:color w:val="auto"/>
              </w:rPr>
            </w:pPr>
          </w:p>
        </w:tc>
        <w:tc>
          <w:tcPr>
            <w:tcW w:w="3280" w:type="dxa"/>
            <w:vAlign w:val="bottom"/>
            <w:gridSpan w:val="3"/>
          </w:tcPr>
          <w:p>
            <w:pPr>
              <w:jc w:val="right"/>
              <w:ind w:right="20"/>
              <w:spacing w:after="0"/>
              <w:rPr>
                <w:sz w:val="20"/>
                <w:szCs w:val="20"/>
                <w:color w:val="auto"/>
              </w:rPr>
            </w:pPr>
            <w:r>
              <w:rPr>
                <w:rFonts w:ascii="Arial" w:cs="Arial" w:eastAsia="Arial" w:hAnsi="Arial"/>
                <w:sz w:val="14"/>
                <w:szCs w:val="14"/>
                <w:color w:val="auto"/>
              </w:rPr>
              <w:t>1,811,843</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2020</w:t>
            </w:r>
          </w:p>
        </w:tc>
        <w:tc>
          <w:tcPr>
            <w:tcW w:w="100" w:type="dxa"/>
            <w:vAlign w:val="bottom"/>
            <w:shd w:val="clear" w:color="auto" w:fill="CCEEFF"/>
          </w:tcPr>
          <w:p>
            <w:pPr>
              <w:spacing w:after="0"/>
              <w:rPr>
                <w:sz w:val="15"/>
                <w:szCs w:val="15"/>
                <w:color w:val="auto"/>
              </w:rPr>
            </w:pPr>
          </w:p>
        </w:tc>
        <w:tc>
          <w:tcPr>
            <w:tcW w:w="3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4,702,702</w:t>
            </w:r>
          </w:p>
        </w:tc>
        <w:tc>
          <w:tcPr>
            <w:tcW w:w="100" w:type="dxa"/>
            <w:vAlign w:val="bottom"/>
            <w:shd w:val="clear" w:color="auto" w:fill="CCEEFF"/>
          </w:tcPr>
          <w:p>
            <w:pPr>
              <w:spacing w:after="0"/>
              <w:rPr>
                <w:sz w:val="15"/>
                <w:szCs w:val="15"/>
                <w:color w:val="auto"/>
              </w:rPr>
            </w:pPr>
          </w:p>
        </w:tc>
        <w:tc>
          <w:tcPr>
            <w:tcW w:w="328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4,702,702</w:t>
            </w:r>
          </w:p>
        </w:tc>
        <w:tc>
          <w:tcPr>
            <w:tcW w:w="0" w:type="dxa"/>
            <w:vAlign w:val="bottom"/>
          </w:tcPr>
          <w:p>
            <w:pPr>
              <w:spacing w:after="0"/>
              <w:rPr>
                <w:sz w:val="1"/>
                <w:szCs w:val="1"/>
                <w:color w:val="auto"/>
              </w:rPr>
            </w:pPr>
          </w:p>
        </w:tc>
      </w:tr>
      <w:tr>
        <w:trPr>
          <w:trHeight w:val="20"/>
        </w:trPr>
        <w:tc>
          <w:tcPr>
            <w:tcW w:w="4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51" w:name="page52"/>
    <w:bookmarkEnd w:id="51"/>
    <w:p>
      <w:pPr>
        <w:spacing w:after="0"/>
        <w:rPr>
          <w:sz w:val="20"/>
          <w:szCs w:val="20"/>
          <w:color w:val="auto"/>
        </w:rPr>
      </w:pPr>
      <w:r>
        <w:rPr>
          <w:rFonts w:ascii="Arial" w:cs="Arial" w:eastAsia="Arial" w:hAnsi="Arial"/>
          <w:sz w:val="18"/>
          <w:szCs w:val="18"/>
          <w:u w:val="single" w:color="auto"/>
          <w:color w:val="4F81B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Average Non-PEO NEO SCT Total to CAP Reconciliation</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Year</w:t>
            </w:r>
          </w:p>
        </w:tc>
        <w:tc>
          <w:tcPr>
            <w:tcW w:w="1680" w:type="dxa"/>
            <w:vAlign w:val="bottom"/>
            <w:vMerge w:val="restart"/>
          </w:tcPr>
          <w:p>
            <w:pPr>
              <w:jc w:val="center"/>
              <w:ind w:left="668"/>
              <w:spacing w:after="0"/>
              <w:rPr>
                <w:sz w:val="20"/>
                <w:szCs w:val="20"/>
                <w:color w:val="auto"/>
              </w:rPr>
            </w:pPr>
            <w:r>
              <w:rPr>
                <w:rFonts w:ascii="Arial" w:cs="Arial" w:eastAsia="Arial" w:hAnsi="Arial"/>
                <w:sz w:val="14"/>
                <w:szCs w:val="14"/>
                <w:b w:val="1"/>
                <w:bCs w:val="1"/>
                <w:color w:val="auto"/>
                <w:w w:val="94"/>
              </w:rPr>
              <w:t>SCT Total</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Deductions</w:t>
            </w:r>
          </w:p>
        </w:tc>
        <w:tc>
          <w:tcPr>
            <w:tcW w:w="960" w:type="dxa"/>
            <w:vAlign w:val="bottom"/>
            <w:gridSpan w:val="2"/>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Additions</w:t>
            </w:r>
          </w:p>
        </w:tc>
        <w:tc>
          <w:tcPr>
            <w:tcW w:w="1000" w:type="dxa"/>
            <w:vAlign w:val="bottom"/>
            <w:gridSpan w:val="2"/>
          </w:tcPr>
          <w:p>
            <w:pPr>
              <w:spacing w:after="0"/>
              <w:rPr>
                <w:sz w:val="14"/>
                <w:szCs w:val="14"/>
                <w:color w:val="auto"/>
              </w:rPr>
            </w:pPr>
          </w:p>
        </w:tc>
        <w:tc>
          <w:tcPr>
            <w:tcW w:w="2440" w:type="dxa"/>
            <w:vAlign w:val="bottom"/>
            <w:vMerge w:val="restart"/>
          </w:tcPr>
          <w:p>
            <w:pPr>
              <w:jc w:val="right"/>
              <w:ind w:right="1008"/>
              <w:spacing w:after="0"/>
              <w:rPr>
                <w:sz w:val="20"/>
                <w:szCs w:val="20"/>
                <w:color w:val="auto"/>
              </w:rPr>
            </w:pPr>
            <w:r>
              <w:rPr>
                <w:rFonts w:ascii="Arial" w:cs="Arial" w:eastAsia="Arial" w:hAnsi="Arial"/>
                <w:sz w:val="14"/>
                <w:szCs w:val="14"/>
                <w:b w:val="1"/>
                <w:bCs w:val="1"/>
                <w:color w:val="auto"/>
              </w:rPr>
              <w:t>CAP</w:t>
            </w:r>
          </w:p>
        </w:tc>
        <w:tc>
          <w:tcPr>
            <w:tcW w:w="0" w:type="dxa"/>
            <w:vAlign w:val="bottom"/>
          </w:tcPr>
          <w:p>
            <w:pPr>
              <w:spacing w:after="0"/>
              <w:rPr>
                <w:sz w:val="1"/>
                <w:szCs w:val="1"/>
                <w:color w:val="auto"/>
              </w:rPr>
            </w:pPr>
          </w:p>
        </w:tc>
      </w:tr>
      <w:tr>
        <w:trPr>
          <w:trHeight w:val="38"/>
        </w:trPr>
        <w:tc>
          <w:tcPr>
            <w:tcW w:w="920" w:type="dxa"/>
            <w:vAlign w:val="bottom"/>
            <w:gridSpan w:val="2"/>
            <w:vMerge w:val="continue"/>
          </w:tcPr>
          <w:p>
            <w:pPr>
              <w:spacing w:after="0"/>
              <w:rPr>
                <w:sz w:val="3"/>
                <w:szCs w:val="3"/>
                <w:color w:val="auto"/>
              </w:rPr>
            </w:pPr>
          </w:p>
        </w:tc>
        <w:tc>
          <w:tcPr>
            <w:tcW w:w="168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520" w:type="dxa"/>
            <w:vAlign w:val="bottom"/>
            <w:gridSpan w:val="4"/>
            <w:vMerge w:val="restart"/>
          </w:tcPr>
          <w:p>
            <w:pPr>
              <w:jc w:val="center"/>
              <w:ind w:right="100"/>
              <w:spacing w:after="0" w:line="116" w:lineRule="exact"/>
              <w:rPr>
                <w:sz w:val="20"/>
                <w:szCs w:val="20"/>
                <w:color w:val="auto"/>
              </w:rPr>
            </w:pPr>
            <w:r>
              <w:rPr>
                <w:rFonts w:ascii="Arial" w:cs="Arial" w:eastAsia="Arial" w:hAnsi="Arial"/>
                <w:sz w:val="13"/>
                <w:szCs w:val="13"/>
                <w:b w:val="1"/>
                <w:bCs w:val="1"/>
                <w:color w:val="auto"/>
              </w:rPr>
              <w:t>from SCT Total</w:t>
            </w:r>
          </w:p>
        </w:tc>
        <w:tc>
          <w:tcPr>
            <w:tcW w:w="2520" w:type="dxa"/>
            <w:vAlign w:val="bottom"/>
            <w:gridSpan w:val="4"/>
            <w:vMerge w:val="restart"/>
          </w:tcPr>
          <w:p>
            <w:pPr>
              <w:jc w:val="center"/>
              <w:ind w:right="100"/>
              <w:spacing w:after="0" w:line="116" w:lineRule="exact"/>
              <w:rPr>
                <w:sz w:val="20"/>
                <w:szCs w:val="20"/>
                <w:color w:val="auto"/>
              </w:rPr>
            </w:pPr>
            <w:r>
              <w:rPr>
                <w:rFonts w:ascii="Arial" w:cs="Arial" w:eastAsia="Arial" w:hAnsi="Arial"/>
                <w:sz w:val="13"/>
                <w:szCs w:val="13"/>
                <w:b w:val="1"/>
                <w:bCs w:val="1"/>
                <w:color w:val="auto"/>
              </w:rPr>
              <w:t>to SCT Total</w:t>
            </w:r>
          </w:p>
        </w:tc>
        <w:tc>
          <w:tcPr>
            <w:tcW w:w="24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78"/>
        </w:trPr>
        <w:tc>
          <w:tcPr>
            <w:tcW w:w="920" w:type="dxa"/>
            <w:vAlign w:val="bottom"/>
            <w:gridSpan w:val="2"/>
            <w:vMerge w:val="continue"/>
          </w:tcPr>
          <w:p>
            <w:pPr>
              <w:spacing w:after="0"/>
              <w:rPr>
                <w:sz w:val="6"/>
                <w:szCs w:val="6"/>
                <w:color w:val="auto"/>
              </w:rPr>
            </w:pPr>
          </w:p>
        </w:tc>
        <w:tc>
          <w:tcPr>
            <w:tcW w:w="168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520" w:type="dxa"/>
            <w:vAlign w:val="bottom"/>
            <w:gridSpan w:val="4"/>
            <w:vMerge w:val="continue"/>
          </w:tcPr>
          <w:p>
            <w:pPr>
              <w:spacing w:after="0"/>
              <w:rPr>
                <w:sz w:val="6"/>
                <w:szCs w:val="6"/>
                <w:color w:val="auto"/>
              </w:rPr>
            </w:pPr>
          </w:p>
        </w:tc>
        <w:tc>
          <w:tcPr>
            <w:tcW w:w="2520" w:type="dxa"/>
            <w:vAlign w:val="bottom"/>
            <w:gridSpan w:val="4"/>
            <w:vMerge w:val="continue"/>
          </w:tcPr>
          <w:p>
            <w:pPr>
              <w:spacing w:after="0"/>
              <w:rPr>
                <w:sz w:val="6"/>
                <w:szCs w:val="6"/>
                <w:color w:val="auto"/>
              </w:rPr>
            </w:pPr>
          </w:p>
        </w:tc>
        <w:tc>
          <w:tcPr>
            <w:tcW w:w="2440" w:type="dxa"/>
            <w:vAlign w:val="bottom"/>
            <w:vMerge w:val="restart"/>
          </w:tcPr>
          <w:p>
            <w:pPr>
              <w:jc w:val="right"/>
              <w:ind w:right="106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1"/>
        </w:trPr>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80" w:type="dxa"/>
            <w:vAlign w:val="bottom"/>
            <w:vMerge w:val="continue"/>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60" w:type="dxa"/>
            <w:vAlign w:val="bottom"/>
            <w:gridSpan w:val="3"/>
          </w:tcPr>
          <w:p>
            <w:pPr>
              <w:jc w:val="center"/>
              <w:ind w:right="960"/>
              <w:spacing w:after="0" w:line="201" w:lineRule="exact"/>
              <w:rPr>
                <w:sz w:val="20"/>
                <w:szCs w:val="20"/>
                <w:color w:val="auto"/>
              </w:rPr>
            </w:pPr>
            <w:r>
              <w:rPr>
                <w:rFonts w:ascii="Arial" w:cs="Arial" w:eastAsia="Arial" w:hAnsi="Arial"/>
                <w:sz w:val="23"/>
                <w:szCs w:val="23"/>
                <w:b w:val="1"/>
                <w:bCs w:val="1"/>
                <w:color w:val="auto"/>
                <w:w w:val="97"/>
                <w:vertAlign w:val="subscript"/>
              </w:rPr>
              <w:t>($)</w:t>
            </w:r>
            <w:r>
              <w:rPr>
                <w:rFonts w:ascii="Arial" w:cs="Arial" w:eastAsia="Arial" w:hAnsi="Arial"/>
                <w:sz w:val="8"/>
                <w:szCs w:val="8"/>
                <w:b w:val="1"/>
                <w:bCs w:val="1"/>
                <w:color w:val="auto"/>
                <w:w w:val="97"/>
              </w:rPr>
              <w:t>(iii)</w:t>
            </w:r>
          </w:p>
        </w:tc>
        <w:tc>
          <w:tcPr>
            <w:tcW w:w="920" w:type="dxa"/>
            <w:vAlign w:val="bottom"/>
          </w:tcPr>
          <w:p>
            <w:pPr>
              <w:spacing w:after="0"/>
              <w:rPr>
                <w:sz w:val="17"/>
                <w:szCs w:val="17"/>
                <w:color w:val="auto"/>
              </w:rPr>
            </w:pPr>
          </w:p>
        </w:tc>
        <w:tc>
          <w:tcPr>
            <w:tcW w:w="1600" w:type="dxa"/>
            <w:vAlign w:val="bottom"/>
            <w:gridSpan w:val="3"/>
          </w:tcPr>
          <w:p>
            <w:pPr>
              <w:jc w:val="center"/>
              <w:ind w:right="1020"/>
              <w:spacing w:after="0" w:line="201" w:lineRule="exact"/>
              <w:rPr>
                <w:sz w:val="20"/>
                <w:szCs w:val="20"/>
                <w:color w:val="auto"/>
              </w:rPr>
            </w:pPr>
            <w:r>
              <w:rPr>
                <w:rFonts w:ascii="Arial" w:cs="Arial" w:eastAsia="Arial" w:hAnsi="Arial"/>
                <w:sz w:val="23"/>
                <w:szCs w:val="23"/>
                <w:b w:val="1"/>
                <w:bCs w:val="1"/>
                <w:color w:val="auto"/>
                <w:w w:val="97"/>
                <w:vertAlign w:val="subscript"/>
              </w:rPr>
              <w:t>($)</w:t>
            </w:r>
            <w:r>
              <w:rPr>
                <w:rFonts w:ascii="Arial" w:cs="Arial" w:eastAsia="Arial" w:hAnsi="Arial"/>
                <w:sz w:val="8"/>
                <w:szCs w:val="8"/>
                <w:b w:val="1"/>
                <w:bCs w:val="1"/>
                <w:color w:val="auto"/>
                <w:w w:val="97"/>
              </w:rPr>
              <w:t>(iv)</w:t>
            </w:r>
          </w:p>
        </w:tc>
        <w:tc>
          <w:tcPr>
            <w:tcW w:w="24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8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2022</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680" w:type="dxa"/>
            <w:vAlign w:val="bottom"/>
            <w:tcBorders>
              <w:top w:val="single" w:sz="8" w:color="auto"/>
              <w:bottom w:val="single" w:sz="8" w:color="CCEEFF"/>
            </w:tcBorders>
            <w:shd w:val="clear" w:color="auto" w:fill="CCEEFF"/>
          </w:tcPr>
          <w:p>
            <w:pPr>
              <w:spacing w:after="0"/>
              <w:rPr>
                <w:sz w:val="15"/>
                <w:szCs w:val="15"/>
                <w:color w:val="auto"/>
              </w:rPr>
            </w:pP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1,715,941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420" w:type="dxa"/>
            <w:vAlign w:val="bottom"/>
            <w:tcBorders>
              <w:top w:val="single" w:sz="8" w:color="auto"/>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(952,685)</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440" w:type="dxa"/>
            <w:vAlign w:val="bottom"/>
            <w:tcBorders>
              <w:top w:val="single" w:sz="8" w:color="auto"/>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332,820</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1,096,076</w:t>
            </w:r>
          </w:p>
        </w:tc>
        <w:tc>
          <w:tcPr>
            <w:tcW w:w="0" w:type="dxa"/>
            <w:vAlign w:val="bottom"/>
          </w:tcPr>
          <w:p>
            <w:pPr>
              <w:spacing w:after="0"/>
              <w:rPr>
                <w:sz w:val="1"/>
                <w:szCs w:val="1"/>
                <w:color w:val="auto"/>
              </w:rPr>
            </w:pPr>
          </w:p>
        </w:tc>
      </w:tr>
      <w:tr>
        <w:trPr>
          <w:trHeight w:val="182"/>
        </w:trPr>
        <w:tc>
          <w:tcPr>
            <w:tcW w:w="840" w:type="dxa"/>
            <w:vAlign w:val="bottom"/>
          </w:tcPr>
          <w:p>
            <w:pPr>
              <w:ind w:left="20"/>
              <w:spacing w:after="0"/>
              <w:rPr>
                <w:sz w:val="20"/>
                <w:szCs w:val="20"/>
                <w:color w:val="auto"/>
              </w:rPr>
            </w:pPr>
            <w:r>
              <w:rPr>
                <w:rFonts w:ascii="Arial" w:cs="Arial" w:eastAsia="Arial" w:hAnsi="Arial"/>
                <w:sz w:val="14"/>
                <w:szCs w:val="14"/>
                <w:color w:val="auto"/>
              </w:rPr>
              <w:t>2021</w:t>
            </w:r>
          </w:p>
        </w:tc>
        <w:tc>
          <w:tcPr>
            <w:tcW w:w="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1,480,706</w:t>
            </w:r>
          </w:p>
        </w:tc>
        <w:tc>
          <w:tcPr>
            <w:tcW w:w="100" w:type="dxa"/>
            <w:vAlign w:val="bottom"/>
          </w:tcPr>
          <w:p>
            <w:pPr>
              <w:spacing w:after="0"/>
              <w:rPr>
                <w:sz w:val="15"/>
                <w:szCs w:val="15"/>
                <w:color w:val="auto"/>
              </w:rPr>
            </w:pPr>
          </w:p>
        </w:tc>
        <w:tc>
          <w:tcPr>
            <w:tcW w:w="2420" w:type="dxa"/>
            <w:vAlign w:val="bottom"/>
            <w:gridSpan w:val="3"/>
          </w:tcPr>
          <w:p>
            <w:pPr>
              <w:jc w:val="right"/>
              <w:ind w:right="20"/>
              <w:spacing w:after="0"/>
              <w:rPr>
                <w:sz w:val="20"/>
                <w:szCs w:val="20"/>
                <w:color w:val="auto"/>
              </w:rPr>
            </w:pPr>
            <w:r>
              <w:rPr>
                <w:rFonts w:ascii="Arial" w:cs="Arial" w:eastAsia="Arial" w:hAnsi="Arial"/>
                <w:sz w:val="14"/>
                <w:szCs w:val="14"/>
                <w:color w:val="auto"/>
              </w:rPr>
              <w:t>(796,860)</w:t>
            </w:r>
          </w:p>
        </w:tc>
        <w:tc>
          <w:tcPr>
            <w:tcW w:w="100" w:type="dxa"/>
            <w:vAlign w:val="bottom"/>
          </w:tcPr>
          <w:p>
            <w:pPr>
              <w:spacing w:after="0"/>
              <w:rPr>
                <w:sz w:val="15"/>
                <w:szCs w:val="15"/>
                <w:color w:val="auto"/>
              </w:rPr>
            </w:pPr>
          </w:p>
        </w:tc>
        <w:tc>
          <w:tcPr>
            <w:tcW w:w="2440" w:type="dxa"/>
            <w:vAlign w:val="bottom"/>
            <w:gridSpan w:val="3"/>
          </w:tcPr>
          <w:p>
            <w:pPr>
              <w:jc w:val="right"/>
              <w:ind w:right="20"/>
              <w:spacing w:after="0"/>
              <w:rPr>
                <w:sz w:val="20"/>
                <w:szCs w:val="20"/>
                <w:color w:val="auto"/>
              </w:rPr>
            </w:pPr>
            <w:r>
              <w:rPr>
                <w:rFonts w:ascii="Arial" w:cs="Arial" w:eastAsia="Arial" w:hAnsi="Arial"/>
                <w:sz w:val="14"/>
                <w:szCs w:val="14"/>
                <w:color w:val="auto"/>
              </w:rPr>
              <w:t>338,971</w:t>
            </w:r>
          </w:p>
        </w:tc>
        <w:tc>
          <w:tcPr>
            <w:tcW w:w="80" w:type="dxa"/>
            <w:vAlign w:val="bottom"/>
          </w:tcPr>
          <w:p>
            <w:pPr>
              <w:spacing w:after="0"/>
              <w:rPr>
                <w:sz w:val="15"/>
                <w:szCs w:val="15"/>
                <w:color w:val="auto"/>
              </w:rPr>
            </w:pPr>
          </w:p>
        </w:tc>
        <w:tc>
          <w:tcPr>
            <w:tcW w:w="2440" w:type="dxa"/>
            <w:vAlign w:val="bottom"/>
          </w:tcPr>
          <w:p>
            <w:pPr>
              <w:jc w:val="right"/>
              <w:spacing w:after="0"/>
              <w:rPr>
                <w:sz w:val="20"/>
                <w:szCs w:val="20"/>
                <w:color w:val="auto"/>
              </w:rPr>
            </w:pPr>
            <w:r>
              <w:rPr>
                <w:rFonts w:ascii="Arial" w:cs="Arial" w:eastAsia="Arial" w:hAnsi="Arial"/>
                <w:sz w:val="14"/>
                <w:szCs w:val="14"/>
                <w:color w:val="auto"/>
              </w:rPr>
              <w:t>1,022,817</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2020</w:t>
            </w:r>
          </w:p>
        </w:tc>
        <w:tc>
          <w:tcPr>
            <w:tcW w:w="8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2,683,195</w:t>
            </w:r>
          </w:p>
        </w:tc>
        <w:tc>
          <w:tcPr>
            <w:tcW w:w="100" w:type="dxa"/>
            <w:vAlign w:val="bottom"/>
            <w:shd w:val="clear" w:color="auto" w:fill="CCEEFF"/>
          </w:tcPr>
          <w:p>
            <w:pPr>
              <w:spacing w:after="0"/>
              <w:rPr>
                <w:sz w:val="15"/>
                <w:szCs w:val="15"/>
                <w:color w:val="auto"/>
              </w:rPr>
            </w:pPr>
          </w:p>
        </w:tc>
        <w:tc>
          <w:tcPr>
            <w:tcW w:w="242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(692,489)</w:t>
            </w:r>
          </w:p>
        </w:tc>
        <w:tc>
          <w:tcPr>
            <w:tcW w:w="100" w:type="dxa"/>
            <w:vAlign w:val="bottom"/>
            <w:shd w:val="clear" w:color="auto" w:fill="CCEEFF"/>
          </w:tcPr>
          <w:p>
            <w:pPr>
              <w:spacing w:after="0"/>
              <w:rPr>
                <w:sz w:val="15"/>
                <w:szCs w:val="15"/>
                <w:color w:val="auto"/>
              </w:rPr>
            </w:pPr>
          </w:p>
        </w:tc>
        <w:tc>
          <w:tcPr>
            <w:tcW w:w="244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905,571</w:t>
            </w:r>
          </w:p>
        </w:tc>
        <w:tc>
          <w:tcPr>
            <w:tcW w:w="80" w:type="dxa"/>
            <w:vAlign w:val="bottom"/>
            <w:shd w:val="clear" w:color="auto" w:fill="CCEEFF"/>
          </w:tcPr>
          <w:p>
            <w:pPr>
              <w:spacing w:after="0"/>
              <w:rPr>
                <w:sz w:val="15"/>
                <w:szCs w:val="15"/>
                <w:color w:val="auto"/>
              </w:rPr>
            </w:pPr>
          </w:p>
        </w:tc>
        <w:tc>
          <w:tcPr>
            <w:tcW w:w="2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2,896,277</w:t>
            </w:r>
          </w:p>
        </w:tc>
        <w:tc>
          <w:tcPr>
            <w:tcW w:w="0" w:type="dxa"/>
            <w:vAlign w:val="bottom"/>
          </w:tcPr>
          <w:p>
            <w:pPr>
              <w:spacing w:after="0"/>
              <w:rPr>
                <w:sz w:val="1"/>
                <w:szCs w:val="1"/>
                <w:color w:val="auto"/>
              </w:rPr>
            </w:pPr>
          </w:p>
        </w:tc>
      </w:tr>
      <w:tr>
        <w:trPr>
          <w:trHeight w:val="20"/>
        </w:trPr>
        <w:tc>
          <w:tcPr>
            <w:tcW w:w="8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ind w:left="420" w:hanging="412"/>
        <w:spacing w:after="0"/>
        <w:tabs>
          <w:tab w:leader="none" w:pos="4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Represents the following for each year:</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4"/>
              </w:rPr>
              <w:t>Year-Over-Year Change</w:t>
            </w: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Fair Value at End of</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Aggregate Change in the</w:t>
            </w: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96"/>
              </w:rPr>
              <w:t>Grant Date Fair Value of</w:t>
            </w:r>
          </w:p>
        </w:tc>
        <w:tc>
          <w:tcPr>
            <w:tcW w:w="1680" w:type="dxa"/>
            <w:vAlign w:val="bottom"/>
            <w:gridSpan w:val="2"/>
            <w:vMerge w:val="continue"/>
          </w:tcPr>
          <w:p>
            <w:pPr>
              <w:spacing w:after="0"/>
              <w:rPr>
                <w:sz w:val="12"/>
                <w:szCs w:val="12"/>
                <w:color w:val="auto"/>
              </w:rPr>
            </w:pPr>
          </w:p>
        </w:tc>
        <w:tc>
          <w:tcPr>
            <w:tcW w:w="16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Change in Fair Value of</w:t>
            </w:r>
          </w:p>
        </w:tc>
        <w:tc>
          <w:tcPr>
            <w:tcW w:w="168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97"/>
              </w:rPr>
              <w:t>Prior Year of Prior</w:t>
            </w:r>
          </w:p>
        </w:tc>
        <w:tc>
          <w:tcPr>
            <w:tcW w:w="1700" w:type="dxa"/>
            <w:vAlign w:val="bottom"/>
            <w:gridSpan w:val="2"/>
          </w:tcPr>
          <w:p>
            <w:pPr>
              <w:jc w:val="center"/>
              <w:ind w:right="80"/>
              <w:spacing w:after="0" w:line="145" w:lineRule="exact"/>
              <w:rPr>
                <w:sz w:val="20"/>
                <w:szCs w:val="20"/>
                <w:color w:val="auto"/>
              </w:rPr>
            </w:pPr>
            <w:r>
              <w:rPr>
                <w:rFonts w:ascii="Arial" w:cs="Arial" w:eastAsia="Arial" w:hAnsi="Arial"/>
                <w:sz w:val="14"/>
                <w:szCs w:val="14"/>
                <w:b w:val="1"/>
                <w:bCs w:val="1"/>
                <w:color w:val="auto"/>
                <w:w w:val="93"/>
              </w:rPr>
              <w:t>Actuarial Present Value</w:t>
            </w: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6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in Fair Value of Prior</w:t>
            </w:r>
          </w:p>
        </w:tc>
        <w:tc>
          <w:tcPr>
            <w:tcW w:w="1680" w:type="dxa"/>
            <w:vAlign w:val="bottom"/>
            <w:gridSpan w:val="2"/>
            <w:vMerge w:val="continue"/>
          </w:tcPr>
          <w:p>
            <w:pPr>
              <w:spacing w:after="0"/>
              <w:rPr>
                <w:sz w:val="12"/>
                <w:szCs w:val="12"/>
                <w:color w:val="auto"/>
              </w:rPr>
            </w:pPr>
          </w:p>
        </w:tc>
        <w:tc>
          <w:tcPr>
            <w:tcW w:w="1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Years' Awards that</w:t>
            </w: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of the Accumulated</w:t>
            </w:r>
          </w:p>
        </w:tc>
        <w:tc>
          <w:tcPr>
            <w:tcW w:w="160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9"/>
              </w:rPr>
              <w:t>Deductions</w:t>
            </w:r>
          </w:p>
        </w:tc>
        <w:tc>
          <w:tcPr>
            <w:tcW w:w="0" w:type="dxa"/>
            <w:vAlign w:val="bottom"/>
          </w:tcPr>
          <w:p>
            <w:pPr>
              <w:spacing w:after="0"/>
              <w:rPr>
                <w:sz w:val="1"/>
                <w:szCs w:val="1"/>
                <w:color w:val="auto"/>
              </w:rPr>
            </w:pPr>
          </w:p>
        </w:tc>
      </w:tr>
      <w:tr>
        <w:trPr>
          <w:trHeight w:val="68"/>
        </w:trPr>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60" w:type="dxa"/>
            <w:vAlign w:val="bottom"/>
            <w:gridSpan w:val="2"/>
            <w:vMerge w:val="restart"/>
          </w:tcPr>
          <w:p>
            <w:pPr>
              <w:jc w:val="center"/>
              <w:ind w:right="100"/>
              <w:spacing w:after="0" w:line="135" w:lineRule="exact"/>
              <w:rPr>
                <w:sz w:val="20"/>
                <w:szCs w:val="20"/>
                <w:color w:val="auto"/>
              </w:rPr>
            </w:pPr>
            <w:r>
              <w:rPr>
                <w:rFonts w:ascii="Arial" w:cs="Arial" w:eastAsia="Arial" w:hAnsi="Arial"/>
                <w:sz w:val="14"/>
                <w:szCs w:val="14"/>
                <w:b w:val="1"/>
                <w:bCs w:val="1"/>
                <w:color w:val="auto"/>
                <w:w w:val="93"/>
              </w:rPr>
              <w:t>Covered Year Equity</w:t>
            </w:r>
          </w:p>
        </w:tc>
        <w:tc>
          <w:tcPr>
            <w:tcW w:w="1680" w:type="dxa"/>
            <w:vAlign w:val="bottom"/>
            <w:gridSpan w:val="2"/>
            <w:vMerge w:val="restart"/>
          </w:tcPr>
          <w:p>
            <w:pPr>
              <w:jc w:val="center"/>
              <w:ind w:right="80"/>
              <w:spacing w:after="0" w:line="135" w:lineRule="exact"/>
              <w:rPr>
                <w:sz w:val="20"/>
                <w:szCs w:val="20"/>
                <w:color w:val="auto"/>
              </w:rPr>
            </w:pPr>
            <w:r>
              <w:rPr>
                <w:rFonts w:ascii="Arial" w:cs="Arial" w:eastAsia="Arial" w:hAnsi="Arial"/>
                <w:sz w:val="14"/>
                <w:szCs w:val="14"/>
                <w:b w:val="1"/>
                <w:bCs w:val="1"/>
                <w:color w:val="auto"/>
                <w:w w:val="90"/>
              </w:rPr>
              <w:t>Years' Awards Unvested</w:t>
            </w:r>
          </w:p>
        </w:tc>
        <w:tc>
          <w:tcPr>
            <w:tcW w:w="1680" w:type="dxa"/>
            <w:vAlign w:val="bottom"/>
            <w:gridSpan w:val="2"/>
            <w:vMerge w:val="restart"/>
          </w:tcPr>
          <w:p>
            <w:pPr>
              <w:jc w:val="center"/>
              <w:ind w:right="100"/>
              <w:spacing w:after="0" w:line="135" w:lineRule="exact"/>
              <w:rPr>
                <w:sz w:val="20"/>
                <w:szCs w:val="20"/>
                <w:color w:val="auto"/>
              </w:rPr>
            </w:pPr>
            <w:r>
              <w:rPr>
                <w:rFonts w:ascii="Arial" w:cs="Arial" w:eastAsia="Arial" w:hAnsi="Arial"/>
                <w:sz w:val="14"/>
                <w:szCs w:val="14"/>
                <w:b w:val="1"/>
                <w:bCs w:val="1"/>
                <w:color w:val="auto"/>
                <w:w w:val="95"/>
              </w:rPr>
              <w:t>Prior Years' Awards that</w:t>
            </w:r>
          </w:p>
        </w:tc>
        <w:tc>
          <w:tcPr>
            <w:tcW w:w="1680" w:type="dxa"/>
            <w:vAlign w:val="bottom"/>
            <w:gridSpan w:val="2"/>
            <w:vMerge w:val="restart"/>
          </w:tcPr>
          <w:p>
            <w:pPr>
              <w:jc w:val="center"/>
              <w:ind w:right="100"/>
              <w:spacing w:after="0" w:line="135" w:lineRule="exact"/>
              <w:rPr>
                <w:sz w:val="20"/>
                <w:szCs w:val="20"/>
                <w:color w:val="auto"/>
              </w:rPr>
            </w:pPr>
            <w:r>
              <w:rPr>
                <w:rFonts w:ascii="Arial" w:cs="Arial" w:eastAsia="Arial" w:hAnsi="Arial"/>
                <w:sz w:val="14"/>
                <w:szCs w:val="14"/>
                <w:b w:val="1"/>
                <w:bCs w:val="1"/>
                <w:color w:val="auto"/>
                <w:w w:val="96"/>
              </w:rPr>
              <w:t>Failed to Meet</w:t>
            </w:r>
          </w:p>
        </w:tc>
        <w:tc>
          <w:tcPr>
            <w:tcW w:w="1700" w:type="dxa"/>
            <w:vAlign w:val="bottom"/>
            <w:gridSpan w:val="2"/>
            <w:vMerge w:val="restart"/>
          </w:tcPr>
          <w:p>
            <w:pPr>
              <w:jc w:val="center"/>
              <w:ind w:right="80"/>
              <w:spacing w:after="0" w:line="135" w:lineRule="exact"/>
              <w:rPr>
                <w:sz w:val="20"/>
                <w:szCs w:val="20"/>
                <w:color w:val="auto"/>
              </w:rPr>
            </w:pPr>
            <w:r>
              <w:rPr>
                <w:rFonts w:ascii="Arial" w:cs="Arial" w:eastAsia="Arial" w:hAnsi="Arial"/>
                <w:sz w:val="14"/>
                <w:szCs w:val="14"/>
                <w:b w:val="1"/>
                <w:bCs w:val="1"/>
                <w:color w:val="auto"/>
                <w:w w:val="94"/>
              </w:rPr>
              <w:t>Benefit Under all Defined</w:t>
            </w:r>
          </w:p>
        </w:tc>
        <w:tc>
          <w:tcPr>
            <w:tcW w:w="16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gridSpan w:val="2"/>
            <w:vMerge w:val="continue"/>
          </w:tcPr>
          <w:p>
            <w:pPr>
              <w:spacing w:after="0" w:line="20" w:lineRule="exact"/>
              <w:rPr>
                <w:sz w:val="1"/>
                <w:szCs w:val="1"/>
                <w:color w:val="auto"/>
              </w:rPr>
            </w:pPr>
          </w:p>
        </w:tc>
        <w:tc>
          <w:tcPr>
            <w:tcW w:w="1680" w:type="dxa"/>
            <w:vAlign w:val="bottom"/>
            <w:gridSpan w:val="2"/>
            <w:vMerge w:val="continue"/>
          </w:tcPr>
          <w:p>
            <w:pPr>
              <w:spacing w:after="0" w:line="20" w:lineRule="exact"/>
              <w:rPr>
                <w:sz w:val="1"/>
                <w:szCs w:val="1"/>
                <w:color w:val="auto"/>
              </w:rPr>
            </w:pPr>
          </w:p>
        </w:tc>
        <w:tc>
          <w:tcPr>
            <w:tcW w:w="1680" w:type="dxa"/>
            <w:vAlign w:val="bottom"/>
            <w:gridSpan w:val="2"/>
            <w:vMerge w:val="continue"/>
          </w:tcPr>
          <w:p>
            <w:pPr>
              <w:spacing w:after="0" w:line="20" w:lineRule="exact"/>
              <w:rPr>
                <w:sz w:val="1"/>
                <w:szCs w:val="1"/>
                <w:color w:val="auto"/>
              </w:rPr>
            </w:pPr>
          </w:p>
        </w:tc>
        <w:tc>
          <w:tcPr>
            <w:tcW w:w="1680" w:type="dxa"/>
            <w:vAlign w:val="bottom"/>
            <w:gridSpan w:val="2"/>
            <w:vMerge w:val="continue"/>
          </w:tcPr>
          <w:p>
            <w:pPr>
              <w:spacing w:after="0" w:line="20" w:lineRule="exact"/>
              <w:rPr>
                <w:sz w:val="1"/>
                <w:szCs w:val="1"/>
                <w:color w:val="auto"/>
              </w:rPr>
            </w:pPr>
          </w:p>
        </w:tc>
        <w:tc>
          <w:tcPr>
            <w:tcW w:w="1700" w:type="dxa"/>
            <w:vAlign w:val="bottom"/>
            <w:gridSpan w:val="2"/>
            <w:vMerge w:val="continu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920" w:type="dxa"/>
            <w:vAlign w:val="bottom"/>
            <w:gridSpan w:val="2"/>
            <w:vMerge w:val="restart"/>
          </w:tcPr>
          <w:p>
            <w:pPr>
              <w:ind w:left="20"/>
              <w:spacing w:after="0" w:line="119" w:lineRule="exact"/>
              <w:rPr>
                <w:sz w:val="20"/>
                <w:szCs w:val="20"/>
                <w:color w:val="auto"/>
              </w:rPr>
            </w:pPr>
            <w:r>
              <w:rPr>
                <w:rFonts w:ascii="Arial" w:cs="Arial" w:eastAsia="Arial" w:hAnsi="Arial"/>
                <w:sz w:val="13"/>
                <w:szCs w:val="13"/>
                <w:b w:val="1"/>
                <w:bCs w:val="1"/>
                <w:color w:val="auto"/>
              </w:rPr>
              <w:t>Year</w:t>
            </w:r>
          </w:p>
        </w:tc>
        <w:tc>
          <w:tcPr>
            <w:tcW w:w="1660" w:type="dxa"/>
            <w:vAlign w:val="bottom"/>
            <w:gridSpan w:val="2"/>
            <w:vMerge w:val="continue"/>
          </w:tcPr>
          <w:p>
            <w:pPr>
              <w:spacing w:after="0"/>
              <w:rPr>
                <w:sz w:val="4"/>
                <w:szCs w:val="4"/>
                <w:color w:val="auto"/>
              </w:rPr>
            </w:pPr>
          </w:p>
        </w:tc>
        <w:tc>
          <w:tcPr>
            <w:tcW w:w="1680" w:type="dxa"/>
            <w:vAlign w:val="bottom"/>
            <w:gridSpan w:val="2"/>
            <w:vMerge w:val="continue"/>
          </w:tcPr>
          <w:p>
            <w:pPr>
              <w:spacing w:after="0"/>
              <w:rPr>
                <w:sz w:val="4"/>
                <w:szCs w:val="4"/>
                <w:color w:val="auto"/>
              </w:rPr>
            </w:pPr>
          </w:p>
        </w:tc>
        <w:tc>
          <w:tcPr>
            <w:tcW w:w="1680" w:type="dxa"/>
            <w:vAlign w:val="bottom"/>
            <w:gridSpan w:val="2"/>
            <w:vMerge w:val="continue"/>
          </w:tcPr>
          <w:p>
            <w:pPr>
              <w:spacing w:after="0"/>
              <w:rPr>
                <w:sz w:val="4"/>
                <w:szCs w:val="4"/>
                <w:color w:val="auto"/>
              </w:rPr>
            </w:pPr>
          </w:p>
        </w:tc>
        <w:tc>
          <w:tcPr>
            <w:tcW w:w="1680" w:type="dxa"/>
            <w:vAlign w:val="bottom"/>
            <w:gridSpan w:val="2"/>
            <w:vMerge w:val="continue"/>
          </w:tcPr>
          <w:p>
            <w:pPr>
              <w:spacing w:after="0"/>
              <w:rPr>
                <w:sz w:val="4"/>
                <w:szCs w:val="4"/>
                <w:color w:val="auto"/>
              </w:rPr>
            </w:pPr>
          </w:p>
        </w:tc>
        <w:tc>
          <w:tcPr>
            <w:tcW w:w="1700" w:type="dxa"/>
            <w:vAlign w:val="bottom"/>
            <w:gridSpan w:val="2"/>
            <w:vMerge w:val="continue"/>
          </w:tcPr>
          <w:p>
            <w:pPr>
              <w:spacing w:after="0"/>
              <w:rPr>
                <w:sz w:val="4"/>
                <w:szCs w:val="4"/>
                <w:color w:val="auto"/>
              </w:rPr>
            </w:pPr>
          </w:p>
        </w:tc>
        <w:tc>
          <w:tcPr>
            <w:tcW w:w="1600" w:type="dxa"/>
            <w:vAlign w:val="bottom"/>
            <w:gridSpan w:val="3"/>
            <w:vMerge w:val="restart"/>
          </w:tcPr>
          <w:p>
            <w:pPr>
              <w:jc w:val="center"/>
              <w:spacing w:after="0" w:line="119" w:lineRule="exact"/>
              <w:rPr>
                <w:sz w:val="20"/>
                <w:szCs w:val="20"/>
                <w:color w:val="auto"/>
              </w:rPr>
            </w:pPr>
            <w:r>
              <w:rPr>
                <w:rFonts w:ascii="Arial" w:cs="Arial" w:eastAsia="Arial" w:hAnsi="Arial"/>
                <w:sz w:val="13"/>
                <w:szCs w:val="13"/>
                <w:b w:val="1"/>
                <w:bCs w:val="1"/>
                <w:color w:val="auto"/>
              </w:rPr>
              <w:t>from SCT Total</w:t>
            </w:r>
          </w:p>
        </w:tc>
        <w:tc>
          <w:tcPr>
            <w:tcW w:w="0" w:type="dxa"/>
            <w:vAlign w:val="bottom"/>
          </w:tcPr>
          <w:p>
            <w:pPr>
              <w:spacing w:after="0"/>
              <w:rPr>
                <w:sz w:val="1"/>
                <w:szCs w:val="1"/>
                <w:color w:val="auto"/>
              </w:rPr>
            </w:pPr>
          </w:p>
        </w:tc>
      </w:tr>
      <w:tr>
        <w:trPr>
          <w:trHeight w:val="72"/>
        </w:trPr>
        <w:tc>
          <w:tcPr>
            <w:tcW w:w="920" w:type="dxa"/>
            <w:vAlign w:val="bottom"/>
            <w:gridSpan w:val="2"/>
            <w:vMerge w:val="continue"/>
          </w:tcPr>
          <w:p>
            <w:pPr>
              <w:spacing w:after="0"/>
              <w:rPr>
                <w:sz w:val="6"/>
                <w:szCs w:val="6"/>
                <w:color w:val="auto"/>
              </w:rPr>
            </w:pPr>
          </w:p>
        </w:tc>
        <w:tc>
          <w:tcPr>
            <w:tcW w:w="166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Awards</w:t>
            </w:r>
          </w:p>
        </w:tc>
        <w:tc>
          <w:tcPr>
            <w:tcW w:w="1680" w:type="dxa"/>
            <w:vAlign w:val="bottom"/>
            <w:gridSpan w:val="2"/>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at the End of Covered</w:t>
            </w:r>
          </w:p>
        </w:tc>
        <w:tc>
          <w:tcPr>
            <w:tcW w:w="168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Vested in Covered Year</w:t>
            </w:r>
          </w:p>
        </w:tc>
        <w:tc>
          <w:tcPr>
            <w:tcW w:w="168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Applicable Vesting</w:t>
            </w:r>
          </w:p>
        </w:tc>
        <w:tc>
          <w:tcPr>
            <w:tcW w:w="170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Benefit and Actuarial</w:t>
            </w:r>
          </w:p>
        </w:tc>
        <w:tc>
          <w:tcPr>
            <w:tcW w:w="16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8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60" w:type="dxa"/>
            <w:vAlign w:val="bottom"/>
            <w:gridSpan w:val="2"/>
            <w:vMerge w:val="continue"/>
          </w:tcPr>
          <w:p>
            <w:pPr>
              <w:spacing w:after="0"/>
              <w:rPr>
                <w:sz w:val="6"/>
                <w:szCs w:val="6"/>
                <w:color w:val="auto"/>
              </w:rPr>
            </w:pPr>
          </w:p>
        </w:tc>
        <w:tc>
          <w:tcPr>
            <w:tcW w:w="1680" w:type="dxa"/>
            <w:vAlign w:val="bottom"/>
            <w:gridSpan w:val="2"/>
            <w:vMerge w:val="continue"/>
          </w:tcPr>
          <w:p>
            <w:pPr>
              <w:spacing w:after="0"/>
              <w:rPr>
                <w:sz w:val="6"/>
                <w:szCs w:val="6"/>
                <w:color w:val="auto"/>
              </w:rPr>
            </w:pPr>
          </w:p>
        </w:tc>
        <w:tc>
          <w:tcPr>
            <w:tcW w:w="1680" w:type="dxa"/>
            <w:vAlign w:val="bottom"/>
            <w:gridSpan w:val="2"/>
            <w:vMerge w:val="continue"/>
          </w:tcPr>
          <w:p>
            <w:pPr>
              <w:spacing w:after="0"/>
              <w:rPr>
                <w:sz w:val="6"/>
                <w:szCs w:val="6"/>
                <w:color w:val="auto"/>
              </w:rPr>
            </w:pPr>
          </w:p>
        </w:tc>
        <w:tc>
          <w:tcPr>
            <w:tcW w:w="1680" w:type="dxa"/>
            <w:vAlign w:val="bottom"/>
            <w:gridSpan w:val="2"/>
            <w:vMerge w:val="continue"/>
          </w:tcPr>
          <w:p>
            <w:pPr>
              <w:spacing w:after="0"/>
              <w:rPr>
                <w:sz w:val="6"/>
                <w:szCs w:val="6"/>
                <w:color w:val="auto"/>
              </w:rPr>
            </w:pPr>
          </w:p>
        </w:tc>
        <w:tc>
          <w:tcPr>
            <w:tcW w:w="1700" w:type="dxa"/>
            <w:vAlign w:val="bottom"/>
            <w:gridSpan w:val="2"/>
            <w:vMerge w:val="continue"/>
          </w:tcPr>
          <w:p>
            <w:pPr>
              <w:spacing w:after="0"/>
              <w:rPr>
                <w:sz w:val="6"/>
                <w:szCs w:val="6"/>
                <w:color w:val="auto"/>
              </w:rPr>
            </w:pPr>
          </w:p>
        </w:tc>
        <w:tc>
          <w:tcPr>
            <w:tcW w:w="1140" w:type="dxa"/>
            <w:vAlign w:val="bottom"/>
            <w:gridSpan w:val="2"/>
            <w:vMerge w:val="restart"/>
          </w:tcPr>
          <w:p>
            <w:pPr>
              <w:jc w:val="center"/>
              <w:ind w:left="389"/>
              <w:spacing w:after="0"/>
              <w:rPr>
                <w:sz w:val="20"/>
                <w:szCs w:val="20"/>
                <w:color w:val="auto"/>
              </w:rPr>
            </w:pPr>
            <w:r>
              <w:rPr>
                <w:rFonts w:ascii="Arial" w:cs="Arial" w:eastAsia="Arial" w:hAnsi="Arial"/>
                <w:sz w:val="14"/>
                <w:szCs w:val="14"/>
                <w:b w:val="1"/>
                <w:bCs w:val="1"/>
                <w:color w:val="auto"/>
                <w:w w:val="93"/>
              </w:rPr>
              <w:t>($)</w:t>
            </w:r>
          </w:p>
        </w:tc>
        <w:tc>
          <w:tcPr>
            <w:tcW w:w="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80" w:type="dxa"/>
            <w:vAlign w:val="bottom"/>
          </w:tcPr>
          <w:p>
            <w:pPr>
              <w:spacing w:after="0"/>
              <w:rPr>
                <w:sz w:val="9"/>
                <w:szCs w:val="9"/>
                <w:color w:val="auto"/>
              </w:rPr>
            </w:pPr>
          </w:p>
        </w:tc>
        <w:tc>
          <w:tcPr>
            <w:tcW w:w="1680" w:type="dxa"/>
            <w:vAlign w:val="bottom"/>
            <w:gridSpan w:val="2"/>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Year</w:t>
            </w:r>
          </w:p>
        </w:tc>
        <w:tc>
          <w:tcPr>
            <w:tcW w:w="15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9"/>
                <w:szCs w:val="9"/>
                <w:color w:val="auto"/>
              </w:rPr>
            </w:pPr>
          </w:p>
        </w:tc>
        <w:tc>
          <w:tcPr>
            <w:tcW w:w="168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Conditions During the</w:t>
            </w:r>
          </w:p>
        </w:tc>
        <w:tc>
          <w:tcPr>
            <w:tcW w:w="1700" w:type="dxa"/>
            <w:vAlign w:val="bottom"/>
            <w:gridSpan w:val="2"/>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Plans Reported in the</w:t>
            </w:r>
          </w:p>
        </w:tc>
        <w:tc>
          <w:tcPr>
            <w:tcW w:w="1140" w:type="dxa"/>
            <w:vAlign w:val="bottom"/>
            <w:gridSpan w:val="2"/>
            <w:vMerge w:val="continue"/>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
        </w:trPr>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8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1680" w:type="dxa"/>
            <w:vAlign w:val="bottom"/>
            <w:gridSpan w:val="2"/>
            <w:vMerge w:val="continue"/>
          </w:tcPr>
          <w:p>
            <w:pPr>
              <w:spacing w:after="0"/>
              <w:rPr>
                <w:sz w:val="3"/>
                <w:szCs w:val="3"/>
                <w:color w:val="auto"/>
              </w:rPr>
            </w:pPr>
          </w:p>
        </w:tc>
        <w:tc>
          <w:tcPr>
            <w:tcW w:w="158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680" w:type="dxa"/>
            <w:vAlign w:val="bottom"/>
            <w:gridSpan w:val="2"/>
            <w:vMerge w:val="continue"/>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4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9"/>
        </w:trPr>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2"/>
          </w:tcPr>
          <w:p>
            <w:pPr>
              <w:jc w:val="center"/>
              <w:ind w:right="80"/>
              <w:spacing w:after="0" w:line="139" w:lineRule="exact"/>
              <w:rPr>
                <w:sz w:val="20"/>
                <w:szCs w:val="20"/>
                <w:color w:val="auto"/>
              </w:rPr>
            </w:pPr>
            <w:r>
              <w:rPr>
                <w:rFonts w:ascii="Arial" w:cs="Arial" w:eastAsia="Arial" w:hAnsi="Arial"/>
                <w:sz w:val="14"/>
                <w:szCs w:val="14"/>
                <w:b w:val="1"/>
                <w:bCs w:val="1"/>
                <w:color w:val="auto"/>
                <w:w w:val="93"/>
              </w:rPr>
              <w:t>Covered Year</w:t>
            </w:r>
          </w:p>
        </w:tc>
        <w:tc>
          <w:tcPr>
            <w:tcW w:w="1700" w:type="dxa"/>
            <w:vAlign w:val="bottom"/>
            <w:gridSpan w:val="2"/>
          </w:tcPr>
          <w:p>
            <w:pPr>
              <w:jc w:val="center"/>
              <w:ind w:right="80"/>
              <w:spacing w:after="0" w:line="139" w:lineRule="exact"/>
              <w:rPr>
                <w:sz w:val="20"/>
                <w:szCs w:val="20"/>
                <w:color w:val="auto"/>
              </w:rPr>
            </w:pPr>
            <w:r>
              <w:rPr>
                <w:rFonts w:ascii="Arial" w:cs="Arial" w:eastAsia="Arial" w:hAnsi="Arial"/>
                <w:sz w:val="14"/>
                <w:szCs w:val="14"/>
                <w:b w:val="1"/>
                <w:bCs w:val="1"/>
                <w:color w:val="auto"/>
                <w:w w:val="94"/>
              </w:rPr>
              <w:t>SCT in Each Year</w:t>
            </w: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2022</w:t>
            </w:r>
          </w:p>
        </w:tc>
        <w:tc>
          <w:tcPr>
            <w:tcW w:w="100" w:type="dxa"/>
            <w:vAlign w:val="bottom"/>
            <w:tcBorders>
              <w:bottom w:val="single" w:sz="8" w:color="CCEEFF"/>
            </w:tcBorders>
            <w:shd w:val="clear" w:color="auto" w:fill="CCEEFF"/>
          </w:tcPr>
          <w:p>
            <w:pPr>
              <w:spacing w:after="0"/>
              <w:rPr>
                <w:sz w:val="15"/>
                <w:szCs w:val="15"/>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(762,118)</w:t>
            </w:r>
          </w:p>
        </w:tc>
        <w:tc>
          <w:tcPr>
            <w:tcW w:w="80" w:type="dxa"/>
            <w:vAlign w:val="bottom"/>
            <w:tcBorders>
              <w:bottom w:val="single" w:sz="8" w:color="CCEEFF"/>
            </w:tcBorders>
            <w:shd w:val="clear" w:color="auto" w:fill="CCEEFF"/>
          </w:tcPr>
          <w:p>
            <w:pPr>
              <w:spacing w:after="0"/>
              <w:rPr>
                <w:sz w:val="15"/>
                <w:szCs w:val="15"/>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(15,199)</w:t>
            </w:r>
          </w:p>
        </w:tc>
        <w:tc>
          <w:tcPr>
            <w:tcW w:w="100" w:type="dxa"/>
            <w:vAlign w:val="bottom"/>
            <w:tcBorders>
              <w:bottom w:val="single" w:sz="8" w:color="CCEEFF"/>
            </w:tcBorders>
            <w:shd w:val="clear" w:color="auto" w:fill="CCEEFF"/>
          </w:tcPr>
          <w:p>
            <w:pPr>
              <w:spacing w:after="0"/>
              <w:rPr>
                <w:sz w:val="15"/>
                <w:szCs w:val="15"/>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(8,845)</w:t>
            </w:r>
          </w:p>
        </w:tc>
        <w:tc>
          <w:tcPr>
            <w:tcW w:w="100" w:type="dxa"/>
            <w:vAlign w:val="bottom"/>
            <w:tcBorders>
              <w:bottom w:val="single" w:sz="8" w:color="CCEEFF"/>
            </w:tcBorders>
            <w:shd w:val="clear" w:color="auto" w:fill="CCEEFF"/>
          </w:tcPr>
          <w:p>
            <w:pPr>
              <w:spacing w:after="0"/>
              <w:rPr>
                <w:sz w:val="15"/>
                <w:szCs w:val="15"/>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(166,477)</w:t>
            </w:r>
          </w:p>
        </w:tc>
        <w:tc>
          <w:tcPr>
            <w:tcW w:w="100" w:type="dxa"/>
            <w:vAlign w:val="bottom"/>
            <w:tcBorders>
              <w:bottom w:val="single" w:sz="8" w:color="CCEEFF"/>
            </w:tcBorders>
            <w:shd w:val="clear" w:color="auto" w:fill="CCEEFF"/>
          </w:tcPr>
          <w:p>
            <w:pPr>
              <w:spacing w:after="0"/>
              <w:rPr>
                <w:sz w:val="15"/>
                <w:szCs w:val="15"/>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100" w:type="dxa"/>
            <w:vAlign w:val="bottom"/>
            <w:tcBorders>
              <w:bottom w:val="single" w:sz="8" w:color="CCEEFF"/>
            </w:tcBorders>
            <w:shd w:val="clear" w:color="auto" w:fill="CCEEFF"/>
          </w:tcPr>
          <w:p>
            <w:pPr>
              <w:spacing w:after="0"/>
              <w:rPr>
                <w:sz w:val="15"/>
                <w:szCs w:val="15"/>
                <w:color w:val="auto"/>
              </w:rPr>
            </w:pPr>
          </w:p>
        </w:tc>
        <w:tc>
          <w:tcPr>
            <w:tcW w:w="16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(952,685)</w:t>
            </w:r>
          </w:p>
        </w:tc>
        <w:tc>
          <w:tcPr>
            <w:tcW w:w="0" w:type="dxa"/>
            <w:vAlign w:val="bottom"/>
          </w:tcPr>
          <w:p>
            <w:pPr>
              <w:spacing w:after="0"/>
              <w:rPr>
                <w:sz w:val="1"/>
                <w:szCs w:val="1"/>
                <w:color w:val="auto"/>
              </w:rPr>
            </w:pPr>
          </w:p>
        </w:tc>
      </w:tr>
      <w:tr>
        <w:trPr>
          <w:trHeight w:val="182"/>
        </w:trPr>
        <w:tc>
          <w:tcPr>
            <w:tcW w:w="820" w:type="dxa"/>
            <w:vAlign w:val="bottom"/>
          </w:tcPr>
          <w:p>
            <w:pPr>
              <w:ind w:left="20"/>
              <w:spacing w:after="0"/>
              <w:rPr>
                <w:sz w:val="20"/>
                <w:szCs w:val="20"/>
                <w:color w:val="auto"/>
              </w:rPr>
            </w:pPr>
            <w:r>
              <w:rPr>
                <w:rFonts w:ascii="Arial" w:cs="Arial" w:eastAsia="Arial" w:hAnsi="Arial"/>
                <w:sz w:val="14"/>
                <w:szCs w:val="14"/>
                <w:color w:val="auto"/>
              </w:rPr>
              <w:t>2021</w:t>
            </w:r>
          </w:p>
        </w:tc>
        <w:tc>
          <w:tcPr>
            <w:tcW w:w="10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(652,442)</w:t>
            </w:r>
          </w:p>
        </w:tc>
        <w:tc>
          <w:tcPr>
            <w:tcW w:w="8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(139,001)</w:t>
            </w:r>
          </w:p>
        </w:tc>
        <w:tc>
          <w:tcPr>
            <w:tcW w:w="10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(5,417)</w:t>
            </w:r>
          </w:p>
        </w:tc>
        <w:tc>
          <w:tcPr>
            <w:tcW w:w="100" w:type="dxa"/>
            <w:vAlign w:val="bottom"/>
          </w:tcPr>
          <w:p>
            <w:pPr>
              <w:spacing w:after="0"/>
              <w:rPr>
                <w:sz w:val="15"/>
                <w:szCs w:val="15"/>
                <w:color w:val="auto"/>
              </w:rPr>
            </w:pPr>
          </w:p>
        </w:tc>
        <w:tc>
          <w:tcPr>
            <w:tcW w:w="16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7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600" w:type="dxa"/>
            <w:vAlign w:val="bottom"/>
            <w:gridSpan w:val="3"/>
          </w:tcPr>
          <w:p>
            <w:pPr>
              <w:jc w:val="right"/>
              <w:ind w:right="20"/>
              <w:spacing w:after="0"/>
              <w:rPr>
                <w:sz w:val="20"/>
                <w:szCs w:val="20"/>
                <w:color w:val="auto"/>
              </w:rPr>
            </w:pPr>
            <w:r>
              <w:rPr>
                <w:rFonts w:ascii="Arial" w:cs="Arial" w:eastAsia="Arial" w:hAnsi="Arial"/>
                <w:sz w:val="14"/>
                <w:szCs w:val="14"/>
                <w:color w:val="auto"/>
              </w:rPr>
              <w:t>(796,860)</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2020</w:t>
            </w:r>
          </w:p>
        </w:tc>
        <w:tc>
          <w:tcPr>
            <w:tcW w:w="10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(664,058)</w:t>
            </w:r>
          </w:p>
        </w:tc>
        <w:tc>
          <w:tcPr>
            <w:tcW w:w="80" w:type="dxa"/>
            <w:vAlign w:val="bottom"/>
            <w:shd w:val="clear" w:color="auto" w:fill="CCEEFF"/>
          </w:tcPr>
          <w:p>
            <w:pPr>
              <w:spacing w:after="0"/>
              <w:rPr>
                <w:sz w:val="15"/>
                <w:szCs w:val="15"/>
                <w:color w:val="auto"/>
              </w:rPr>
            </w:pPr>
          </w:p>
        </w:tc>
        <w:tc>
          <w:tcPr>
            <w:tcW w:w="1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(28,431)</w:t>
            </w:r>
          </w:p>
        </w:tc>
        <w:tc>
          <w:tcPr>
            <w:tcW w:w="100" w:type="dxa"/>
            <w:vAlign w:val="bottom"/>
            <w:shd w:val="clear" w:color="auto" w:fill="CCEEFF"/>
          </w:tcPr>
          <w:p>
            <w:pPr>
              <w:spacing w:after="0"/>
              <w:rPr>
                <w:sz w:val="15"/>
                <w:szCs w:val="15"/>
                <w:color w:val="auto"/>
              </w:rPr>
            </w:pPr>
          </w:p>
        </w:tc>
        <w:tc>
          <w:tcPr>
            <w:tcW w:w="160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(692,489)</w:t>
            </w:r>
          </w:p>
        </w:tc>
        <w:tc>
          <w:tcPr>
            <w:tcW w:w="0" w:type="dxa"/>
            <w:vAlign w:val="bottom"/>
          </w:tcPr>
          <w:p>
            <w:pPr>
              <w:spacing w:after="0"/>
              <w:rPr>
                <w:sz w:val="1"/>
                <w:szCs w:val="1"/>
                <w:color w:val="auto"/>
              </w:rPr>
            </w:pPr>
          </w:p>
        </w:tc>
      </w:tr>
      <w:tr>
        <w:trPr>
          <w:trHeight w:val="20"/>
        </w:trPr>
        <w:tc>
          <w:tcPr>
            <w:tcW w:w="8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4" w:lineRule="exact"/>
        <w:rPr>
          <w:sz w:val="20"/>
          <w:szCs w:val="20"/>
          <w:color w:val="auto"/>
        </w:rPr>
      </w:pPr>
    </w:p>
    <w:p>
      <w:pPr>
        <w:ind w:left="400" w:hanging="392"/>
        <w:spacing w:after="0"/>
        <w:tabs>
          <w:tab w:leader="none" w:pos="4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Represents the following for each year:</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Year</w:t>
            </w:r>
          </w:p>
        </w:tc>
        <w:tc>
          <w:tcPr>
            <w:tcW w:w="3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Fair Value of Covered Year Equity Awards at</w:t>
            </w:r>
          </w:p>
        </w:tc>
        <w:tc>
          <w:tcPr>
            <w:tcW w:w="134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Additions</w:t>
            </w: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260" w:type="dxa"/>
            <w:vAlign w:val="bottom"/>
            <w:gridSpan w:val="2"/>
            <w:vMerge w:val="continue"/>
          </w:tcPr>
          <w:p>
            <w:pPr>
              <w:spacing w:after="0"/>
              <w:rPr>
                <w:sz w:val="10"/>
                <w:szCs w:val="10"/>
                <w:color w:val="auto"/>
              </w:rPr>
            </w:pPr>
          </w:p>
        </w:tc>
        <w:tc>
          <w:tcPr>
            <w:tcW w:w="3380" w:type="dxa"/>
            <w:vAlign w:val="bottom"/>
            <w:gridSpan w:val="2"/>
          </w:tcPr>
          <w:p>
            <w:pPr>
              <w:jc w:val="center"/>
              <w:ind w:right="100"/>
              <w:spacing w:after="0" w:line="119" w:lineRule="exact"/>
              <w:rPr>
                <w:sz w:val="20"/>
                <w:szCs w:val="20"/>
                <w:color w:val="auto"/>
              </w:rPr>
            </w:pPr>
            <w:r>
              <w:rPr>
                <w:rFonts w:ascii="Arial" w:cs="Arial" w:eastAsia="Arial" w:hAnsi="Arial"/>
                <w:sz w:val="13"/>
                <w:szCs w:val="13"/>
                <w:b w:val="1"/>
                <w:bCs w:val="1"/>
                <w:color w:val="auto"/>
                <w:w w:val="99"/>
              </w:rPr>
              <w:t>Covered Year End</w:t>
            </w:r>
          </w:p>
        </w:tc>
        <w:tc>
          <w:tcPr>
            <w:tcW w:w="1340" w:type="dxa"/>
            <w:vAlign w:val="bottom"/>
          </w:tcPr>
          <w:p>
            <w:pPr>
              <w:ind w:left="1240"/>
              <w:spacing w:after="0" w:line="120" w:lineRule="exact"/>
              <w:rPr>
                <w:sz w:val="20"/>
                <w:szCs w:val="20"/>
                <w:color w:val="auto"/>
              </w:rPr>
            </w:pPr>
            <w:r>
              <w:rPr>
                <w:rFonts w:ascii="Arial" w:cs="Arial" w:eastAsia="Arial" w:hAnsi="Arial"/>
                <w:sz w:val="12"/>
                <w:szCs w:val="12"/>
                <w:b w:val="1"/>
                <w:bCs w:val="1"/>
                <w:color w:val="auto"/>
                <w:w w:val="70"/>
              </w:rPr>
              <w:t>to</w:t>
            </w:r>
          </w:p>
        </w:tc>
        <w:tc>
          <w:tcPr>
            <w:tcW w:w="1940" w:type="dxa"/>
            <w:vAlign w:val="bottom"/>
            <w:gridSpan w:val="2"/>
          </w:tcPr>
          <w:p>
            <w:pPr>
              <w:jc w:val="right"/>
              <w:ind w:right="1260"/>
              <w:spacing w:after="0" w:line="119" w:lineRule="exact"/>
              <w:rPr>
                <w:sz w:val="20"/>
                <w:szCs w:val="20"/>
                <w:color w:val="auto"/>
              </w:rPr>
            </w:pPr>
            <w:r>
              <w:rPr>
                <w:rFonts w:ascii="Arial" w:cs="Arial" w:eastAsia="Arial" w:hAnsi="Arial"/>
                <w:sz w:val="13"/>
                <w:szCs w:val="13"/>
                <w:b w:val="1"/>
                <w:bCs w:val="1"/>
                <w:color w:val="auto"/>
              </w:rPr>
              <w:t>SCT Total</w:t>
            </w:r>
          </w:p>
        </w:tc>
        <w:tc>
          <w:tcPr>
            <w:tcW w:w="0" w:type="dxa"/>
            <w:vAlign w:val="bottom"/>
          </w:tcPr>
          <w:p>
            <w:pPr>
              <w:spacing w:after="0"/>
              <w:rPr>
                <w:sz w:val="1"/>
                <w:szCs w:val="1"/>
                <w:color w:val="auto"/>
              </w:rPr>
            </w:pPr>
          </w:p>
        </w:tc>
      </w:tr>
      <w:tr>
        <w:trPr>
          <w:trHeight w:val="192"/>
        </w:trPr>
        <w:tc>
          <w:tcPr>
            <w:tcW w:w="41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00" w:type="dxa"/>
            <w:vAlign w:val="bottom"/>
            <w:tcBorders>
              <w:bottom w:val="single" w:sz="8" w:color="CCEEFF"/>
            </w:tcBorders>
          </w:tcPr>
          <w:p>
            <w:pPr>
              <w:spacing w:after="0"/>
              <w:rPr>
                <w:sz w:val="16"/>
                <w:szCs w:val="16"/>
                <w:color w:val="auto"/>
              </w:rPr>
            </w:pPr>
          </w:p>
        </w:tc>
        <w:tc>
          <w:tcPr>
            <w:tcW w:w="1940" w:type="dxa"/>
            <w:vAlign w:val="bottom"/>
            <w:tcBorders>
              <w:bottom w:val="single" w:sz="8" w:color="auto"/>
            </w:tcBorders>
            <w:gridSpan w:val="2"/>
          </w:tcPr>
          <w:p>
            <w:pPr>
              <w:jc w:val="right"/>
              <w:ind w:right="151"/>
              <w:spacing w:after="0"/>
              <w:rPr>
                <w:sz w:val="20"/>
                <w:szCs w:val="20"/>
                <w:color w:val="auto"/>
              </w:rPr>
            </w:pPr>
            <w:r>
              <w:rPr>
                <w:rFonts w:ascii="Arial" w:cs="Arial" w:eastAsia="Arial" w:hAnsi="Arial"/>
                <w:sz w:val="14"/>
                <w:szCs w:val="14"/>
                <w:b w:val="1"/>
                <w:bCs w:val="1"/>
                <w:color w:val="auto"/>
              </w:rPr>
              <w:t>($)</w:t>
            </w: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2022</w:t>
            </w:r>
          </w:p>
        </w:tc>
        <w:tc>
          <w:tcPr>
            <w:tcW w:w="100" w:type="dxa"/>
            <w:vAlign w:val="bottom"/>
            <w:tcBorders>
              <w:bottom w:val="single" w:sz="8" w:color="CCEEFF"/>
            </w:tcBorders>
            <w:shd w:val="clear" w:color="auto" w:fill="CCEEFF"/>
          </w:tcPr>
          <w:p>
            <w:pPr>
              <w:spacing w:after="0"/>
              <w:rPr>
                <w:sz w:val="15"/>
                <w:szCs w:val="15"/>
                <w:color w:val="auto"/>
              </w:rPr>
            </w:pPr>
          </w:p>
        </w:tc>
        <w:tc>
          <w:tcPr>
            <w:tcW w:w="3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332,820</w:t>
            </w:r>
          </w:p>
        </w:tc>
        <w:tc>
          <w:tcPr>
            <w:tcW w:w="100" w:type="dxa"/>
            <w:vAlign w:val="bottom"/>
            <w:tcBorders>
              <w:bottom w:val="single" w:sz="8" w:color="CCEEFF"/>
            </w:tcBorders>
            <w:shd w:val="clear" w:color="auto" w:fill="CCEEFF"/>
          </w:tcPr>
          <w:p>
            <w:pPr>
              <w:spacing w:after="0"/>
              <w:rPr>
                <w:sz w:val="15"/>
                <w:szCs w:val="15"/>
                <w:color w:val="auto"/>
              </w:rPr>
            </w:pPr>
          </w:p>
        </w:tc>
        <w:tc>
          <w:tcPr>
            <w:tcW w:w="32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332,820</w:t>
            </w:r>
          </w:p>
        </w:tc>
        <w:tc>
          <w:tcPr>
            <w:tcW w:w="0" w:type="dxa"/>
            <w:vAlign w:val="bottom"/>
          </w:tcPr>
          <w:p>
            <w:pPr>
              <w:spacing w:after="0"/>
              <w:rPr>
                <w:sz w:val="1"/>
                <w:szCs w:val="1"/>
                <w:color w:val="auto"/>
              </w:rPr>
            </w:pPr>
          </w:p>
        </w:tc>
      </w:tr>
      <w:tr>
        <w:trPr>
          <w:trHeight w:val="182"/>
        </w:trPr>
        <w:tc>
          <w:tcPr>
            <w:tcW w:w="4160" w:type="dxa"/>
            <w:vAlign w:val="bottom"/>
          </w:tcPr>
          <w:p>
            <w:pPr>
              <w:ind w:left="20"/>
              <w:spacing w:after="0"/>
              <w:rPr>
                <w:sz w:val="20"/>
                <w:szCs w:val="20"/>
                <w:color w:val="auto"/>
              </w:rPr>
            </w:pPr>
            <w:r>
              <w:rPr>
                <w:rFonts w:ascii="Arial" w:cs="Arial" w:eastAsia="Arial" w:hAnsi="Arial"/>
                <w:sz w:val="14"/>
                <w:szCs w:val="14"/>
                <w:color w:val="auto"/>
              </w:rPr>
              <w:t>2021</w:t>
            </w:r>
          </w:p>
        </w:tc>
        <w:tc>
          <w:tcPr>
            <w:tcW w:w="100" w:type="dxa"/>
            <w:vAlign w:val="bottom"/>
          </w:tcPr>
          <w:p>
            <w:pPr>
              <w:spacing w:after="0"/>
              <w:rPr>
                <w:sz w:val="15"/>
                <w:szCs w:val="15"/>
                <w:color w:val="auto"/>
              </w:rPr>
            </w:pPr>
          </w:p>
        </w:tc>
        <w:tc>
          <w:tcPr>
            <w:tcW w:w="3280" w:type="dxa"/>
            <w:vAlign w:val="bottom"/>
          </w:tcPr>
          <w:p>
            <w:pPr>
              <w:jc w:val="right"/>
              <w:spacing w:after="0"/>
              <w:rPr>
                <w:sz w:val="20"/>
                <w:szCs w:val="20"/>
                <w:color w:val="auto"/>
              </w:rPr>
            </w:pPr>
            <w:r>
              <w:rPr>
                <w:rFonts w:ascii="Arial" w:cs="Arial" w:eastAsia="Arial" w:hAnsi="Arial"/>
                <w:sz w:val="14"/>
                <w:szCs w:val="14"/>
                <w:color w:val="auto"/>
              </w:rPr>
              <w:t>338,971</w:t>
            </w:r>
          </w:p>
        </w:tc>
        <w:tc>
          <w:tcPr>
            <w:tcW w:w="100" w:type="dxa"/>
            <w:vAlign w:val="bottom"/>
          </w:tcPr>
          <w:p>
            <w:pPr>
              <w:spacing w:after="0"/>
              <w:rPr>
                <w:sz w:val="15"/>
                <w:szCs w:val="15"/>
                <w:color w:val="auto"/>
              </w:rPr>
            </w:pPr>
          </w:p>
        </w:tc>
        <w:tc>
          <w:tcPr>
            <w:tcW w:w="3280" w:type="dxa"/>
            <w:vAlign w:val="bottom"/>
            <w:gridSpan w:val="3"/>
          </w:tcPr>
          <w:p>
            <w:pPr>
              <w:jc w:val="right"/>
              <w:ind w:right="20"/>
              <w:spacing w:after="0"/>
              <w:rPr>
                <w:sz w:val="20"/>
                <w:szCs w:val="20"/>
                <w:color w:val="auto"/>
              </w:rPr>
            </w:pPr>
            <w:r>
              <w:rPr>
                <w:rFonts w:ascii="Arial" w:cs="Arial" w:eastAsia="Arial" w:hAnsi="Arial"/>
                <w:sz w:val="14"/>
                <w:szCs w:val="14"/>
                <w:color w:val="auto"/>
              </w:rPr>
              <w:t>338,971</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2020</w:t>
            </w:r>
          </w:p>
        </w:tc>
        <w:tc>
          <w:tcPr>
            <w:tcW w:w="100" w:type="dxa"/>
            <w:vAlign w:val="bottom"/>
            <w:shd w:val="clear" w:color="auto" w:fill="CCEEFF"/>
          </w:tcPr>
          <w:p>
            <w:pPr>
              <w:spacing w:after="0"/>
              <w:rPr>
                <w:sz w:val="15"/>
                <w:szCs w:val="15"/>
                <w:color w:val="auto"/>
              </w:rPr>
            </w:pPr>
          </w:p>
        </w:tc>
        <w:tc>
          <w:tcPr>
            <w:tcW w:w="3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905,571</w:t>
            </w:r>
          </w:p>
        </w:tc>
        <w:tc>
          <w:tcPr>
            <w:tcW w:w="100" w:type="dxa"/>
            <w:vAlign w:val="bottom"/>
            <w:shd w:val="clear" w:color="auto" w:fill="CCEEFF"/>
          </w:tcPr>
          <w:p>
            <w:pPr>
              <w:spacing w:after="0"/>
              <w:rPr>
                <w:sz w:val="15"/>
                <w:szCs w:val="15"/>
                <w:color w:val="auto"/>
              </w:rPr>
            </w:pPr>
          </w:p>
        </w:tc>
        <w:tc>
          <w:tcPr>
            <w:tcW w:w="328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905,571</w:t>
            </w:r>
          </w:p>
        </w:tc>
        <w:tc>
          <w:tcPr>
            <w:tcW w:w="0" w:type="dxa"/>
            <w:vAlign w:val="bottom"/>
          </w:tcPr>
          <w:p>
            <w:pPr>
              <w:spacing w:after="0"/>
              <w:rPr>
                <w:sz w:val="1"/>
                <w:szCs w:val="1"/>
                <w:color w:val="auto"/>
              </w:rPr>
            </w:pPr>
          </w:p>
        </w:tc>
      </w:tr>
      <w:tr>
        <w:trPr>
          <w:trHeight w:val="20"/>
        </w:trPr>
        <w:tc>
          <w:tcPr>
            <w:tcW w:w="4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None of the NEOs are accruing benefits under a pension plan for services rendered in any of the covered years, and therefore no additions are required for pension plan service cost in determining CAP.</w:t>
      </w:r>
    </w:p>
    <w:p>
      <w:pPr>
        <w:spacing w:after="0" w:line="50" w:lineRule="exact"/>
        <w:rPr>
          <w:sz w:val="20"/>
          <w:szCs w:val="20"/>
          <w:color w:val="auto"/>
        </w:rPr>
      </w:pPr>
    </w:p>
    <w:p>
      <w:pPr>
        <w:ind w:left="340" w:right="20" w:hanging="332"/>
        <w:spacing w:after="0" w:line="275" w:lineRule="auto"/>
        <w:tabs>
          <w:tab w:leader="none" w:pos="3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Assumptions used in the valuation of equity awards for purposes of calculating compensation actually paid were the same as at the grant date except for adjusting for expected and actual performance of PSUs at each measurement date.</w:t>
      </w:r>
    </w:p>
    <w:p>
      <w:pPr>
        <w:spacing w:after="0" w:line="77" w:lineRule="exact"/>
        <w:rPr>
          <w:rFonts w:ascii="Arial" w:cs="Arial" w:eastAsia="Arial" w:hAnsi="Arial"/>
          <w:sz w:val="16"/>
          <w:szCs w:val="16"/>
          <w:color w:val="auto"/>
        </w:rPr>
      </w:pPr>
    </w:p>
    <w:p>
      <w:pPr>
        <w:ind w:left="360" w:hanging="352"/>
        <w:spacing w:after="0"/>
        <w:tabs>
          <w:tab w:leader="none" w:pos="3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non-PEO NEOs represent the following individuals for each of the years shown:</w:t>
      </w:r>
    </w:p>
    <w:p>
      <w:pPr>
        <w:spacing w:after="0" w:line="113" w:lineRule="exact"/>
        <w:rPr>
          <w:rFonts w:ascii="Arial" w:cs="Arial" w:eastAsia="Arial" w:hAnsi="Arial"/>
          <w:sz w:val="16"/>
          <w:szCs w:val="16"/>
          <w:color w:val="auto"/>
        </w:rPr>
      </w:pPr>
    </w:p>
    <w:p>
      <w:pPr>
        <w:ind w:left="1620" w:right="20" w:hanging="640"/>
        <w:spacing w:after="0" w:line="275" w:lineRule="auto"/>
        <w:tabs>
          <w:tab w:leader="none" w:pos="1609" w:val="left"/>
        </w:tabs>
        <w:numPr>
          <w:ilvl w:val="1"/>
          <w:numId w:val="49"/>
        </w:numPr>
        <w:rPr>
          <w:rFonts w:ascii="Arial" w:cs="Arial" w:eastAsia="Arial" w:hAnsi="Arial"/>
          <w:sz w:val="16"/>
          <w:szCs w:val="16"/>
          <w:color w:val="auto"/>
        </w:rPr>
      </w:pPr>
      <w:r>
        <w:rPr>
          <w:rFonts w:ascii="Arial" w:cs="Arial" w:eastAsia="Arial" w:hAnsi="Arial"/>
          <w:sz w:val="16"/>
          <w:szCs w:val="16"/>
          <w:color w:val="auto"/>
        </w:rPr>
        <w:t>2022: Michael Graham, CFO, Rachel Bishop, President, Hefty Tableware, Judith Buckner, President, Reynolds Cooking &amp; Baking, Lisa Smith, President, Hefty Waste and Storage and Craig Cappel, Former President, Reynolds Cooking &amp; Baking;</w:t>
      </w:r>
    </w:p>
    <w:p>
      <w:pPr>
        <w:spacing w:after="0" w:line="77" w:lineRule="exact"/>
        <w:rPr>
          <w:rFonts w:ascii="Arial" w:cs="Arial" w:eastAsia="Arial" w:hAnsi="Arial"/>
          <w:sz w:val="16"/>
          <w:szCs w:val="16"/>
          <w:color w:val="auto"/>
        </w:rPr>
      </w:pPr>
    </w:p>
    <w:p>
      <w:pPr>
        <w:ind w:left="1620" w:right="20" w:hanging="640"/>
        <w:spacing w:after="0" w:line="275" w:lineRule="auto"/>
        <w:tabs>
          <w:tab w:leader="none" w:pos="1609" w:val="left"/>
        </w:tabs>
        <w:numPr>
          <w:ilvl w:val="1"/>
          <w:numId w:val="49"/>
        </w:numPr>
        <w:rPr>
          <w:rFonts w:ascii="Arial" w:cs="Arial" w:eastAsia="Arial" w:hAnsi="Arial"/>
          <w:sz w:val="16"/>
          <w:szCs w:val="16"/>
          <w:color w:val="auto"/>
        </w:rPr>
      </w:pPr>
      <w:r>
        <w:rPr>
          <w:rFonts w:ascii="Arial" w:cs="Arial" w:eastAsia="Arial" w:hAnsi="Arial"/>
          <w:sz w:val="16"/>
          <w:szCs w:val="16"/>
          <w:color w:val="auto"/>
        </w:rPr>
        <w:t>2021: Michael Graham, CFO, Craig Cappel, Former President, Reynolds Cooking &amp; Baking, Stephan Pace, President, Sales and Chief Customer Officer and Steve Estes, Chief Administrative Officer; and</w:t>
      </w:r>
    </w:p>
    <w:p>
      <w:pPr>
        <w:spacing w:after="0" w:line="77" w:lineRule="exact"/>
        <w:rPr>
          <w:rFonts w:ascii="Arial" w:cs="Arial" w:eastAsia="Arial" w:hAnsi="Arial"/>
          <w:sz w:val="16"/>
          <w:szCs w:val="16"/>
          <w:color w:val="auto"/>
        </w:rPr>
      </w:pPr>
    </w:p>
    <w:p>
      <w:pPr>
        <w:ind w:left="1620" w:hanging="640"/>
        <w:spacing w:after="0" w:line="275" w:lineRule="auto"/>
        <w:tabs>
          <w:tab w:leader="none" w:pos="1609" w:val="left"/>
        </w:tabs>
        <w:numPr>
          <w:ilvl w:val="1"/>
          <w:numId w:val="49"/>
        </w:numPr>
        <w:rPr>
          <w:rFonts w:ascii="Arial" w:cs="Arial" w:eastAsia="Arial" w:hAnsi="Arial"/>
          <w:sz w:val="16"/>
          <w:szCs w:val="16"/>
          <w:color w:val="auto"/>
        </w:rPr>
      </w:pPr>
      <w:r>
        <w:rPr>
          <w:rFonts w:ascii="Arial" w:cs="Arial" w:eastAsia="Arial" w:hAnsi="Arial"/>
          <w:sz w:val="16"/>
          <w:szCs w:val="16"/>
          <w:color w:val="auto"/>
        </w:rPr>
        <w:t>2020: Michael Graham, CFO, Rachel Bishop, President, Hefty Tableware, Craig Cappel, Former President, Reynolds Cooking &amp; Baking and Stephan Pace, President, Sales and Chief Customer Officer.</w:t>
      </w:r>
    </w:p>
    <w:p>
      <w:pPr>
        <w:spacing w:after="0" w:line="64" w:lineRule="exact"/>
        <w:rPr>
          <w:rFonts w:ascii="Arial" w:cs="Arial" w:eastAsia="Arial" w:hAnsi="Arial"/>
          <w:sz w:val="16"/>
          <w:szCs w:val="16"/>
          <w:color w:val="auto"/>
        </w:rPr>
      </w:pPr>
    </w:p>
    <w:p>
      <w:pPr>
        <w:ind w:left="340" w:hanging="332"/>
        <w:spacing w:after="0" w:line="293" w:lineRule="auto"/>
        <w:tabs>
          <w:tab w:leader="none" w:pos="409" w:val="left"/>
        </w:tabs>
        <w:numPr>
          <w:ilvl w:val="0"/>
          <w:numId w:val="49"/>
        </w:numPr>
        <w:rPr>
          <w:rFonts w:ascii="Arial" w:cs="Arial" w:eastAsia="Arial" w:hAnsi="Arial"/>
          <w:sz w:val="16"/>
          <w:szCs w:val="16"/>
          <w:color w:val="auto"/>
        </w:rPr>
      </w:pPr>
      <w:r>
        <w:rPr>
          <w:rFonts w:ascii="Arial" w:cs="Arial" w:eastAsia="Arial" w:hAnsi="Arial"/>
          <w:sz w:val="16"/>
          <w:szCs w:val="16"/>
          <w:color w:val="auto"/>
        </w:rPr>
        <w:t>Total shareholder return as calculated based on a fixed investment of $100 measured from the market close on January 31, 2020 (the first trading day of our stock) through and including the end of the fiscal year for each year reported in the table.</w:t>
      </w:r>
    </w:p>
    <w:p>
      <w:pPr>
        <w:spacing w:after="0" w:line="50" w:lineRule="exact"/>
        <w:rPr>
          <w:rFonts w:ascii="Arial" w:cs="Arial" w:eastAsia="Arial" w:hAnsi="Arial"/>
          <w:sz w:val="16"/>
          <w:szCs w:val="16"/>
          <w:color w:val="auto"/>
        </w:rPr>
      </w:pPr>
    </w:p>
    <w:p>
      <w:pPr>
        <w:ind w:left="340" w:right="20" w:hanging="332"/>
        <w:spacing w:after="0" w:line="293" w:lineRule="auto"/>
        <w:tabs>
          <w:tab w:leader="none" w:pos="413"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complete list of our peer group used for the TSR calculation is the same group of companies used by us for purposes of the performance graph in our Annual Report on Form 10-K and comprises: Church &amp; Dwight Co., Inc., The Clorox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4F81B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40"/>
        <w:spacing w:after="0" w:line="275" w:lineRule="auto"/>
        <w:rPr>
          <w:sz w:val="20"/>
          <w:szCs w:val="20"/>
          <w:color w:val="auto"/>
        </w:rPr>
      </w:pPr>
      <w:r>
        <w:rPr>
          <w:rFonts w:ascii="Arial" w:cs="Arial" w:eastAsia="Arial" w:hAnsi="Arial"/>
          <w:sz w:val="16"/>
          <w:szCs w:val="16"/>
          <w:color w:val="auto"/>
        </w:rPr>
        <w:t>Company, Colgate-Palmolive Company, Energizer Holdings, Inc., Kimberly-Clark Corporation, Newell Brands Inc., The Procter &amp; Gamble Company, The Scotts Miracle-Gro Company, Spectrum Brands Holdings, Inc. and WD-40 Company.</w:t>
      </w:r>
    </w:p>
    <w:p>
      <w:pPr>
        <w:spacing w:after="0" w:line="78" w:lineRule="exact"/>
        <w:rPr>
          <w:sz w:val="20"/>
          <w:szCs w:val="20"/>
          <w:color w:val="auto"/>
        </w:rPr>
      </w:pPr>
    </w:p>
    <w:p>
      <w:pPr>
        <w:jc w:val="both"/>
        <w:ind w:left="340" w:right="20" w:hanging="332"/>
        <w:spacing w:after="0" w:line="325" w:lineRule="auto"/>
        <w:tabs>
          <w:tab w:leader="none" w:pos="414" w:val="left"/>
        </w:tabs>
        <w:numPr>
          <w:ilvl w:val="0"/>
          <w:numId w:val="50"/>
        </w:numPr>
        <w:rPr>
          <w:rFonts w:ascii="Arial" w:cs="Arial" w:eastAsia="Arial" w:hAnsi="Arial"/>
          <w:sz w:val="14"/>
          <w:szCs w:val="14"/>
          <w:color w:val="auto"/>
        </w:rPr>
      </w:pPr>
      <w:r>
        <w:rPr>
          <w:rFonts w:ascii="Arial" w:cs="Arial" w:eastAsia="Arial" w:hAnsi="Arial"/>
          <w:sz w:val="14"/>
          <w:szCs w:val="14"/>
          <w:color w:val="auto"/>
        </w:rPr>
        <w:t>Our company-selected measure, which is the measure we believe represents the most important financial performance measure not otherwise presented in the table above that we use to link Compensation Actually Paid to our NEOs for fiscal 2022 to our company’s performance is Adjusted EBITDA. Adjusted EBITDA is a non-GAAP financial measure. Refer to Appendix A to this Proxy Statement for a reconciliation of this non-GAAP financial measure to the corresponding GAAP measure.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Performance Measures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most important financial performance measures used by us to link executive compensation actually paid to the Company’s NEOs, for 2022, to our performance are as follows:</w:t>
      </w:r>
    </w:p>
    <w:p>
      <w:pPr>
        <w:spacing w:after="0" w:line="20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Most Important Performance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60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140" w:hanging="114"/>
        <w:spacing w:after="0"/>
        <w:tabs>
          <w:tab w:leader="none" w:pos="1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Adjusted EBITDA</w:t>
      </w:r>
    </w:p>
    <w:p>
      <w:pPr>
        <w:spacing w:after="0" w:line="22" w:lineRule="exact"/>
        <w:rPr>
          <w:rFonts w:ascii="Arial" w:cs="Arial" w:eastAsia="Arial" w:hAnsi="Arial"/>
          <w:sz w:val="18"/>
          <w:szCs w:val="18"/>
          <w:color w:val="auto"/>
        </w:rPr>
      </w:pPr>
    </w:p>
    <w:p>
      <w:pPr>
        <w:ind w:left="140" w:hanging="114"/>
        <w:spacing w:after="0"/>
        <w:tabs>
          <w:tab w:leader="none" w:pos="1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Revenue</w:t>
      </w:r>
    </w:p>
    <w:p>
      <w:pPr>
        <w:spacing w:after="0" w:line="22" w:lineRule="exact"/>
        <w:rPr>
          <w:rFonts w:ascii="Arial" w:cs="Arial" w:eastAsia="Arial" w:hAnsi="Arial"/>
          <w:sz w:val="18"/>
          <w:szCs w:val="18"/>
          <w:color w:val="auto"/>
        </w:rPr>
      </w:pPr>
    </w:p>
    <w:p>
      <w:pPr>
        <w:ind w:left="140" w:hanging="114"/>
        <w:spacing w:after="0"/>
        <w:tabs>
          <w:tab w:leader="none" w:pos="1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Adjusted Earnings per Share</w:t>
      </w:r>
      <w:r>
        <w:rPr>
          <w:rFonts w:ascii="Arial" w:cs="Arial" w:eastAsia="Arial" w:hAnsi="Arial"/>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132320" cy="1460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46" w:lineRule="exact"/>
        <w:rPr>
          <w:sz w:val="20"/>
          <w:szCs w:val="20"/>
          <w:color w:val="auto"/>
        </w:rPr>
      </w:pPr>
    </w:p>
    <w:p>
      <w:pPr>
        <w:ind w:left="340" w:hanging="332"/>
        <w:spacing w:after="0" w:line="275" w:lineRule="auto"/>
        <w:tabs>
          <w:tab w:leader="none" w:pos="422" w:val="left"/>
        </w:tabs>
        <w:numPr>
          <w:ilvl w:val="0"/>
          <w:numId w:val="52"/>
        </w:numPr>
        <w:rPr>
          <w:rFonts w:ascii="Arial" w:cs="Arial" w:eastAsia="Arial" w:hAnsi="Arial"/>
          <w:sz w:val="16"/>
          <w:szCs w:val="16"/>
          <w:color w:val="auto"/>
        </w:rPr>
      </w:pPr>
      <w:r>
        <w:rPr>
          <w:rFonts w:ascii="Arial" w:cs="Arial" w:eastAsia="Arial" w:hAnsi="Arial"/>
          <w:sz w:val="16"/>
          <w:szCs w:val="16"/>
          <w:color w:val="auto"/>
        </w:rPr>
        <w:t>We define Adjusted Earnings per Share as Earnings per Share calculated in accordance with GAAP, plus after-tax IPO and separation-related costs and other non-recurring costs.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 between Pay and Performance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charts below present a graphical comparison of Compensation Actually Paid to our PEO and the average Compensation Actually Paid to our Non-PEO NEOs set forth in the Pay Versus Performance table above, as compared against the following performance measures: our (1) TSR and peer group TSR, (2) net income, and (3) Adjusted EBITDA. Refer to Appendix A to this Proxy Statement for a reconciliation of Adjusted EBITDA to the corresponding GAAP measure for the periods presented.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Compensation Actually Paid vs. Cumulative Company TSR and Cumulative Peer Group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151765</wp:posOffset>
            </wp:positionV>
            <wp:extent cx="5349240" cy="23228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349240" cy="2322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340" w:right="180" w:hanging="332"/>
        <w:spacing w:after="0" w:line="275" w:lineRule="auto"/>
        <w:tabs>
          <w:tab w:leader="none" w:pos="407" w:val="left"/>
        </w:tabs>
        <w:numPr>
          <w:ilvl w:val="0"/>
          <w:numId w:val="53"/>
        </w:numPr>
        <w:rPr>
          <w:rFonts w:ascii="Arial" w:cs="Arial" w:eastAsia="Arial" w:hAnsi="Arial"/>
          <w:sz w:val="16"/>
          <w:szCs w:val="16"/>
          <w:color w:val="auto"/>
        </w:rPr>
      </w:pPr>
      <w:r>
        <w:rPr>
          <w:rFonts w:ascii="Arial" w:cs="Arial" w:eastAsia="Arial" w:hAnsi="Arial"/>
          <w:sz w:val="16"/>
          <w:szCs w:val="16"/>
          <w:color w:val="auto"/>
        </w:rPr>
        <w:t>Regular CAP consists of CAP amounts in each year, other than IPO-Related CAP in 2020. IPO-Related CAP consists of the 2020 amounts awarded pursuant to IPO Success Transition Bonuses and the IPO RSUs granted on February 4,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4F81B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Compensation Actually Paid vs.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151765</wp:posOffset>
            </wp:positionV>
            <wp:extent cx="5349240" cy="23228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349240" cy="2322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340" w:hanging="332"/>
        <w:spacing w:after="0" w:line="275" w:lineRule="auto"/>
        <w:tabs>
          <w:tab w:leader="none" w:pos="407" w:val="left"/>
        </w:tabs>
        <w:numPr>
          <w:ilvl w:val="0"/>
          <w:numId w:val="54"/>
        </w:numPr>
        <w:rPr>
          <w:rFonts w:ascii="Arial" w:cs="Arial" w:eastAsia="Arial" w:hAnsi="Arial"/>
          <w:sz w:val="16"/>
          <w:szCs w:val="16"/>
          <w:color w:val="auto"/>
        </w:rPr>
      </w:pPr>
      <w:r>
        <w:rPr>
          <w:rFonts w:ascii="Arial" w:cs="Arial" w:eastAsia="Arial" w:hAnsi="Arial"/>
          <w:sz w:val="16"/>
          <w:szCs w:val="16"/>
          <w:color w:val="auto"/>
        </w:rPr>
        <w:t>Regular CAP consists of CAP amounts in each year, other than IPO-Related CAP in 2020. IPO-Related CAP consists of the 2020 amounts awarded pursuant to IPO Success Transition Bonuses and the IPO RSUs granted on February 4, 2020.</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Compensation Actually Paid vs.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151765</wp:posOffset>
            </wp:positionV>
            <wp:extent cx="5349240" cy="23228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349240" cy="2322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340" w:hanging="332"/>
        <w:spacing w:after="0" w:line="275" w:lineRule="auto"/>
        <w:tabs>
          <w:tab w:leader="none" w:pos="407" w:val="left"/>
        </w:tabs>
        <w:numPr>
          <w:ilvl w:val="0"/>
          <w:numId w:val="55"/>
        </w:numPr>
        <w:rPr>
          <w:rFonts w:ascii="Arial" w:cs="Arial" w:eastAsia="Arial" w:hAnsi="Arial"/>
          <w:sz w:val="16"/>
          <w:szCs w:val="16"/>
          <w:color w:val="auto"/>
        </w:rPr>
      </w:pPr>
      <w:r>
        <w:rPr>
          <w:rFonts w:ascii="Arial" w:cs="Arial" w:eastAsia="Arial" w:hAnsi="Arial"/>
          <w:sz w:val="16"/>
          <w:szCs w:val="16"/>
          <w:color w:val="auto"/>
        </w:rPr>
        <w:t>Regular CAP consists of CAP amounts in each year, other than IPO-Related CAP in 2020. IPO-Related CAP consists of the 2020 amounts awarded pursuant to IPO Success Transition Bonuses and the IPO RSUs granted on February 4,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26" w:right="51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4F81B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00" w:type="dxa"/>
            <w:vAlign w:val="bottom"/>
          </w:tcPr>
          <w:p>
            <w:pPr>
              <w:spacing w:after="0"/>
              <w:rPr>
                <w:sz w:val="20"/>
                <w:szCs w:val="20"/>
                <w:color w:val="auto"/>
              </w:rPr>
            </w:pPr>
            <w:r>
              <w:rPr>
                <w:rFonts w:ascii="Arial" w:cs="Arial" w:eastAsia="Arial" w:hAnsi="Arial"/>
                <w:sz w:val="18"/>
                <w:szCs w:val="18"/>
                <w:b w:val="1"/>
                <w:bCs w:val="1"/>
                <w:color w:val="auto"/>
              </w:rPr>
              <w:t>EQUITY COMPENSATION PLAN INFORMATION</w:t>
            </w:r>
          </w:p>
        </w:tc>
        <w:tc>
          <w:tcPr>
            <w:tcW w:w="204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860" w:type="dxa"/>
            <w:vAlign w:val="bottom"/>
            <w:gridSpan w:val="3"/>
          </w:tcPr>
          <w:p>
            <w:pPr>
              <w:spacing w:after="0"/>
              <w:rPr>
                <w:sz w:val="20"/>
                <w:szCs w:val="20"/>
                <w:color w:val="auto"/>
              </w:rPr>
            </w:pPr>
            <w:r>
              <w:rPr>
                <w:rFonts w:ascii="Arial" w:cs="Arial" w:eastAsia="Arial" w:hAnsi="Arial"/>
                <w:sz w:val="18"/>
                <w:szCs w:val="18"/>
                <w:color w:val="auto"/>
              </w:rPr>
              <w:t>The following table sets forth information concerning our equity compensation plans as of December 31, 2022.</w:t>
            </w: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46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680" w:type="dxa"/>
            <w:vAlign w:val="bottom"/>
          </w:tcPr>
          <w:p>
            <w:pPr>
              <w:jc w:val="center"/>
              <w:ind w:left="470"/>
              <w:spacing w:after="0"/>
              <w:rPr>
                <w:sz w:val="20"/>
                <w:szCs w:val="20"/>
                <w:color w:val="auto"/>
              </w:rPr>
            </w:pPr>
            <w:r>
              <w:rPr>
                <w:rFonts w:ascii="Arial" w:cs="Arial" w:eastAsia="Arial" w:hAnsi="Arial"/>
                <w:sz w:val="18"/>
                <w:szCs w:val="18"/>
                <w:b w:val="1"/>
                <w:bCs w:val="1"/>
                <w:color w:val="auto"/>
                <w:w w:val="93"/>
              </w:rPr>
              <w:t>Number of</w:t>
            </w:r>
          </w:p>
        </w:tc>
        <w:tc>
          <w:tcPr>
            <w:tcW w:w="0" w:type="dxa"/>
            <w:vAlign w:val="bottom"/>
          </w:tcPr>
          <w:p>
            <w:pPr>
              <w:spacing w:after="0"/>
              <w:rPr>
                <w:sz w:val="1"/>
                <w:szCs w:val="1"/>
                <w:color w:val="auto"/>
              </w:rPr>
            </w:pPr>
          </w:p>
        </w:tc>
      </w:tr>
      <w:tr>
        <w:trPr>
          <w:trHeight w:val="184"/>
        </w:trPr>
        <w:tc>
          <w:tcPr>
            <w:tcW w:w="460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680" w:type="dxa"/>
            <w:vAlign w:val="bottom"/>
          </w:tcPr>
          <w:p>
            <w:pPr>
              <w:jc w:val="center"/>
              <w:ind w:left="470"/>
              <w:spacing w:after="0" w:line="184" w:lineRule="exact"/>
              <w:rPr>
                <w:sz w:val="20"/>
                <w:szCs w:val="20"/>
                <w:color w:val="auto"/>
              </w:rPr>
            </w:pPr>
            <w:r>
              <w:rPr>
                <w:rFonts w:ascii="Arial" w:cs="Arial" w:eastAsia="Arial" w:hAnsi="Arial"/>
                <w:sz w:val="18"/>
                <w:szCs w:val="18"/>
                <w:b w:val="1"/>
                <w:bCs w:val="1"/>
                <w:color w:val="auto"/>
                <w:w w:val="85"/>
              </w:rPr>
              <w:t>securities</w:t>
            </w:r>
          </w:p>
        </w:tc>
        <w:tc>
          <w:tcPr>
            <w:tcW w:w="0" w:type="dxa"/>
            <w:vAlign w:val="bottom"/>
          </w:tcPr>
          <w:p>
            <w:pPr>
              <w:spacing w:after="0"/>
              <w:rPr>
                <w:sz w:val="1"/>
                <w:szCs w:val="1"/>
                <w:color w:val="auto"/>
              </w:rPr>
            </w:pPr>
          </w:p>
        </w:tc>
      </w:tr>
      <w:tr>
        <w:trPr>
          <w:trHeight w:val="180"/>
        </w:trPr>
        <w:tc>
          <w:tcPr>
            <w:tcW w:w="46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680" w:type="dxa"/>
            <w:vAlign w:val="bottom"/>
          </w:tcPr>
          <w:p>
            <w:pPr>
              <w:jc w:val="center"/>
              <w:ind w:left="490"/>
              <w:spacing w:after="0" w:line="181" w:lineRule="exact"/>
              <w:rPr>
                <w:sz w:val="20"/>
                <w:szCs w:val="20"/>
                <w:color w:val="auto"/>
              </w:rPr>
            </w:pPr>
            <w:r>
              <w:rPr>
                <w:rFonts w:ascii="Arial" w:cs="Arial" w:eastAsia="Arial" w:hAnsi="Arial"/>
                <w:sz w:val="18"/>
                <w:szCs w:val="18"/>
                <w:b w:val="1"/>
                <w:bCs w:val="1"/>
                <w:color w:val="auto"/>
                <w:w w:val="90"/>
              </w:rPr>
              <w:t>remaining</w:t>
            </w:r>
          </w:p>
        </w:tc>
        <w:tc>
          <w:tcPr>
            <w:tcW w:w="0" w:type="dxa"/>
            <w:vAlign w:val="bottom"/>
          </w:tcPr>
          <w:p>
            <w:pPr>
              <w:spacing w:after="0"/>
              <w:rPr>
                <w:sz w:val="1"/>
                <w:szCs w:val="1"/>
                <w:color w:val="auto"/>
              </w:rPr>
            </w:pPr>
          </w:p>
        </w:tc>
      </w:tr>
      <w:tr>
        <w:trPr>
          <w:trHeight w:val="176"/>
        </w:trPr>
        <w:tc>
          <w:tcPr>
            <w:tcW w:w="46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680" w:type="dxa"/>
            <w:vAlign w:val="bottom"/>
          </w:tcPr>
          <w:p>
            <w:pPr>
              <w:jc w:val="center"/>
              <w:ind w:left="470"/>
              <w:spacing w:after="0" w:line="176" w:lineRule="exact"/>
              <w:rPr>
                <w:sz w:val="20"/>
                <w:szCs w:val="20"/>
                <w:color w:val="auto"/>
              </w:rPr>
            </w:pPr>
            <w:r>
              <w:rPr>
                <w:rFonts w:ascii="Arial" w:cs="Arial" w:eastAsia="Arial" w:hAnsi="Arial"/>
                <w:sz w:val="18"/>
                <w:szCs w:val="18"/>
                <w:b w:val="1"/>
                <w:bCs w:val="1"/>
                <w:color w:val="auto"/>
                <w:w w:val="89"/>
              </w:rPr>
              <w:t>available</w:t>
            </w:r>
          </w:p>
        </w:tc>
        <w:tc>
          <w:tcPr>
            <w:tcW w:w="0" w:type="dxa"/>
            <w:vAlign w:val="bottom"/>
          </w:tcPr>
          <w:p>
            <w:pPr>
              <w:spacing w:after="0"/>
              <w:rPr>
                <w:sz w:val="1"/>
                <w:szCs w:val="1"/>
                <w:color w:val="auto"/>
              </w:rPr>
            </w:pPr>
          </w:p>
        </w:tc>
      </w:tr>
      <w:tr>
        <w:trPr>
          <w:trHeight w:val="184"/>
        </w:trPr>
        <w:tc>
          <w:tcPr>
            <w:tcW w:w="460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680" w:type="dxa"/>
            <w:vAlign w:val="bottom"/>
          </w:tcPr>
          <w:p>
            <w:pPr>
              <w:jc w:val="center"/>
              <w:ind w:left="470"/>
              <w:spacing w:after="0" w:line="184" w:lineRule="exact"/>
              <w:rPr>
                <w:sz w:val="20"/>
                <w:szCs w:val="20"/>
                <w:color w:val="auto"/>
              </w:rPr>
            </w:pPr>
            <w:r>
              <w:rPr>
                <w:rFonts w:ascii="Arial" w:cs="Arial" w:eastAsia="Arial" w:hAnsi="Arial"/>
                <w:sz w:val="18"/>
                <w:szCs w:val="18"/>
                <w:b w:val="1"/>
                <w:bCs w:val="1"/>
                <w:color w:val="auto"/>
                <w:w w:val="94"/>
              </w:rPr>
              <w:t>for future</w:t>
            </w:r>
          </w:p>
        </w:tc>
        <w:tc>
          <w:tcPr>
            <w:tcW w:w="0" w:type="dxa"/>
            <w:vAlign w:val="bottom"/>
          </w:tcPr>
          <w:p>
            <w:pPr>
              <w:spacing w:after="0"/>
              <w:rPr>
                <w:sz w:val="1"/>
                <w:szCs w:val="1"/>
                <w:color w:val="auto"/>
              </w:rPr>
            </w:pPr>
          </w:p>
        </w:tc>
      </w:tr>
      <w:tr>
        <w:trPr>
          <w:trHeight w:val="180"/>
        </w:trPr>
        <w:tc>
          <w:tcPr>
            <w:tcW w:w="4600" w:type="dxa"/>
            <w:vAlign w:val="bottom"/>
          </w:tcPr>
          <w:p>
            <w:pPr>
              <w:spacing w:after="0"/>
              <w:rPr>
                <w:sz w:val="15"/>
                <w:szCs w:val="15"/>
                <w:color w:val="auto"/>
              </w:rPr>
            </w:pPr>
          </w:p>
        </w:tc>
        <w:tc>
          <w:tcPr>
            <w:tcW w:w="204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93"/>
              </w:rPr>
              <w:t>Number of</w:t>
            </w:r>
          </w:p>
        </w:tc>
        <w:tc>
          <w:tcPr>
            <w:tcW w:w="2220" w:type="dxa"/>
            <w:vAlign w:val="bottom"/>
          </w:tcPr>
          <w:p>
            <w:pPr>
              <w:spacing w:after="0"/>
              <w:rPr>
                <w:sz w:val="15"/>
                <w:szCs w:val="15"/>
                <w:color w:val="auto"/>
              </w:rPr>
            </w:pPr>
          </w:p>
        </w:tc>
        <w:tc>
          <w:tcPr>
            <w:tcW w:w="1680" w:type="dxa"/>
            <w:vAlign w:val="bottom"/>
          </w:tcPr>
          <w:p>
            <w:pPr>
              <w:jc w:val="center"/>
              <w:ind w:left="470"/>
              <w:spacing w:after="0" w:line="181" w:lineRule="exact"/>
              <w:rPr>
                <w:sz w:val="20"/>
                <w:szCs w:val="20"/>
                <w:color w:val="auto"/>
              </w:rPr>
            </w:pPr>
            <w:r>
              <w:rPr>
                <w:rFonts w:ascii="Arial" w:cs="Arial" w:eastAsia="Arial" w:hAnsi="Arial"/>
                <w:sz w:val="18"/>
                <w:szCs w:val="18"/>
                <w:b w:val="1"/>
                <w:bCs w:val="1"/>
                <w:color w:val="auto"/>
                <w:w w:val="83"/>
              </w:rPr>
              <w:t>issuance</w:t>
            </w:r>
          </w:p>
        </w:tc>
        <w:tc>
          <w:tcPr>
            <w:tcW w:w="0" w:type="dxa"/>
            <w:vAlign w:val="bottom"/>
          </w:tcPr>
          <w:p>
            <w:pPr>
              <w:spacing w:after="0"/>
              <w:rPr>
                <w:sz w:val="1"/>
                <w:szCs w:val="1"/>
                <w:color w:val="auto"/>
              </w:rPr>
            </w:pPr>
          </w:p>
        </w:tc>
      </w:tr>
      <w:tr>
        <w:trPr>
          <w:trHeight w:val="176"/>
        </w:trPr>
        <w:tc>
          <w:tcPr>
            <w:tcW w:w="4600" w:type="dxa"/>
            <w:vAlign w:val="bottom"/>
          </w:tcPr>
          <w:p>
            <w:pPr>
              <w:spacing w:after="0"/>
              <w:rPr>
                <w:sz w:val="15"/>
                <w:szCs w:val="15"/>
                <w:color w:val="auto"/>
              </w:rPr>
            </w:pPr>
          </w:p>
        </w:tc>
        <w:tc>
          <w:tcPr>
            <w:tcW w:w="20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5"/>
              </w:rPr>
              <w:t>securities</w:t>
            </w:r>
          </w:p>
        </w:tc>
        <w:tc>
          <w:tcPr>
            <w:tcW w:w="2220" w:type="dxa"/>
            <w:vAlign w:val="bottom"/>
          </w:tcPr>
          <w:p>
            <w:pPr>
              <w:spacing w:after="0"/>
              <w:rPr>
                <w:sz w:val="15"/>
                <w:szCs w:val="15"/>
                <w:color w:val="auto"/>
              </w:rPr>
            </w:pPr>
          </w:p>
        </w:tc>
        <w:tc>
          <w:tcPr>
            <w:tcW w:w="1680" w:type="dxa"/>
            <w:vAlign w:val="bottom"/>
          </w:tcPr>
          <w:p>
            <w:pPr>
              <w:jc w:val="center"/>
              <w:ind w:left="490"/>
              <w:spacing w:after="0" w:line="176" w:lineRule="exact"/>
              <w:rPr>
                <w:sz w:val="20"/>
                <w:szCs w:val="20"/>
                <w:color w:val="auto"/>
              </w:rPr>
            </w:pPr>
            <w:r>
              <w:rPr>
                <w:rFonts w:ascii="Arial" w:cs="Arial" w:eastAsia="Arial" w:hAnsi="Arial"/>
                <w:sz w:val="18"/>
                <w:szCs w:val="18"/>
                <w:b w:val="1"/>
                <w:bCs w:val="1"/>
                <w:color w:val="auto"/>
                <w:w w:val="91"/>
              </w:rPr>
              <w:t>under</w:t>
            </w:r>
          </w:p>
        </w:tc>
        <w:tc>
          <w:tcPr>
            <w:tcW w:w="0" w:type="dxa"/>
            <w:vAlign w:val="bottom"/>
          </w:tcPr>
          <w:p>
            <w:pPr>
              <w:spacing w:after="0"/>
              <w:rPr>
                <w:sz w:val="1"/>
                <w:szCs w:val="1"/>
                <w:color w:val="auto"/>
              </w:rPr>
            </w:pPr>
          </w:p>
        </w:tc>
      </w:tr>
      <w:tr>
        <w:trPr>
          <w:trHeight w:val="189"/>
        </w:trPr>
        <w:tc>
          <w:tcPr>
            <w:tcW w:w="4600" w:type="dxa"/>
            <w:vAlign w:val="bottom"/>
          </w:tcPr>
          <w:p>
            <w:pPr>
              <w:spacing w:after="0"/>
              <w:rPr>
                <w:sz w:val="16"/>
                <w:szCs w:val="16"/>
                <w:color w:val="auto"/>
              </w:rPr>
            </w:pPr>
          </w:p>
        </w:tc>
        <w:tc>
          <w:tcPr>
            <w:tcW w:w="2040" w:type="dxa"/>
            <w:vAlign w:val="bottom"/>
          </w:tcPr>
          <w:p>
            <w:pPr>
              <w:jc w:val="center"/>
              <w:ind w:right="10"/>
              <w:spacing w:after="0" w:line="189" w:lineRule="exact"/>
              <w:rPr>
                <w:sz w:val="20"/>
                <w:szCs w:val="20"/>
                <w:color w:val="auto"/>
              </w:rPr>
            </w:pPr>
            <w:r>
              <w:rPr>
                <w:rFonts w:ascii="Arial" w:cs="Arial" w:eastAsia="Arial" w:hAnsi="Arial"/>
                <w:sz w:val="18"/>
                <w:szCs w:val="18"/>
                <w:b w:val="1"/>
                <w:bCs w:val="1"/>
                <w:color w:val="auto"/>
                <w:w w:val="88"/>
              </w:rPr>
              <w:t>to be</w:t>
            </w:r>
          </w:p>
        </w:tc>
        <w:tc>
          <w:tcPr>
            <w:tcW w:w="222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1"/>
              </w:rPr>
              <w:t>Weighted-</w:t>
            </w:r>
          </w:p>
        </w:tc>
        <w:tc>
          <w:tcPr>
            <w:tcW w:w="1680" w:type="dxa"/>
            <w:vAlign w:val="bottom"/>
          </w:tcPr>
          <w:p>
            <w:pPr>
              <w:jc w:val="center"/>
              <w:ind w:left="470"/>
              <w:spacing w:after="0" w:line="189" w:lineRule="exact"/>
              <w:rPr>
                <w:sz w:val="20"/>
                <w:szCs w:val="20"/>
                <w:color w:val="auto"/>
              </w:rPr>
            </w:pPr>
            <w:r>
              <w:rPr>
                <w:rFonts w:ascii="Arial" w:cs="Arial" w:eastAsia="Arial" w:hAnsi="Arial"/>
                <w:sz w:val="18"/>
                <w:szCs w:val="18"/>
                <w:b w:val="1"/>
                <w:bCs w:val="1"/>
                <w:color w:val="auto"/>
                <w:w w:val="90"/>
              </w:rPr>
              <w:t>equity</w:t>
            </w:r>
          </w:p>
        </w:tc>
        <w:tc>
          <w:tcPr>
            <w:tcW w:w="0" w:type="dxa"/>
            <w:vAlign w:val="bottom"/>
          </w:tcPr>
          <w:p>
            <w:pPr>
              <w:spacing w:after="0"/>
              <w:rPr>
                <w:sz w:val="1"/>
                <w:szCs w:val="1"/>
                <w:color w:val="auto"/>
              </w:rPr>
            </w:pPr>
          </w:p>
        </w:tc>
      </w:tr>
      <w:tr>
        <w:trPr>
          <w:trHeight w:val="175"/>
        </w:trPr>
        <w:tc>
          <w:tcPr>
            <w:tcW w:w="4600" w:type="dxa"/>
            <w:vAlign w:val="bottom"/>
          </w:tcPr>
          <w:p>
            <w:pPr>
              <w:spacing w:after="0"/>
              <w:rPr>
                <w:sz w:val="15"/>
                <w:szCs w:val="15"/>
                <w:color w:val="auto"/>
              </w:rPr>
            </w:pPr>
          </w:p>
        </w:tc>
        <w:tc>
          <w:tcPr>
            <w:tcW w:w="2040" w:type="dxa"/>
            <w:vAlign w:val="bottom"/>
          </w:tcPr>
          <w:p>
            <w:pPr>
              <w:jc w:val="center"/>
              <w:ind w:right="10"/>
              <w:spacing w:after="0" w:line="176" w:lineRule="exact"/>
              <w:rPr>
                <w:sz w:val="20"/>
                <w:szCs w:val="20"/>
                <w:color w:val="auto"/>
              </w:rPr>
            </w:pPr>
            <w:r>
              <w:rPr>
                <w:rFonts w:ascii="Arial" w:cs="Arial" w:eastAsia="Arial" w:hAnsi="Arial"/>
                <w:sz w:val="18"/>
                <w:szCs w:val="18"/>
                <w:b w:val="1"/>
                <w:bCs w:val="1"/>
                <w:color w:val="auto"/>
                <w:w w:val="84"/>
              </w:rPr>
              <w:t>issued upon</w:t>
            </w:r>
          </w:p>
        </w:tc>
        <w:tc>
          <w:tcPr>
            <w:tcW w:w="222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8"/>
              </w:rPr>
              <w:t>average</w:t>
            </w:r>
          </w:p>
        </w:tc>
        <w:tc>
          <w:tcPr>
            <w:tcW w:w="1680" w:type="dxa"/>
            <w:vAlign w:val="bottom"/>
          </w:tcPr>
          <w:p>
            <w:pPr>
              <w:jc w:val="center"/>
              <w:ind w:left="490"/>
              <w:spacing w:after="0" w:line="176" w:lineRule="exact"/>
              <w:rPr>
                <w:sz w:val="20"/>
                <w:szCs w:val="20"/>
                <w:color w:val="auto"/>
              </w:rPr>
            </w:pPr>
            <w:r>
              <w:rPr>
                <w:rFonts w:ascii="Arial" w:cs="Arial" w:eastAsia="Arial" w:hAnsi="Arial"/>
                <w:sz w:val="18"/>
                <w:szCs w:val="18"/>
                <w:b w:val="1"/>
                <w:bCs w:val="1"/>
                <w:color w:val="auto"/>
                <w:w w:val="86"/>
              </w:rPr>
              <w:t>compensation</w:t>
            </w:r>
          </w:p>
        </w:tc>
        <w:tc>
          <w:tcPr>
            <w:tcW w:w="0" w:type="dxa"/>
            <w:vAlign w:val="bottom"/>
          </w:tcPr>
          <w:p>
            <w:pPr>
              <w:spacing w:after="0"/>
              <w:rPr>
                <w:sz w:val="1"/>
                <w:szCs w:val="1"/>
                <w:color w:val="auto"/>
              </w:rPr>
            </w:pPr>
          </w:p>
        </w:tc>
      </w:tr>
      <w:tr>
        <w:trPr>
          <w:trHeight w:val="189"/>
        </w:trPr>
        <w:tc>
          <w:tcPr>
            <w:tcW w:w="4600" w:type="dxa"/>
            <w:vAlign w:val="bottom"/>
          </w:tcPr>
          <w:p>
            <w:pPr>
              <w:spacing w:after="0"/>
              <w:rPr>
                <w:sz w:val="16"/>
                <w:szCs w:val="16"/>
                <w:color w:val="auto"/>
              </w:rPr>
            </w:pPr>
          </w:p>
        </w:tc>
        <w:tc>
          <w:tcPr>
            <w:tcW w:w="204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85"/>
              </w:rPr>
              <w:t>exercise of</w:t>
            </w:r>
          </w:p>
        </w:tc>
        <w:tc>
          <w:tcPr>
            <w:tcW w:w="222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86"/>
              </w:rPr>
              <w:t>exercise price</w:t>
            </w:r>
          </w:p>
        </w:tc>
        <w:tc>
          <w:tcPr>
            <w:tcW w:w="1680" w:type="dxa"/>
            <w:vAlign w:val="bottom"/>
          </w:tcPr>
          <w:p>
            <w:pPr>
              <w:jc w:val="center"/>
              <w:ind w:left="470"/>
              <w:spacing w:after="0" w:line="189" w:lineRule="exact"/>
              <w:rPr>
                <w:sz w:val="20"/>
                <w:szCs w:val="20"/>
                <w:color w:val="auto"/>
              </w:rPr>
            </w:pPr>
            <w:r>
              <w:rPr>
                <w:rFonts w:ascii="Arial" w:cs="Arial" w:eastAsia="Arial" w:hAnsi="Arial"/>
                <w:sz w:val="18"/>
                <w:szCs w:val="18"/>
                <w:b w:val="1"/>
                <w:bCs w:val="1"/>
                <w:color w:val="auto"/>
                <w:w w:val="84"/>
              </w:rPr>
              <w:t>plans</w:t>
            </w:r>
          </w:p>
        </w:tc>
        <w:tc>
          <w:tcPr>
            <w:tcW w:w="0" w:type="dxa"/>
            <w:vAlign w:val="bottom"/>
          </w:tcPr>
          <w:p>
            <w:pPr>
              <w:spacing w:after="0"/>
              <w:rPr>
                <w:sz w:val="1"/>
                <w:szCs w:val="1"/>
                <w:color w:val="auto"/>
              </w:rPr>
            </w:pPr>
          </w:p>
        </w:tc>
      </w:tr>
      <w:tr>
        <w:trPr>
          <w:trHeight w:val="176"/>
        </w:trPr>
        <w:tc>
          <w:tcPr>
            <w:tcW w:w="4600" w:type="dxa"/>
            <w:vAlign w:val="bottom"/>
          </w:tcPr>
          <w:p>
            <w:pPr>
              <w:spacing w:after="0"/>
              <w:rPr>
                <w:sz w:val="15"/>
                <w:szCs w:val="15"/>
                <w:color w:val="auto"/>
              </w:rPr>
            </w:pPr>
          </w:p>
        </w:tc>
        <w:tc>
          <w:tcPr>
            <w:tcW w:w="20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9"/>
              </w:rPr>
              <w:t>outstanding</w:t>
            </w:r>
          </w:p>
        </w:tc>
        <w:tc>
          <w:tcPr>
            <w:tcW w:w="222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7"/>
              </w:rPr>
              <w:t>of outstanding</w:t>
            </w:r>
          </w:p>
        </w:tc>
        <w:tc>
          <w:tcPr>
            <w:tcW w:w="1680" w:type="dxa"/>
            <w:vAlign w:val="bottom"/>
          </w:tcPr>
          <w:p>
            <w:pPr>
              <w:jc w:val="center"/>
              <w:ind w:left="470"/>
              <w:spacing w:after="0" w:line="176" w:lineRule="exact"/>
              <w:rPr>
                <w:sz w:val="20"/>
                <w:szCs w:val="20"/>
                <w:color w:val="auto"/>
              </w:rPr>
            </w:pPr>
            <w:r>
              <w:rPr>
                <w:rFonts w:ascii="Arial" w:cs="Arial" w:eastAsia="Arial" w:hAnsi="Arial"/>
                <w:sz w:val="18"/>
                <w:szCs w:val="18"/>
                <w:b w:val="1"/>
                <w:bCs w:val="1"/>
                <w:color w:val="auto"/>
                <w:w w:val="88"/>
              </w:rPr>
              <w:t>(excluding</w:t>
            </w:r>
          </w:p>
        </w:tc>
        <w:tc>
          <w:tcPr>
            <w:tcW w:w="0" w:type="dxa"/>
            <w:vAlign w:val="bottom"/>
          </w:tcPr>
          <w:p>
            <w:pPr>
              <w:spacing w:after="0"/>
              <w:rPr>
                <w:sz w:val="1"/>
                <w:szCs w:val="1"/>
                <w:color w:val="auto"/>
              </w:rPr>
            </w:pPr>
          </w:p>
        </w:tc>
      </w:tr>
      <w:tr>
        <w:trPr>
          <w:trHeight w:val="175"/>
        </w:trPr>
        <w:tc>
          <w:tcPr>
            <w:tcW w:w="4600" w:type="dxa"/>
            <w:vAlign w:val="bottom"/>
          </w:tcPr>
          <w:p>
            <w:pPr>
              <w:spacing w:after="0"/>
              <w:rPr>
                <w:sz w:val="15"/>
                <w:szCs w:val="15"/>
                <w:color w:val="auto"/>
              </w:rPr>
            </w:pPr>
          </w:p>
        </w:tc>
        <w:tc>
          <w:tcPr>
            <w:tcW w:w="20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5"/>
              </w:rPr>
              <w:t>options,</w:t>
            </w:r>
          </w:p>
        </w:tc>
        <w:tc>
          <w:tcPr>
            <w:tcW w:w="222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5"/>
              </w:rPr>
              <w:t>options,</w:t>
            </w:r>
          </w:p>
        </w:tc>
        <w:tc>
          <w:tcPr>
            <w:tcW w:w="1680" w:type="dxa"/>
            <w:vAlign w:val="bottom"/>
          </w:tcPr>
          <w:p>
            <w:pPr>
              <w:jc w:val="center"/>
              <w:ind w:left="470"/>
              <w:spacing w:after="0" w:line="176" w:lineRule="exact"/>
              <w:rPr>
                <w:sz w:val="20"/>
                <w:szCs w:val="20"/>
                <w:color w:val="auto"/>
              </w:rPr>
            </w:pPr>
            <w:r>
              <w:rPr>
                <w:rFonts w:ascii="Arial" w:cs="Arial" w:eastAsia="Arial" w:hAnsi="Arial"/>
                <w:sz w:val="18"/>
                <w:szCs w:val="18"/>
                <w:b w:val="1"/>
                <w:bCs w:val="1"/>
                <w:color w:val="auto"/>
                <w:w w:val="85"/>
              </w:rPr>
              <w:t>securities</w:t>
            </w:r>
          </w:p>
        </w:tc>
        <w:tc>
          <w:tcPr>
            <w:tcW w:w="0" w:type="dxa"/>
            <w:vAlign w:val="bottom"/>
          </w:tcPr>
          <w:p>
            <w:pPr>
              <w:spacing w:after="0"/>
              <w:rPr>
                <w:sz w:val="1"/>
                <w:szCs w:val="1"/>
                <w:color w:val="auto"/>
              </w:rPr>
            </w:pPr>
          </w:p>
        </w:tc>
      </w:tr>
      <w:tr>
        <w:trPr>
          <w:trHeight w:val="189"/>
        </w:trPr>
        <w:tc>
          <w:tcPr>
            <w:tcW w:w="46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Plan Category</w:t>
            </w:r>
          </w:p>
        </w:tc>
        <w:tc>
          <w:tcPr>
            <w:tcW w:w="204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2"/>
              </w:rPr>
              <w:t>warrants and</w:t>
            </w:r>
          </w:p>
        </w:tc>
        <w:tc>
          <w:tcPr>
            <w:tcW w:w="222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2"/>
              </w:rPr>
              <w:t>warrants and</w:t>
            </w:r>
          </w:p>
        </w:tc>
        <w:tc>
          <w:tcPr>
            <w:tcW w:w="1680" w:type="dxa"/>
            <w:vAlign w:val="bottom"/>
          </w:tcPr>
          <w:p>
            <w:pPr>
              <w:jc w:val="center"/>
              <w:ind w:left="490"/>
              <w:spacing w:after="0" w:line="189" w:lineRule="exact"/>
              <w:rPr>
                <w:sz w:val="20"/>
                <w:szCs w:val="20"/>
                <w:color w:val="auto"/>
              </w:rPr>
            </w:pPr>
            <w:r>
              <w:rPr>
                <w:rFonts w:ascii="Arial" w:cs="Arial" w:eastAsia="Arial" w:hAnsi="Arial"/>
                <w:sz w:val="18"/>
                <w:szCs w:val="18"/>
                <w:b w:val="1"/>
                <w:bCs w:val="1"/>
                <w:color w:val="auto"/>
                <w:w w:val="89"/>
              </w:rPr>
              <w:t>reflected in</w:t>
            </w:r>
          </w:p>
        </w:tc>
        <w:tc>
          <w:tcPr>
            <w:tcW w:w="0" w:type="dxa"/>
            <w:vAlign w:val="bottom"/>
          </w:tcPr>
          <w:p>
            <w:pPr>
              <w:spacing w:after="0"/>
              <w:rPr>
                <w:sz w:val="1"/>
                <w:szCs w:val="1"/>
                <w:color w:val="auto"/>
              </w:rPr>
            </w:pPr>
          </w:p>
        </w:tc>
      </w:tr>
      <w:tr>
        <w:trPr>
          <w:trHeight w:val="229"/>
        </w:trPr>
        <w:tc>
          <w:tcPr>
            <w:tcW w:w="4600" w:type="dxa"/>
            <w:vAlign w:val="bottom"/>
            <w:vMerge w:val="continue"/>
          </w:tcPr>
          <w:p>
            <w:pPr>
              <w:spacing w:after="0"/>
              <w:rPr>
                <w:sz w:val="19"/>
                <w:szCs w:val="19"/>
                <w:color w:val="auto"/>
              </w:rPr>
            </w:pPr>
          </w:p>
        </w:tc>
        <w:tc>
          <w:tcPr>
            <w:tcW w:w="204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rights (a)</w:t>
            </w:r>
          </w:p>
        </w:tc>
        <w:tc>
          <w:tcPr>
            <w:tcW w:w="2220" w:type="dxa"/>
            <w:vAlign w:val="bottom"/>
          </w:tcPr>
          <w:p>
            <w:pPr>
              <w:jc w:val="center"/>
              <w:spacing w:after="0"/>
              <w:rPr>
                <w:sz w:val="20"/>
                <w:szCs w:val="20"/>
                <w:color w:val="auto"/>
              </w:rPr>
            </w:pPr>
            <w:r>
              <w:rPr>
                <w:rFonts w:ascii="Arial" w:cs="Arial" w:eastAsia="Arial" w:hAnsi="Arial"/>
                <w:sz w:val="18"/>
                <w:szCs w:val="18"/>
                <w:b w:val="1"/>
                <w:bCs w:val="1"/>
                <w:color w:val="auto"/>
                <w:w w:val="92"/>
              </w:rPr>
              <w:t>rights (b)</w:t>
            </w:r>
          </w:p>
        </w:tc>
        <w:tc>
          <w:tcPr>
            <w:tcW w:w="1680" w:type="dxa"/>
            <w:vAlign w:val="bottom"/>
          </w:tcPr>
          <w:p>
            <w:pPr>
              <w:jc w:val="center"/>
              <w:ind w:left="470"/>
              <w:spacing w:after="0"/>
              <w:rPr>
                <w:sz w:val="20"/>
                <w:szCs w:val="20"/>
                <w:color w:val="auto"/>
              </w:rPr>
            </w:pPr>
            <w:r>
              <w:rPr>
                <w:rFonts w:ascii="Arial" w:cs="Arial" w:eastAsia="Arial" w:hAnsi="Arial"/>
                <w:sz w:val="18"/>
                <w:szCs w:val="18"/>
                <w:b w:val="1"/>
                <w:bCs w:val="1"/>
                <w:color w:val="auto"/>
                <w:w w:val="90"/>
              </w:rPr>
              <w:t>column (a)) (c)</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700" w:type="dxa"/>
            <w:vAlign w:val="bottom"/>
            <w:tcBorders>
              <w:top w:val="single" w:sz="8" w:color="auto"/>
            </w:tcBorders>
            <w:shd w:val="clear" w:color="auto" w:fill="CCEEFF"/>
          </w:tcPr>
          <w:p>
            <w:pPr>
              <w:ind w:left="20"/>
              <w:spacing w:after="0" w:line="169" w:lineRule="exact"/>
              <w:rPr>
                <w:sz w:val="20"/>
                <w:szCs w:val="20"/>
                <w:color w:val="auto"/>
              </w:rPr>
            </w:pPr>
            <w:r>
              <w:rPr>
                <w:rFonts w:ascii="Arial" w:cs="Arial" w:eastAsia="Arial" w:hAnsi="Arial"/>
                <w:sz w:val="18"/>
                <w:szCs w:val="18"/>
                <w:color w:val="auto"/>
              </w:rPr>
              <w:t>Equity compensation plans</w:t>
            </w:r>
          </w:p>
        </w:tc>
        <w:tc>
          <w:tcPr>
            <w:tcW w:w="1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28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CCEEFF"/>
            </w:tcBorders>
            <w:vMerge w:val="restart"/>
            <w:shd w:val="clear" w:color="auto" w:fill="CCEEFF"/>
          </w:tcPr>
          <w:p>
            <w:pPr>
              <w:ind w:left="1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²</w:t>
            </w:r>
            <w:r>
              <w:rPr>
                <w:rFonts w:ascii="MS PGothic" w:cs="MS PGothic" w:eastAsia="MS PGothic" w:hAnsi="MS PGothic"/>
                <w:sz w:val="18"/>
                <w:szCs w:val="18"/>
                <w:color w:val="auto"/>
              </w:rPr>
              <w:t>⁾</w:t>
            </w:r>
          </w:p>
        </w:tc>
        <w:tc>
          <w:tcPr>
            <w:tcW w:w="140" w:type="dxa"/>
            <w:vAlign w:val="bottom"/>
            <w:tcBorders>
              <w:top w:val="single" w:sz="8" w:color="auto"/>
            </w:tcBorders>
            <w:vMerge w:val="restart"/>
            <w:shd w:val="clear" w:color="auto" w:fill="CCEEFF"/>
          </w:tcPr>
          <w:p>
            <w:pPr>
              <w:spacing w:after="0"/>
              <w:rPr>
                <w:sz w:val="14"/>
                <w:szCs w:val="14"/>
                <w:color w:val="auto"/>
              </w:rPr>
            </w:pPr>
          </w:p>
        </w:tc>
        <w:tc>
          <w:tcPr>
            <w:tcW w:w="150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CCEEFF"/>
            </w:tcBorders>
            <w:vMerge w:val="restart"/>
            <w:shd w:val="clear" w:color="auto" w:fill="CCEEFF"/>
          </w:tcPr>
          <w:p>
            <w:pPr>
              <w:ind w:left="1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³</w:t>
            </w:r>
            <w:r>
              <w:rPr>
                <w:rFonts w:ascii="MS PGothic" w:cs="MS PGothic" w:eastAsia="MS PGothic" w:hAnsi="MS PGothic"/>
                <w:sz w:val="18"/>
                <w:szCs w:val="18"/>
                <w:color w:val="auto"/>
              </w:rPr>
              <w:t>⁾</w:t>
            </w:r>
          </w:p>
        </w:tc>
        <w:tc>
          <w:tcPr>
            <w:tcW w:w="140" w:type="dxa"/>
            <w:vAlign w:val="bottom"/>
            <w:tcBorders>
              <w:top w:val="single" w:sz="8" w:color="auto"/>
            </w:tcBorders>
            <w:vMerge w:val="restart"/>
            <w:shd w:val="clear" w:color="auto" w:fill="CCEEFF"/>
          </w:tcPr>
          <w:p>
            <w:pPr>
              <w:spacing w:after="0"/>
              <w:rPr>
                <w:sz w:val="14"/>
                <w:szCs w:val="14"/>
                <w:color w:val="auto"/>
              </w:rPr>
            </w:pPr>
          </w:p>
        </w:tc>
        <w:tc>
          <w:tcPr>
            <w:tcW w:w="142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CCEEFF"/>
            </w:tcBorders>
            <w:vMerge w:val="restart"/>
            <w:shd w:val="clear" w:color="auto" w:fill="CCEEFF"/>
          </w:tcPr>
          <w:p>
            <w:pPr>
              <w:ind w:left="140"/>
              <w:spacing w:after="0" w:line="181" w:lineRule="exact"/>
              <w:rPr>
                <w:sz w:val="20"/>
                <w:szCs w:val="20"/>
                <w:color w:val="auto"/>
              </w:rPr>
            </w:pPr>
            <w:r>
              <w:rPr>
                <w:rFonts w:ascii="MS PGothic" w:cs="MS PGothic" w:eastAsia="MS PGothic" w:hAnsi="MS PGothic"/>
                <w:sz w:val="18"/>
                <w:szCs w:val="18"/>
                <w:color w:val="auto"/>
              </w:rPr>
              <w:t>⁽⁴⁾</w:t>
            </w:r>
          </w:p>
        </w:tc>
        <w:tc>
          <w:tcPr>
            <w:tcW w:w="0" w:type="dxa"/>
            <w:vAlign w:val="bottom"/>
          </w:tcPr>
          <w:p>
            <w:pPr>
              <w:spacing w:after="0"/>
              <w:rPr>
                <w:sz w:val="1"/>
                <w:szCs w:val="1"/>
                <w:color w:val="auto"/>
              </w:rPr>
            </w:pPr>
          </w:p>
        </w:tc>
      </w:tr>
      <w:tr>
        <w:trPr>
          <w:trHeight w:val="243"/>
        </w:trPr>
        <w:tc>
          <w:tcPr>
            <w:tcW w:w="5000" w:type="dxa"/>
            <w:vAlign w:val="bottom"/>
            <w:gridSpan w:val="3"/>
            <w:shd w:val="clear" w:color="auto" w:fill="CCEEFF"/>
          </w:tcPr>
          <w:p>
            <w:pPr>
              <w:ind w:left="160"/>
              <w:spacing w:after="0" w:line="207" w:lineRule="exact"/>
              <w:rPr>
                <w:sz w:val="20"/>
                <w:szCs w:val="20"/>
                <w:color w:val="auto"/>
              </w:rPr>
            </w:pPr>
            <w:r>
              <w:rPr>
                <w:rFonts w:ascii="Arial" w:cs="Arial" w:eastAsia="Arial" w:hAnsi="Arial"/>
                <w:sz w:val="18"/>
                <w:szCs w:val="18"/>
                <w:color w:val="auto"/>
              </w:rPr>
              <w:t>approved by security holders</w:t>
            </w:r>
            <w:r>
              <w:rPr>
                <w:rFonts w:ascii="MS PGothic" w:cs="MS PGothic" w:eastAsia="MS PGothic" w:hAnsi="MS PGothic"/>
                <w:sz w:val="18"/>
                <w:szCs w:val="18"/>
                <w:color w:val="auto"/>
              </w:rPr>
              <w:t>⁽</w:t>
            </w:r>
            <w:r>
              <w:rPr>
                <w:rFonts w:ascii="Arial" w:cs="Arial" w:eastAsia="Arial" w:hAnsi="Arial"/>
                <w:sz w:val="18"/>
                <w:szCs w:val="18"/>
                <w:color w:val="auto"/>
              </w:rPr>
              <w:t>¹</w:t>
            </w:r>
            <w:r>
              <w:rPr>
                <w:rFonts w:ascii="MS PGothic" w:cs="MS PGothic" w:eastAsia="MS PGothic" w:hAnsi="MS PGothic"/>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377,827</w:t>
            </w:r>
          </w:p>
        </w:tc>
        <w:tc>
          <w:tcPr>
            <w:tcW w:w="640" w:type="dxa"/>
            <w:vAlign w:val="bottom"/>
            <w:vMerge w:val="continue"/>
            <w:shd w:val="clear" w:color="auto" w:fill="CCEEFF"/>
          </w:tcPr>
          <w:p>
            <w:pPr>
              <w:spacing w:after="0"/>
              <w:rPr>
                <w:sz w:val="21"/>
                <w:szCs w:val="21"/>
                <w:color w:val="auto"/>
              </w:rPr>
            </w:pPr>
          </w:p>
        </w:tc>
        <w:tc>
          <w:tcPr>
            <w:tcW w:w="140" w:type="dxa"/>
            <w:vAlign w:val="bottom"/>
            <w:vMerge w:val="continue"/>
            <w:shd w:val="clear" w:color="auto" w:fill="CCEEFF"/>
          </w:tcPr>
          <w:p>
            <w:pPr>
              <w:spacing w:after="0"/>
              <w:rPr>
                <w:sz w:val="21"/>
                <w:szCs w:val="21"/>
                <w:color w:val="auto"/>
              </w:rPr>
            </w:pPr>
          </w:p>
        </w:tc>
        <w:tc>
          <w:tcPr>
            <w:tcW w:w="1500" w:type="dxa"/>
            <w:vAlign w:val="bottom"/>
            <w:shd w:val="clear" w:color="auto" w:fill="CCEEFF"/>
          </w:tcPr>
          <w:p>
            <w:pPr>
              <w:ind w:left="1300"/>
              <w:spacing w:after="0"/>
              <w:rPr>
                <w:sz w:val="20"/>
                <w:szCs w:val="20"/>
                <w:color w:val="auto"/>
              </w:rPr>
            </w:pPr>
            <w:r>
              <w:rPr>
                <w:rFonts w:ascii="Arial" w:cs="Arial" w:eastAsia="Arial" w:hAnsi="Arial"/>
                <w:sz w:val="18"/>
                <w:szCs w:val="18"/>
                <w:color w:val="auto"/>
                <w:w w:val="99"/>
              </w:rPr>
              <w:t>—</w:t>
            </w:r>
          </w:p>
        </w:tc>
        <w:tc>
          <w:tcPr>
            <w:tcW w:w="640" w:type="dxa"/>
            <w:vAlign w:val="bottom"/>
            <w:vMerge w:val="continue"/>
            <w:shd w:val="clear" w:color="auto" w:fill="CCEEFF"/>
          </w:tcPr>
          <w:p>
            <w:pPr>
              <w:spacing w:after="0"/>
              <w:rPr>
                <w:sz w:val="21"/>
                <w:szCs w:val="21"/>
                <w:color w:val="auto"/>
              </w:rPr>
            </w:pPr>
          </w:p>
        </w:tc>
        <w:tc>
          <w:tcPr>
            <w:tcW w:w="140" w:type="dxa"/>
            <w:vAlign w:val="bottom"/>
            <w:vMerge w:val="continue"/>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9,945,040</w:t>
            </w:r>
          </w:p>
        </w:tc>
        <w:tc>
          <w:tcPr>
            <w:tcW w:w="4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5000" w:type="dxa"/>
            <w:vAlign w:val="bottom"/>
            <w:gridSpan w:val="3"/>
          </w:tcPr>
          <w:p>
            <w:pPr>
              <w:ind w:left="20"/>
              <w:spacing w:after="0" w:line="176" w:lineRule="exact"/>
              <w:rPr>
                <w:sz w:val="20"/>
                <w:szCs w:val="20"/>
                <w:color w:val="auto"/>
              </w:rPr>
            </w:pPr>
            <w:r>
              <w:rPr>
                <w:rFonts w:ascii="Arial" w:cs="Arial" w:eastAsia="Arial" w:hAnsi="Arial"/>
                <w:sz w:val="18"/>
                <w:szCs w:val="18"/>
                <w:color w:val="auto"/>
              </w:rPr>
              <w:t>Equity compensation plans not</w:t>
            </w:r>
          </w:p>
        </w:tc>
        <w:tc>
          <w:tcPr>
            <w:tcW w:w="1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000" w:type="dxa"/>
            <w:vAlign w:val="bottom"/>
            <w:tcBorders>
              <w:bottom w:val="single" w:sz="8" w:color="CCEEFF"/>
            </w:tcBorders>
            <w:gridSpan w:val="3"/>
          </w:tcPr>
          <w:p>
            <w:pPr>
              <w:ind w:left="160"/>
              <w:spacing w:after="0"/>
              <w:rPr>
                <w:sz w:val="20"/>
                <w:szCs w:val="20"/>
                <w:color w:val="auto"/>
              </w:rPr>
            </w:pPr>
            <w:r>
              <w:rPr>
                <w:rFonts w:ascii="Arial" w:cs="Arial" w:eastAsia="Arial" w:hAnsi="Arial"/>
                <w:sz w:val="18"/>
                <w:szCs w:val="18"/>
                <w:color w:val="auto"/>
              </w:rPr>
              <w:t>approved by security holders</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500" w:type="dxa"/>
            <w:vAlign w:val="bottom"/>
            <w:tcBorders>
              <w:bottom w:val="single" w:sz="8" w:color="auto"/>
            </w:tcBorders>
          </w:tcPr>
          <w:p>
            <w:pPr>
              <w:ind w:left="130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50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377,827</w:t>
            </w:r>
          </w:p>
        </w:tc>
        <w:tc>
          <w:tcPr>
            <w:tcW w:w="780" w:type="dxa"/>
            <w:vAlign w:val="bottom"/>
            <w:tcBorders>
              <w:bottom w:val="single" w:sz="8" w:color="CCEEFF"/>
            </w:tcBorders>
            <w:gridSpan w:val="2"/>
            <w:shd w:val="clear" w:color="auto" w:fill="CCEEFF"/>
          </w:tcPr>
          <w:p>
            <w:pPr>
              <w:ind w:left="1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²</w:t>
            </w:r>
            <w:r>
              <w:rPr>
                <w:rFonts w:ascii="MS PGothic" w:cs="MS PGothic" w:eastAsia="MS PGothic" w:hAnsi="MS PGothic"/>
                <w:sz w:val="18"/>
                <w:szCs w:val="18"/>
                <w:color w:val="auto"/>
              </w:rPr>
              <w:t>⁾</w:t>
            </w:r>
          </w:p>
        </w:tc>
        <w:tc>
          <w:tcPr>
            <w:tcW w:w="1500" w:type="dxa"/>
            <w:vAlign w:val="bottom"/>
            <w:tcBorders>
              <w:bottom w:val="single" w:sz="8" w:color="auto"/>
            </w:tcBorders>
            <w:shd w:val="clear" w:color="auto" w:fill="CCEEFF"/>
          </w:tcPr>
          <w:p>
            <w:pPr>
              <w:ind w:left="130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gridSpan w:val="2"/>
            <w:shd w:val="clear" w:color="auto" w:fill="CCEEFF"/>
          </w:tcPr>
          <w:p>
            <w:pPr>
              <w:ind w:left="1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³</w:t>
            </w:r>
            <w:r>
              <w:rPr>
                <w:rFonts w:ascii="MS PGothic" w:cs="MS PGothic" w:eastAsia="MS PGothic" w:hAnsi="MS PGothic"/>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9,945,040</w:t>
            </w:r>
          </w:p>
        </w:tc>
        <w:tc>
          <w:tcPr>
            <w:tcW w:w="480" w:type="dxa"/>
            <w:vAlign w:val="bottom"/>
            <w:tcBorders>
              <w:bottom w:val="single" w:sz="8" w:color="CCEEFF"/>
            </w:tcBorders>
            <w:shd w:val="clear" w:color="auto" w:fill="CCEEFF"/>
          </w:tcPr>
          <w:p>
            <w:pPr>
              <w:ind w:left="140"/>
              <w:spacing w:after="0" w:line="181" w:lineRule="exact"/>
              <w:rPr>
                <w:sz w:val="20"/>
                <w:szCs w:val="20"/>
                <w:color w:val="auto"/>
              </w:rPr>
            </w:pPr>
            <w:r>
              <w:rPr>
                <w:rFonts w:ascii="MS PGothic" w:cs="MS PGothic" w:eastAsia="MS PGothic" w:hAnsi="MS PGothic"/>
                <w:sz w:val="18"/>
                <w:szCs w:val="18"/>
                <w:color w:val="auto"/>
              </w:rPr>
              <w:t>⁽⁴⁾</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ind w:left="340" w:hanging="332"/>
        <w:spacing w:after="0"/>
        <w:tabs>
          <w:tab w:leader="none" w:pos="340" w:val="left"/>
        </w:tabs>
        <w:numPr>
          <w:ilvl w:val="0"/>
          <w:numId w:val="56"/>
        </w:numPr>
        <w:rPr>
          <w:rFonts w:ascii="Arial" w:cs="Arial" w:eastAsia="Arial" w:hAnsi="Arial"/>
          <w:sz w:val="16"/>
          <w:szCs w:val="16"/>
          <w:color w:val="auto"/>
        </w:rPr>
      </w:pPr>
      <w:r>
        <w:rPr>
          <w:rFonts w:ascii="Arial" w:cs="Arial" w:eastAsia="Arial" w:hAnsi="Arial"/>
          <w:sz w:val="16"/>
          <w:szCs w:val="16"/>
          <w:color w:val="auto"/>
        </w:rPr>
        <w:t>Consists of the Equity Incentive Plan.</w:t>
      </w:r>
    </w:p>
    <w:p>
      <w:pPr>
        <w:spacing w:after="0" w:line="248" w:lineRule="exact"/>
        <w:rPr>
          <w:rFonts w:ascii="Arial" w:cs="Arial" w:eastAsia="Arial" w:hAnsi="Arial"/>
          <w:sz w:val="16"/>
          <w:szCs w:val="16"/>
          <w:color w:val="auto"/>
        </w:rPr>
      </w:pPr>
    </w:p>
    <w:p>
      <w:pPr>
        <w:ind w:left="340" w:right="20" w:hanging="332"/>
        <w:spacing w:after="0" w:line="310" w:lineRule="auto"/>
        <w:tabs>
          <w:tab w:leader="none" w:pos="340" w:val="left"/>
        </w:tabs>
        <w:numPr>
          <w:ilvl w:val="0"/>
          <w:numId w:val="56"/>
        </w:numPr>
        <w:rPr>
          <w:rFonts w:ascii="Arial" w:cs="Arial" w:eastAsia="Arial" w:hAnsi="Arial"/>
          <w:sz w:val="15"/>
          <w:szCs w:val="15"/>
          <w:color w:val="auto"/>
        </w:rPr>
      </w:pPr>
      <w:r>
        <w:rPr>
          <w:rFonts w:ascii="Arial" w:cs="Arial" w:eastAsia="Arial" w:hAnsi="Arial"/>
          <w:sz w:val="15"/>
          <w:szCs w:val="15"/>
          <w:color w:val="auto"/>
        </w:rPr>
        <w:t>Consists of RSUs and PSUs. The number of PSUs included in these amounts is zero for each of the PSUs granted in 2020 that have a performance period of 2020-2022, PSUs granted in 2021 and PSUs granted in 2022, as the minimum performance conditions were not satisfied and therefore these PSUs were forfeited.</w:t>
      </w:r>
    </w:p>
    <w:p>
      <w:pPr>
        <w:spacing w:after="0" w:line="188" w:lineRule="exact"/>
        <w:rPr>
          <w:rFonts w:ascii="Arial" w:cs="Arial" w:eastAsia="Arial" w:hAnsi="Arial"/>
          <w:sz w:val="15"/>
          <w:szCs w:val="15"/>
          <w:color w:val="auto"/>
        </w:rPr>
      </w:pPr>
    </w:p>
    <w:p>
      <w:pPr>
        <w:ind w:left="340" w:hanging="332"/>
        <w:spacing w:after="0" w:line="275" w:lineRule="auto"/>
        <w:tabs>
          <w:tab w:leader="none" w:pos="340" w:val="left"/>
        </w:tabs>
        <w:numPr>
          <w:ilvl w:val="0"/>
          <w:numId w:val="56"/>
        </w:numPr>
        <w:rPr>
          <w:rFonts w:ascii="Arial" w:cs="Arial" w:eastAsia="Arial" w:hAnsi="Arial"/>
          <w:sz w:val="16"/>
          <w:szCs w:val="16"/>
          <w:color w:val="auto"/>
        </w:rPr>
      </w:pPr>
      <w:r>
        <w:rPr>
          <w:rFonts w:ascii="Arial" w:cs="Arial" w:eastAsia="Arial" w:hAnsi="Arial"/>
          <w:sz w:val="16"/>
          <w:szCs w:val="16"/>
          <w:color w:val="auto"/>
        </w:rPr>
        <w:t>RSUs and PSUs will be settled in shares of our common stock on a one-for-one basis at no additional cost and do not have an exercise price. As a result, there is no weighted average exercise price to be included in this column.</w:t>
      </w:r>
    </w:p>
    <w:p>
      <w:pPr>
        <w:spacing w:after="0" w:line="212" w:lineRule="exact"/>
        <w:rPr>
          <w:rFonts w:ascii="Arial" w:cs="Arial" w:eastAsia="Arial" w:hAnsi="Arial"/>
          <w:sz w:val="16"/>
          <w:szCs w:val="16"/>
          <w:color w:val="auto"/>
        </w:rPr>
      </w:pPr>
    </w:p>
    <w:p>
      <w:pPr>
        <w:jc w:val="both"/>
        <w:ind w:left="340" w:hanging="332"/>
        <w:spacing w:after="0" w:line="261" w:lineRule="auto"/>
        <w:tabs>
          <w:tab w:leader="none" w:pos="340" w:val="left"/>
        </w:tabs>
        <w:numPr>
          <w:ilvl w:val="0"/>
          <w:numId w:val="56"/>
        </w:numPr>
        <w:rPr>
          <w:rFonts w:ascii="Arial" w:cs="Arial" w:eastAsia="Arial" w:hAnsi="Arial"/>
          <w:sz w:val="16"/>
          <w:szCs w:val="16"/>
          <w:color w:val="auto"/>
        </w:rPr>
      </w:pPr>
      <w:r>
        <w:rPr>
          <w:rFonts w:ascii="Arial" w:cs="Arial" w:eastAsia="Arial" w:hAnsi="Arial"/>
          <w:sz w:val="16"/>
          <w:szCs w:val="16"/>
          <w:color w:val="auto"/>
        </w:rPr>
        <w:t>Consists of shares available for awards under the Equity Incentive Plan as of December 31, 2022. The number of PSUs included in the amounts in this column removes from the number of securities remaining available for future issuance the target number of shares which the participant is eligible to receive if applicable performance metrics are achieved with respect to the PSUs.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4F81B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720"/>
        <w:spacing w:after="0" w:line="283" w:lineRule="auto"/>
        <w:rPr>
          <w:sz w:val="20"/>
          <w:szCs w:val="20"/>
          <w:color w:val="auto"/>
        </w:rPr>
      </w:pPr>
      <w:r>
        <w:rPr>
          <w:rFonts w:ascii="Arial" w:cs="Arial" w:eastAsia="Arial" w:hAnsi="Arial"/>
          <w:sz w:val="36"/>
          <w:szCs w:val="36"/>
          <w:b w:val="1"/>
          <w:bCs w:val="1"/>
          <w:color w:val="1F497D"/>
        </w:rPr>
        <w:t>SECURITY OWNERSHIP OF CERTAIN BENEFICIAL OWNERS AND MANAGEMENT</w:t>
      </w:r>
    </w:p>
    <w:p>
      <w:pPr>
        <w:spacing w:after="0" w:line="1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table sets forth the number of shares of common stock of the Company beneficially owned as of March 1, 2023, by: (i) each director; (ii) each of the NEOs; (iii) all current executive officers and directors as a group; and (iv) persons known to us to be the beneficial owner of more than 5% of our outstanding common stock.</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Beneficial ownership is determined in accordance with the rules of the SEC and generally includes voting or investment power with respect to securities. Except as noted by footnote, and subject to community property laws where applicable, we believe based on the information provided to the Company that the persons and entities named in the table below have sole voting and investment power with respect to all shares of our common stock shown as beneficially owned by them.</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table lists applicable percentage ownership based on 209,974,135 shares of our common stock outstanding as of March 1, 2023. The number of shares beneficially owned includes shares of our common stock that each person has the right to acquire within 60 days of March 1, 2023, including upon the vesting of RSUs. These shares are deemed to be outstanding for the purpose of computing the percentage of outstanding shares of our common stock owned by such person but are not deemed to be outstanding for the purpose of computing the percentage of outstanding shares of our common stock owned by any other person.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Shares of</w:t>
            </w:r>
          </w:p>
        </w:tc>
        <w:tc>
          <w:tcPr>
            <w:tcW w:w="1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7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80" w:type="dxa"/>
            <w:vAlign w:val="bottom"/>
            <w:gridSpan w:val="2"/>
          </w:tcPr>
          <w:p>
            <w:pPr>
              <w:jc w:val="center"/>
              <w:ind w:right="320"/>
              <w:spacing w:after="0" w:line="184" w:lineRule="exact"/>
              <w:rPr>
                <w:sz w:val="20"/>
                <w:szCs w:val="20"/>
                <w:color w:val="auto"/>
              </w:rPr>
            </w:pPr>
            <w:r>
              <w:rPr>
                <w:rFonts w:ascii="Arial" w:cs="Arial" w:eastAsia="Arial" w:hAnsi="Arial"/>
                <w:sz w:val="18"/>
                <w:szCs w:val="18"/>
                <w:b w:val="1"/>
                <w:bCs w:val="1"/>
                <w:color w:val="auto"/>
                <w:w w:val="92"/>
              </w:rPr>
              <w:t>Common</w:t>
            </w:r>
          </w:p>
        </w:tc>
        <w:tc>
          <w:tcPr>
            <w:tcW w:w="1860" w:type="dxa"/>
            <w:vAlign w:val="bottom"/>
            <w:gridSpan w:val="2"/>
            <w:vMerge w:val="restart"/>
          </w:tcPr>
          <w:p>
            <w:pPr>
              <w:jc w:val="right"/>
              <w:ind w:right="800"/>
              <w:spacing w:after="0"/>
              <w:rPr>
                <w:sz w:val="20"/>
                <w:szCs w:val="20"/>
                <w:color w:val="auto"/>
              </w:rPr>
            </w:pPr>
            <w:r>
              <w:rPr>
                <w:rFonts w:ascii="Arial" w:cs="Arial" w:eastAsia="Arial" w:hAnsi="Arial"/>
                <w:sz w:val="18"/>
                <w:szCs w:val="18"/>
                <w:b w:val="1"/>
                <w:bCs w:val="1"/>
                <w:color w:val="auto"/>
              </w:rPr>
              <w:t>Percent</w:t>
            </w:r>
          </w:p>
        </w:tc>
        <w:tc>
          <w:tcPr>
            <w:tcW w:w="0" w:type="dxa"/>
            <w:vAlign w:val="bottom"/>
          </w:tcPr>
          <w:p>
            <w:pPr>
              <w:spacing w:after="0"/>
              <w:rPr>
                <w:sz w:val="1"/>
                <w:szCs w:val="1"/>
                <w:color w:val="auto"/>
              </w:rPr>
            </w:pPr>
          </w:p>
        </w:tc>
      </w:tr>
      <w:tr>
        <w:trPr>
          <w:trHeight w:val="180"/>
        </w:trPr>
        <w:tc>
          <w:tcPr>
            <w:tcW w:w="750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Name of beneficial owner</w:t>
            </w:r>
          </w:p>
        </w:tc>
        <w:tc>
          <w:tcPr>
            <w:tcW w:w="1880" w:type="dxa"/>
            <w:vAlign w:val="bottom"/>
            <w:gridSpan w:val="2"/>
          </w:tcPr>
          <w:p>
            <w:pPr>
              <w:jc w:val="center"/>
              <w:ind w:right="320"/>
              <w:spacing w:after="0" w:line="181" w:lineRule="exact"/>
              <w:rPr>
                <w:sz w:val="20"/>
                <w:szCs w:val="20"/>
                <w:color w:val="auto"/>
              </w:rPr>
            </w:pPr>
            <w:r>
              <w:rPr>
                <w:rFonts w:ascii="Arial" w:cs="Arial" w:eastAsia="Arial" w:hAnsi="Arial"/>
                <w:sz w:val="18"/>
                <w:szCs w:val="18"/>
                <w:b w:val="1"/>
                <w:bCs w:val="1"/>
                <w:color w:val="auto"/>
                <w:w w:val="89"/>
              </w:rPr>
              <w:t>Stock</w:t>
            </w:r>
          </w:p>
        </w:tc>
        <w:tc>
          <w:tcPr>
            <w:tcW w:w="18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500" w:type="dxa"/>
            <w:vAlign w:val="bottom"/>
            <w:gridSpan w:val="2"/>
            <w:vMerge w:val="continue"/>
          </w:tcPr>
          <w:p>
            <w:pPr>
              <w:spacing w:after="0"/>
              <w:rPr>
                <w:sz w:val="19"/>
                <w:szCs w:val="19"/>
                <w:color w:val="auto"/>
              </w:rPr>
            </w:pPr>
          </w:p>
        </w:tc>
        <w:tc>
          <w:tcPr>
            <w:tcW w:w="18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Owned</w:t>
            </w:r>
          </w:p>
        </w:tc>
        <w:tc>
          <w:tcPr>
            <w:tcW w:w="1860" w:type="dxa"/>
            <w:vAlign w:val="bottom"/>
            <w:gridSpan w:val="2"/>
          </w:tcPr>
          <w:p>
            <w:pPr>
              <w:jc w:val="right"/>
              <w:ind w:right="800"/>
              <w:spacing w:after="0"/>
              <w:rPr>
                <w:sz w:val="20"/>
                <w:szCs w:val="20"/>
                <w:color w:val="auto"/>
              </w:rPr>
            </w:pPr>
            <w:r>
              <w:rPr>
                <w:rFonts w:ascii="Arial" w:cs="Arial" w:eastAsia="Arial" w:hAnsi="Arial"/>
                <w:sz w:val="18"/>
                <w:szCs w:val="18"/>
                <w:b w:val="1"/>
                <w:bCs w:val="1"/>
                <w:color w:val="auto"/>
              </w:rPr>
              <w:t>of class</w:t>
            </w:r>
          </w:p>
        </w:tc>
        <w:tc>
          <w:tcPr>
            <w:tcW w:w="0" w:type="dxa"/>
            <w:vAlign w:val="bottom"/>
          </w:tcPr>
          <w:p>
            <w:pPr>
              <w:spacing w:after="0"/>
              <w:rPr>
                <w:sz w:val="1"/>
                <w:szCs w:val="1"/>
                <w:color w:val="auto"/>
              </w:rPr>
            </w:pPr>
          </w:p>
        </w:tc>
      </w:tr>
      <w:tr>
        <w:trPr>
          <w:trHeight w:val="223"/>
        </w:trPr>
        <w:tc>
          <w:tcPr>
            <w:tcW w:w="73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Directors:</w:t>
            </w:r>
          </w:p>
        </w:tc>
        <w:tc>
          <w:tcPr>
            <w:tcW w:w="18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0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Lance Mitchell</w:t>
            </w:r>
            <w:r>
              <w:rPr>
                <w:rFonts w:ascii="MS PGothic" w:cs="MS PGothic" w:eastAsia="MS PGothic" w:hAnsi="MS PGothic"/>
                <w:sz w:val="18"/>
                <w:szCs w:val="18"/>
                <w:color w:val="auto"/>
              </w:rPr>
              <w:t>⁽</w:t>
            </w:r>
            <w:r>
              <w:rPr>
                <w:rFonts w:ascii="Arial" w:cs="Arial" w:eastAsia="Arial" w:hAnsi="Arial"/>
                <w:sz w:val="18"/>
                <w:szCs w:val="18"/>
                <w:color w:val="auto"/>
              </w:rPr>
              <w:t>¹</w:t>
            </w:r>
            <w:r>
              <w:rPr>
                <w:rFonts w:ascii="MS PGothic" w:cs="MS PGothic" w:eastAsia="MS PGothic" w:hAnsi="MS PGothic"/>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125,433</w:t>
            </w: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Gregory Cole</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00" w:type="dxa"/>
            <w:vAlign w:val="bottom"/>
            <w:gridSpan w:val="2"/>
          </w:tcPr>
          <w:p>
            <w:pPr>
              <w:ind w:left="20"/>
              <w:spacing w:after="0"/>
              <w:rPr>
                <w:sz w:val="20"/>
                <w:szCs w:val="20"/>
                <w:color w:val="auto"/>
              </w:rPr>
            </w:pPr>
            <w:r>
              <w:rPr>
                <w:rFonts w:ascii="Arial" w:cs="Arial" w:eastAsia="Arial" w:hAnsi="Arial"/>
                <w:sz w:val="18"/>
                <w:szCs w:val="18"/>
                <w:color w:val="auto"/>
              </w:rPr>
              <w:t>Helen Golding</w:t>
            </w:r>
          </w:p>
        </w:tc>
        <w:tc>
          <w:tcPr>
            <w:tcW w:w="1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00" w:type="dxa"/>
            <w:vAlign w:val="bottom"/>
            <w:gridSpan w:val="2"/>
            <w:shd w:val="clear" w:color="auto" w:fill="CCEEFF"/>
          </w:tcPr>
          <w:p>
            <w:pPr>
              <w:ind w:left="20"/>
              <w:spacing w:after="0" w:line="207" w:lineRule="exact"/>
              <w:rPr>
                <w:sz w:val="20"/>
                <w:szCs w:val="20"/>
                <w:color w:val="auto"/>
              </w:rPr>
            </w:pPr>
            <w:r>
              <w:rPr>
                <w:rFonts w:ascii="Arial" w:cs="Arial" w:eastAsia="Arial" w:hAnsi="Arial"/>
                <w:sz w:val="18"/>
                <w:szCs w:val="18"/>
                <w:color w:val="auto"/>
              </w:rPr>
              <w:t>Marla Gottschalk</w:t>
            </w:r>
            <w:r>
              <w:rPr>
                <w:rFonts w:ascii="MS PGothic" w:cs="MS PGothic" w:eastAsia="MS PGothic" w:hAnsi="MS PGothic"/>
                <w:sz w:val="18"/>
                <w:szCs w:val="18"/>
                <w:color w:val="auto"/>
              </w:rPr>
              <w:t>⁽</w:t>
            </w:r>
            <w:r>
              <w:rPr>
                <w:rFonts w:ascii="Arial" w:cs="Arial" w:eastAsia="Arial" w:hAnsi="Arial"/>
                <w:sz w:val="18"/>
                <w:szCs w:val="18"/>
                <w:color w:val="auto"/>
              </w:rPr>
              <w:t>²</w:t>
            </w:r>
            <w:r>
              <w:rPr>
                <w:rFonts w:ascii="MS PGothic" w:cs="MS PGothic" w:eastAsia="MS PGothic" w:hAnsi="MS PGothic"/>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13,025</w:t>
            </w: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00" w:type="dxa"/>
            <w:vAlign w:val="bottom"/>
            <w:gridSpan w:val="2"/>
          </w:tcPr>
          <w:p>
            <w:pPr>
              <w:ind w:left="20"/>
              <w:spacing w:after="0"/>
              <w:rPr>
                <w:sz w:val="20"/>
                <w:szCs w:val="20"/>
                <w:color w:val="auto"/>
              </w:rPr>
            </w:pPr>
            <w:r>
              <w:rPr>
                <w:rFonts w:ascii="Arial" w:cs="Arial" w:eastAsia="Arial" w:hAnsi="Arial"/>
                <w:sz w:val="18"/>
                <w:szCs w:val="18"/>
                <w:color w:val="auto"/>
              </w:rPr>
              <w:t>Allen Hugli</w:t>
            </w:r>
          </w:p>
        </w:tc>
        <w:tc>
          <w:tcPr>
            <w:tcW w:w="1560" w:type="dxa"/>
            <w:vAlign w:val="bottom"/>
          </w:tcPr>
          <w:p>
            <w:pPr>
              <w:jc w:val="right"/>
              <w:spacing w:after="0"/>
              <w:rPr>
                <w:sz w:val="20"/>
                <w:szCs w:val="20"/>
                <w:color w:val="auto"/>
              </w:rPr>
            </w:pPr>
            <w:r>
              <w:rPr>
                <w:rFonts w:ascii="Arial" w:cs="Arial" w:eastAsia="Arial" w:hAnsi="Arial"/>
                <w:sz w:val="18"/>
                <w:szCs w:val="18"/>
                <w:color w:val="auto"/>
              </w:rPr>
              <w:t>5,000</w:t>
            </w: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00" w:type="dxa"/>
            <w:vAlign w:val="bottom"/>
            <w:gridSpan w:val="2"/>
            <w:shd w:val="clear" w:color="auto" w:fill="CCEEFF"/>
          </w:tcPr>
          <w:p>
            <w:pPr>
              <w:ind w:left="20"/>
              <w:spacing w:after="0" w:line="207" w:lineRule="exact"/>
              <w:rPr>
                <w:sz w:val="20"/>
                <w:szCs w:val="20"/>
                <w:color w:val="auto"/>
              </w:rPr>
            </w:pPr>
            <w:r>
              <w:rPr>
                <w:rFonts w:ascii="Arial" w:cs="Arial" w:eastAsia="Arial" w:hAnsi="Arial"/>
                <w:sz w:val="18"/>
                <w:szCs w:val="18"/>
                <w:color w:val="auto"/>
              </w:rPr>
              <w:t>Richard Noll</w:t>
            </w:r>
            <w:r>
              <w:rPr>
                <w:rFonts w:ascii="MS PGothic" w:cs="MS PGothic" w:eastAsia="MS PGothic" w:hAnsi="MS PGothic"/>
                <w:sz w:val="18"/>
                <w:szCs w:val="18"/>
                <w:color w:val="auto"/>
              </w:rPr>
              <w:t>⁽</w:t>
            </w:r>
            <w:r>
              <w:rPr>
                <w:rFonts w:ascii="Arial" w:cs="Arial" w:eastAsia="Arial" w:hAnsi="Arial"/>
                <w:sz w:val="18"/>
                <w:szCs w:val="18"/>
                <w:color w:val="auto"/>
              </w:rPr>
              <w:t>³</w:t>
            </w:r>
            <w:r>
              <w:rPr>
                <w:rFonts w:ascii="MS PGothic" w:cs="MS PGothic" w:eastAsia="MS PGothic" w:hAnsi="MS PGothic"/>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34,537</w:t>
            </w: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0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Ann Ziegler</w:t>
            </w:r>
            <w:r>
              <w:rPr>
                <w:rFonts w:ascii="MS PGothic" w:cs="MS PGothic" w:eastAsia="MS PGothic" w:hAnsi="MS PGothic"/>
                <w:sz w:val="18"/>
                <w:szCs w:val="18"/>
                <w:color w:val="auto"/>
              </w:rPr>
              <w:t>⁽⁴⁾</w:t>
            </w:r>
          </w:p>
        </w:tc>
        <w:tc>
          <w:tcPr>
            <w:tcW w:w="1560" w:type="dxa"/>
            <w:vAlign w:val="bottom"/>
          </w:tcPr>
          <w:p>
            <w:pPr>
              <w:jc w:val="right"/>
              <w:spacing w:after="0"/>
              <w:rPr>
                <w:sz w:val="20"/>
                <w:szCs w:val="20"/>
                <w:color w:val="auto"/>
              </w:rPr>
            </w:pPr>
            <w:r>
              <w:rPr>
                <w:rFonts w:ascii="Arial" w:cs="Arial" w:eastAsia="Arial" w:hAnsi="Arial"/>
                <w:sz w:val="18"/>
                <w:szCs w:val="18"/>
                <w:color w:val="auto"/>
              </w:rPr>
              <w:t>10,052</w:t>
            </w: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Named Executive Officers:</w:t>
            </w:r>
          </w:p>
        </w:tc>
        <w:tc>
          <w:tcPr>
            <w:tcW w:w="15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0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Michael Graham</w:t>
            </w:r>
            <w:r>
              <w:rPr>
                <w:rFonts w:ascii="MS PGothic" w:cs="MS PGothic" w:eastAsia="MS PGothic" w:hAnsi="MS PGothic"/>
                <w:sz w:val="18"/>
                <w:szCs w:val="18"/>
                <w:color w:val="auto"/>
              </w:rPr>
              <w:t>⁽⁵⁾</w:t>
            </w:r>
          </w:p>
        </w:tc>
        <w:tc>
          <w:tcPr>
            <w:tcW w:w="1560" w:type="dxa"/>
            <w:vAlign w:val="bottom"/>
          </w:tcPr>
          <w:p>
            <w:pPr>
              <w:jc w:val="right"/>
              <w:spacing w:after="0"/>
              <w:rPr>
                <w:sz w:val="20"/>
                <w:szCs w:val="20"/>
                <w:color w:val="auto"/>
              </w:rPr>
            </w:pPr>
            <w:r>
              <w:rPr>
                <w:rFonts w:ascii="Arial" w:cs="Arial" w:eastAsia="Arial" w:hAnsi="Arial"/>
                <w:sz w:val="18"/>
                <w:szCs w:val="18"/>
                <w:color w:val="auto"/>
              </w:rPr>
              <w:t>36,256</w:t>
            </w: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00" w:type="dxa"/>
            <w:vAlign w:val="bottom"/>
            <w:gridSpan w:val="2"/>
            <w:shd w:val="clear" w:color="auto" w:fill="CCEEFF"/>
          </w:tcPr>
          <w:p>
            <w:pPr>
              <w:ind w:left="20"/>
              <w:spacing w:after="0" w:line="207" w:lineRule="exact"/>
              <w:rPr>
                <w:sz w:val="20"/>
                <w:szCs w:val="20"/>
                <w:color w:val="auto"/>
              </w:rPr>
            </w:pPr>
            <w:r>
              <w:rPr>
                <w:rFonts w:ascii="Arial" w:cs="Arial" w:eastAsia="Arial" w:hAnsi="Arial"/>
                <w:sz w:val="18"/>
                <w:szCs w:val="18"/>
                <w:color w:val="auto"/>
              </w:rPr>
              <w:t>Rachel Bishop</w:t>
            </w:r>
            <w:r>
              <w:rPr>
                <w:rFonts w:ascii="MS PGothic" w:cs="MS PGothic" w:eastAsia="MS PGothic" w:hAnsi="MS PGothic"/>
                <w:sz w:val="18"/>
                <w:szCs w:val="18"/>
                <w:color w:val="auto"/>
              </w:rPr>
              <w:t>⁽⁶⁾</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17,005</w:t>
            </w: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0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Craig Cappel</w:t>
            </w:r>
            <w:r>
              <w:rPr>
                <w:rFonts w:ascii="MS PGothic" w:cs="MS PGothic" w:eastAsia="MS PGothic" w:hAnsi="MS PGothic"/>
                <w:sz w:val="18"/>
                <w:szCs w:val="18"/>
                <w:color w:val="auto"/>
              </w:rPr>
              <w:t>⁽⁷⁾</w:t>
            </w:r>
          </w:p>
        </w:tc>
        <w:tc>
          <w:tcPr>
            <w:tcW w:w="1560" w:type="dxa"/>
            <w:vAlign w:val="bottom"/>
          </w:tcPr>
          <w:p>
            <w:pPr>
              <w:jc w:val="right"/>
              <w:spacing w:after="0"/>
              <w:rPr>
                <w:sz w:val="20"/>
                <w:szCs w:val="20"/>
                <w:color w:val="auto"/>
              </w:rPr>
            </w:pPr>
            <w:r>
              <w:rPr>
                <w:rFonts w:ascii="Arial" w:cs="Arial" w:eastAsia="Arial" w:hAnsi="Arial"/>
                <w:sz w:val="18"/>
                <w:szCs w:val="18"/>
                <w:color w:val="auto"/>
              </w:rPr>
              <w:t>21,258</w:t>
            </w: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00" w:type="dxa"/>
            <w:vAlign w:val="bottom"/>
            <w:gridSpan w:val="2"/>
            <w:shd w:val="clear" w:color="auto" w:fill="CCEEFF"/>
          </w:tcPr>
          <w:p>
            <w:pPr>
              <w:ind w:left="20"/>
              <w:spacing w:after="0" w:line="207" w:lineRule="exact"/>
              <w:rPr>
                <w:sz w:val="20"/>
                <w:szCs w:val="20"/>
                <w:color w:val="auto"/>
              </w:rPr>
            </w:pPr>
            <w:r>
              <w:rPr>
                <w:rFonts w:ascii="Arial" w:cs="Arial" w:eastAsia="Arial" w:hAnsi="Arial"/>
                <w:sz w:val="18"/>
                <w:szCs w:val="18"/>
                <w:color w:val="auto"/>
              </w:rPr>
              <w:t>Judith Buckner</w:t>
            </w:r>
            <w:r>
              <w:rPr>
                <w:rFonts w:ascii="MS PGothic" w:cs="MS PGothic" w:eastAsia="MS PGothic" w:hAnsi="MS PGothic"/>
                <w:sz w:val="18"/>
                <w:szCs w:val="18"/>
                <w:color w:val="auto"/>
              </w:rPr>
              <w:t>⁽⁸⁾</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14,600</w:t>
            </w: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0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Lisa Smith</w:t>
            </w:r>
            <w:r>
              <w:rPr>
                <w:rFonts w:ascii="MS PGothic" w:cs="MS PGothic" w:eastAsia="MS PGothic" w:hAnsi="MS PGothic"/>
                <w:sz w:val="18"/>
                <w:szCs w:val="18"/>
                <w:color w:val="auto"/>
              </w:rPr>
              <w:t>⁽⁹⁾</w:t>
            </w:r>
          </w:p>
        </w:tc>
        <w:tc>
          <w:tcPr>
            <w:tcW w:w="1560" w:type="dxa"/>
            <w:vAlign w:val="bottom"/>
          </w:tcPr>
          <w:p>
            <w:pPr>
              <w:jc w:val="right"/>
              <w:spacing w:after="0"/>
              <w:rPr>
                <w:sz w:val="20"/>
                <w:szCs w:val="20"/>
                <w:color w:val="auto"/>
              </w:rPr>
            </w:pPr>
            <w:r>
              <w:rPr>
                <w:rFonts w:ascii="Arial" w:cs="Arial" w:eastAsia="Arial" w:hAnsi="Arial"/>
                <w:sz w:val="18"/>
                <w:szCs w:val="18"/>
                <w:color w:val="auto"/>
              </w:rPr>
              <w:t>7,243</w:t>
            </w: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50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All current executive officers and directors as a group</w:t>
            </w:r>
          </w:p>
        </w:tc>
        <w:tc>
          <w:tcPr>
            <w:tcW w:w="15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500" w:type="dxa"/>
            <w:vAlign w:val="bottom"/>
            <w:gridSpan w:val="2"/>
            <w:shd w:val="clear" w:color="auto" w:fill="CCEEFF"/>
          </w:tcPr>
          <w:p>
            <w:pPr>
              <w:ind w:left="160"/>
              <w:spacing w:after="0" w:line="243" w:lineRule="exact"/>
              <w:rPr>
                <w:sz w:val="20"/>
                <w:szCs w:val="20"/>
                <w:color w:val="auto"/>
              </w:rPr>
            </w:pPr>
            <w:r>
              <w:rPr>
                <w:rFonts w:ascii="Arial" w:cs="Arial" w:eastAsia="Arial" w:hAnsi="Arial"/>
                <w:sz w:val="18"/>
                <w:szCs w:val="18"/>
                <w:b w:val="1"/>
                <w:bCs w:val="1"/>
                <w:color w:val="auto"/>
              </w:rPr>
              <w:t>(21 individuals)</w:t>
            </w:r>
            <w:r>
              <w:rPr>
                <w:rFonts w:ascii="Arial" w:cs="Arial" w:eastAsia="Arial" w:hAnsi="Arial"/>
                <w:sz w:val="23"/>
                <w:szCs w:val="23"/>
                <w:b w:val="1"/>
                <w:bCs w:val="1"/>
                <w:color w:val="auto"/>
                <w:vertAlign w:val="superscript"/>
              </w:rPr>
              <w:t>(10)</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351,395</w:t>
            </w:r>
          </w:p>
        </w:tc>
        <w:tc>
          <w:tcPr>
            <w:tcW w:w="32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75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Greater than 5% Stockholders:</w:t>
            </w:r>
          </w:p>
        </w:tc>
        <w:tc>
          <w:tcPr>
            <w:tcW w:w="15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0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PFL</w:t>
            </w:r>
            <w:r>
              <w:rPr>
                <w:rFonts w:ascii="MS PGothic" w:cs="MS PGothic" w:eastAsia="MS PGothic" w:hAnsi="MS PGothic"/>
                <w:sz w:val="18"/>
                <w:szCs w:val="18"/>
                <w:color w:val="auto"/>
              </w:rPr>
              <w:t>⁽</w:t>
            </w:r>
            <w:r>
              <w:rPr>
                <w:rFonts w:ascii="Arial" w:cs="Arial" w:eastAsia="Arial" w:hAnsi="Arial"/>
                <w:sz w:val="18"/>
                <w:szCs w:val="18"/>
                <w:color w:val="auto"/>
              </w:rPr>
              <w:t>¹¹</w:t>
            </w:r>
            <w:r>
              <w:rPr>
                <w:rFonts w:ascii="MS PGothic" w:cs="MS PGothic" w:eastAsia="MS PGothic" w:hAnsi="MS PGothic"/>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155,455,000</w:t>
            </w:r>
          </w:p>
        </w:tc>
        <w:tc>
          <w:tcPr>
            <w:tcW w:w="320" w:type="dxa"/>
            <w:vAlign w:val="bottom"/>
          </w:tcPr>
          <w:p>
            <w:pPr>
              <w:spacing w:after="0"/>
              <w:rPr>
                <w:sz w:val="19"/>
                <w:szCs w:val="19"/>
                <w:color w:val="auto"/>
              </w:rPr>
            </w:pPr>
          </w:p>
        </w:tc>
        <w:tc>
          <w:tcPr>
            <w:tcW w:w="1860" w:type="dxa"/>
            <w:vAlign w:val="bottom"/>
            <w:gridSpan w:val="2"/>
          </w:tcPr>
          <w:p>
            <w:pPr>
              <w:jc w:val="right"/>
              <w:ind w:right="140"/>
              <w:spacing w:after="0"/>
              <w:rPr>
                <w:sz w:val="20"/>
                <w:szCs w:val="20"/>
                <w:color w:val="auto"/>
              </w:rPr>
            </w:pPr>
            <w:r>
              <w:rPr>
                <w:rFonts w:ascii="Arial" w:cs="Arial" w:eastAsia="Arial" w:hAnsi="Arial"/>
                <w:sz w:val="18"/>
                <w:szCs w:val="18"/>
                <w:color w:val="auto"/>
              </w:rPr>
              <w:t>74.0 %</w:t>
            </w:r>
          </w:p>
        </w:tc>
        <w:tc>
          <w:tcPr>
            <w:tcW w:w="0" w:type="dxa"/>
            <w:vAlign w:val="bottom"/>
          </w:tcPr>
          <w:p>
            <w:pPr>
              <w:spacing w:after="0"/>
              <w:rPr>
                <w:sz w:val="1"/>
                <w:szCs w:val="1"/>
                <w:color w:val="auto"/>
              </w:rPr>
            </w:pPr>
          </w:p>
        </w:tc>
      </w:tr>
      <w:tr>
        <w:trPr>
          <w:trHeight w:val="230"/>
        </w:trPr>
        <w:tc>
          <w:tcPr>
            <w:tcW w:w="7500" w:type="dxa"/>
            <w:vAlign w:val="bottom"/>
            <w:gridSpan w:val="2"/>
            <w:shd w:val="clear" w:color="auto" w:fill="CCEEFF"/>
          </w:tcPr>
          <w:p>
            <w:pPr>
              <w:ind w:left="20"/>
              <w:spacing w:after="0" w:line="207" w:lineRule="exact"/>
              <w:rPr>
                <w:sz w:val="20"/>
                <w:szCs w:val="20"/>
                <w:color w:val="auto"/>
              </w:rPr>
            </w:pPr>
            <w:r>
              <w:rPr>
                <w:rFonts w:ascii="Arial" w:cs="Arial" w:eastAsia="Arial" w:hAnsi="Arial"/>
                <w:sz w:val="18"/>
                <w:szCs w:val="18"/>
                <w:color w:val="auto"/>
              </w:rPr>
              <w:t>Allspring Global Investments Holdings, LLC</w:t>
            </w:r>
            <w:r>
              <w:rPr>
                <w:rFonts w:ascii="MS PGothic" w:cs="MS PGothic" w:eastAsia="MS PGothic" w:hAnsi="MS PGothic"/>
                <w:sz w:val="18"/>
                <w:szCs w:val="18"/>
                <w:color w:val="auto"/>
              </w:rPr>
              <w:t>⁽</w:t>
            </w:r>
            <w:r>
              <w:rPr>
                <w:rFonts w:ascii="Arial" w:cs="Arial" w:eastAsia="Arial" w:hAnsi="Arial"/>
                <w:sz w:val="18"/>
                <w:szCs w:val="18"/>
                <w:color w:val="auto"/>
              </w:rPr>
              <w:t>¹²</w:t>
            </w:r>
            <w:r>
              <w:rPr>
                <w:rFonts w:ascii="MS PGothic" w:cs="MS PGothic" w:eastAsia="MS PGothic" w:hAnsi="MS PGothic"/>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12,765,325</w:t>
            </w:r>
          </w:p>
        </w:tc>
        <w:tc>
          <w:tcPr>
            <w:tcW w:w="32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6.1 %</w:t>
            </w:r>
          </w:p>
        </w:tc>
        <w:tc>
          <w:tcPr>
            <w:tcW w:w="0" w:type="dxa"/>
            <w:vAlign w:val="bottom"/>
          </w:tcPr>
          <w:p>
            <w:pPr>
              <w:spacing w:after="0"/>
              <w:rPr>
                <w:sz w:val="1"/>
                <w:szCs w:val="1"/>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6"/>
          <w:szCs w:val="16"/>
          <w:color w:val="auto"/>
        </w:rPr>
        <w:t>*Less than 1%.</w:t>
      </w:r>
    </w:p>
    <w:p>
      <w:pPr>
        <w:spacing w:after="0" w:line="248"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4"/>
          <w:szCs w:val="14"/>
          <w:color w:val="auto"/>
        </w:rPr>
        <w:t>Includes 114,662 shares held directly and 10,771 RSUs that vested on March 5, 2023.</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56" w:name="page57"/>
    <w:bookmarkEnd w:id="56"/>
    <w:p>
      <w:pPr>
        <w:spacing w:after="0"/>
        <w:rPr>
          <w:sz w:val="20"/>
          <w:szCs w:val="20"/>
          <w:color w:val="auto"/>
        </w:rPr>
      </w:pPr>
      <w:r>
        <w:rPr>
          <w:rFonts w:ascii="Arial" w:cs="Arial" w:eastAsia="Arial" w:hAnsi="Arial"/>
          <w:sz w:val="18"/>
          <w:szCs w:val="18"/>
          <w:u w:val="single" w:color="auto"/>
          <w:color w:val="4F81B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40" w:hanging="332"/>
        <w:spacing w:after="0"/>
        <w:tabs>
          <w:tab w:leader="none" w:pos="340" w:val="left"/>
        </w:tabs>
        <w:numPr>
          <w:ilvl w:val="0"/>
          <w:numId w:val="57"/>
        </w:numPr>
        <w:rPr>
          <w:rFonts w:ascii="Arial" w:cs="Arial" w:eastAsia="Arial" w:hAnsi="Arial"/>
          <w:sz w:val="16"/>
          <w:szCs w:val="16"/>
          <w:color w:val="auto"/>
        </w:rPr>
      </w:pPr>
      <w:r>
        <w:rPr>
          <w:rFonts w:ascii="Arial" w:cs="Arial" w:eastAsia="Arial" w:hAnsi="Arial"/>
          <w:sz w:val="16"/>
          <w:szCs w:val="16"/>
          <w:color w:val="auto"/>
        </w:rPr>
        <w:t>Includes 8,668 shares held directly and 4,357 RSUs that will vest on April 27, 2023.</w:t>
      </w:r>
    </w:p>
    <w:p>
      <w:pPr>
        <w:spacing w:after="0" w:line="248" w:lineRule="exact"/>
        <w:rPr>
          <w:rFonts w:ascii="Arial" w:cs="Arial" w:eastAsia="Arial" w:hAnsi="Arial"/>
          <w:sz w:val="16"/>
          <w:szCs w:val="16"/>
          <w:color w:val="auto"/>
        </w:rPr>
      </w:pPr>
    </w:p>
    <w:p>
      <w:pPr>
        <w:ind w:left="340" w:right="20" w:hanging="332"/>
        <w:spacing w:after="0" w:line="293" w:lineRule="auto"/>
        <w:tabs>
          <w:tab w:leader="none" w:pos="340" w:val="left"/>
        </w:tabs>
        <w:numPr>
          <w:ilvl w:val="0"/>
          <w:numId w:val="57"/>
        </w:numPr>
        <w:rPr>
          <w:rFonts w:ascii="Arial" w:cs="Arial" w:eastAsia="Arial" w:hAnsi="Arial"/>
          <w:sz w:val="16"/>
          <w:szCs w:val="16"/>
          <w:color w:val="auto"/>
        </w:rPr>
      </w:pPr>
      <w:r>
        <w:rPr>
          <w:rFonts w:ascii="Arial" w:cs="Arial" w:eastAsia="Arial" w:hAnsi="Arial"/>
          <w:sz w:val="16"/>
          <w:szCs w:val="16"/>
          <w:color w:val="auto"/>
        </w:rPr>
        <w:t>Includes 13,002 shares held by Mr. Noll directly, 15,000 shares held in a revocable living trust in which Mr. Noll is the trustee, and 6,535 RSUs that will vest on April 27, 2023.</w:t>
      </w:r>
    </w:p>
    <w:p>
      <w:pPr>
        <w:spacing w:after="0" w:line="185" w:lineRule="exact"/>
        <w:rPr>
          <w:rFonts w:ascii="Arial" w:cs="Arial" w:eastAsia="Arial" w:hAnsi="Arial"/>
          <w:sz w:val="16"/>
          <w:szCs w:val="16"/>
          <w:color w:val="auto"/>
        </w:rPr>
      </w:pPr>
    </w:p>
    <w:p>
      <w:pPr>
        <w:ind w:left="340" w:hanging="332"/>
        <w:spacing w:after="0"/>
        <w:tabs>
          <w:tab w:leader="none" w:pos="340" w:val="left"/>
        </w:tabs>
        <w:numPr>
          <w:ilvl w:val="0"/>
          <w:numId w:val="57"/>
        </w:numPr>
        <w:rPr>
          <w:rFonts w:ascii="Arial" w:cs="Arial" w:eastAsia="Arial" w:hAnsi="Arial"/>
          <w:sz w:val="16"/>
          <w:szCs w:val="16"/>
          <w:color w:val="auto"/>
        </w:rPr>
      </w:pPr>
      <w:r>
        <w:rPr>
          <w:rFonts w:ascii="Arial" w:cs="Arial" w:eastAsia="Arial" w:hAnsi="Arial"/>
          <w:sz w:val="16"/>
          <w:szCs w:val="16"/>
          <w:color w:val="auto"/>
        </w:rPr>
        <w:t>Includes 5,695 shares held directly and 4,357 RSUs that will vest on April 27, 2023.</w:t>
      </w:r>
    </w:p>
    <w:p>
      <w:pPr>
        <w:spacing w:after="0" w:line="261" w:lineRule="exact"/>
        <w:rPr>
          <w:rFonts w:ascii="Arial" w:cs="Arial" w:eastAsia="Arial" w:hAnsi="Arial"/>
          <w:sz w:val="16"/>
          <w:szCs w:val="16"/>
          <w:color w:val="auto"/>
        </w:rPr>
      </w:pPr>
    </w:p>
    <w:p>
      <w:pPr>
        <w:ind w:left="340" w:hanging="332"/>
        <w:spacing w:after="0"/>
        <w:tabs>
          <w:tab w:leader="none" w:pos="340" w:val="left"/>
        </w:tabs>
        <w:numPr>
          <w:ilvl w:val="0"/>
          <w:numId w:val="57"/>
        </w:numPr>
        <w:rPr>
          <w:rFonts w:ascii="Arial" w:cs="Arial" w:eastAsia="Arial" w:hAnsi="Arial"/>
          <w:sz w:val="16"/>
          <w:szCs w:val="16"/>
          <w:color w:val="auto"/>
        </w:rPr>
      </w:pPr>
      <w:r>
        <w:rPr>
          <w:rFonts w:ascii="Arial" w:cs="Arial" w:eastAsia="Arial" w:hAnsi="Arial"/>
          <w:sz w:val="16"/>
          <w:szCs w:val="16"/>
          <w:color w:val="auto"/>
        </w:rPr>
        <w:t>Includes 32,927 shares held directly and 3,329 RSUs that vested on March 5, 2023.</w:t>
      </w:r>
    </w:p>
    <w:p>
      <w:pPr>
        <w:spacing w:after="0" w:line="248" w:lineRule="exact"/>
        <w:rPr>
          <w:rFonts w:ascii="Arial" w:cs="Arial" w:eastAsia="Arial" w:hAnsi="Arial"/>
          <w:sz w:val="16"/>
          <w:szCs w:val="16"/>
          <w:color w:val="auto"/>
        </w:rPr>
      </w:pPr>
    </w:p>
    <w:p>
      <w:pPr>
        <w:ind w:left="340" w:hanging="332"/>
        <w:spacing w:after="0"/>
        <w:tabs>
          <w:tab w:leader="none" w:pos="340" w:val="left"/>
        </w:tabs>
        <w:numPr>
          <w:ilvl w:val="0"/>
          <w:numId w:val="57"/>
        </w:numPr>
        <w:rPr>
          <w:rFonts w:ascii="Arial" w:cs="Arial" w:eastAsia="Arial" w:hAnsi="Arial"/>
          <w:sz w:val="16"/>
          <w:szCs w:val="16"/>
          <w:color w:val="auto"/>
        </w:rPr>
      </w:pPr>
      <w:r>
        <w:rPr>
          <w:rFonts w:ascii="Arial" w:cs="Arial" w:eastAsia="Arial" w:hAnsi="Arial"/>
          <w:sz w:val="16"/>
          <w:szCs w:val="16"/>
          <w:color w:val="auto"/>
        </w:rPr>
        <w:t>Includes 15,287 shares held directly and 1,718 RSUs that vested on March 5, 2023.</w:t>
      </w:r>
    </w:p>
    <w:p>
      <w:pPr>
        <w:spacing w:after="0" w:line="248" w:lineRule="exact"/>
        <w:rPr>
          <w:rFonts w:ascii="Arial" w:cs="Arial" w:eastAsia="Arial" w:hAnsi="Arial"/>
          <w:sz w:val="16"/>
          <w:szCs w:val="16"/>
          <w:color w:val="auto"/>
        </w:rPr>
      </w:pPr>
    </w:p>
    <w:p>
      <w:pPr>
        <w:ind w:left="340" w:hanging="332"/>
        <w:spacing w:after="0"/>
        <w:tabs>
          <w:tab w:leader="none" w:pos="340" w:val="left"/>
        </w:tabs>
        <w:numPr>
          <w:ilvl w:val="0"/>
          <w:numId w:val="57"/>
        </w:numPr>
        <w:rPr>
          <w:rFonts w:ascii="Arial" w:cs="Arial" w:eastAsia="Arial" w:hAnsi="Arial"/>
          <w:sz w:val="15"/>
          <w:szCs w:val="15"/>
          <w:color w:val="auto"/>
        </w:rPr>
      </w:pPr>
      <w:r>
        <w:rPr>
          <w:rFonts w:ascii="Arial" w:cs="Arial" w:eastAsia="Arial" w:hAnsi="Arial"/>
          <w:sz w:val="15"/>
          <w:szCs w:val="15"/>
          <w:color w:val="auto"/>
        </w:rPr>
        <w:t>Mr. Cappel’s employment was terminated on November 2, 2022, and therefore the reported shares are based on the latest information available to the Company.</w:t>
      </w:r>
    </w:p>
    <w:p>
      <w:pPr>
        <w:spacing w:after="0" w:line="273" w:lineRule="exact"/>
        <w:rPr>
          <w:rFonts w:ascii="Arial" w:cs="Arial" w:eastAsia="Arial" w:hAnsi="Arial"/>
          <w:sz w:val="15"/>
          <w:szCs w:val="15"/>
          <w:color w:val="auto"/>
        </w:rPr>
      </w:pPr>
    </w:p>
    <w:p>
      <w:pPr>
        <w:ind w:left="340" w:hanging="332"/>
        <w:spacing w:after="0"/>
        <w:tabs>
          <w:tab w:leader="none" w:pos="340" w:val="left"/>
        </w:tabs>
        <w:numPr>
          <w:ilvl w:val="0"/>
          <w:numId w:val="57"/>
        </w:numPr>
        <w:rPr>
          <w:rFonts w:ascii="Arial" w:cs="Arial" w:eastAsia="Arial" w:hAnsi="Arial"/>
          <w:sz w:val="16"/>
          <w:szCs w:val="16"/>
          <w:color w:val="auto"/>
        </w:rPr>
      </w:pPr>
      <w:r>
        <w:rPr>
          <w:rFonts w:ascii="Arial" w:cs="Arial" w:eastAsia="Arial" w:hAnsi="Arial"/>
          <w:sz w:val="16"/>
          <w:szCs w:val="16"/>
          <w:color w:val="auto"/>
        </w:rPr>
        <w:t>Includes 13,160 shares held directly and 1,440 RSUs that vested on March 5, 2023.</w:t>
      </w:r>
    </w:p>
    <w:p>
      <w:pPr>
        <w:spacing w:after="0" w:line="248" w:lineRule="exact"/>
        <w:rPr>
          <w:rFonts w:ascii="Arial" w:cs="Arial" w:eastAsia="Arial" w:hAnsi="Arial"/>
          <w:sz w:val="16"/>
          <w:szCs w:val="16"/>
          <w:color w:val="auto"/>
        </w:rPr>
      </w:pPr>
    </w:p>
    <w:p>
      <w:pPr>
        <w:ind w:left="340" w:hanging="332"/>
        <w:spacing w:after="0"/>
        <w:tabs>
          <w:tab w:leader="none" w:pos="340" w:val="left"/>
        </w:tabs>
        <w:numPr>
          <w:ilvl w:val="0"/>
          <w:numId w:val="57"/>
        </w:numPr>
        <w:rPr>
          <w:rFonts w:ascii="Arial" w:cs="Arial" w:eastAsia="Arial" w:hAnsi="Arial"/>
          <w:sz w:val="16"/>
          <w:szCs w:val="16"/>
          <w:color w:val="auto"/>
        </w:rPr>
      </w:pPr>
      <w:r>
        <w:rPr>
          <w:rFonts w:ascii="Arial" w:cs="Arial" w:eastAsia="Arial" w:hAnsi="Arial"/>
          <w:sz w:val="16"/>
          <w:szCs w:val="16"/>
          <w:color w:val="auto"/>
        </w:rPr>
        <w:t>Includes 6,826 shares held directly and 417 RSUs that vested on March 5, 2023.</w:t>
      </w:r>
    </w:p>
    <w:p>
      <w:pPr>
        <w:spacing w:after="0" w:line="261" w:lineRule="exact"/>
        <w:rPr>
          <w:rFonts w:ascii="Arial" w:cs="Arial" w:eastAsia="Arial" w:hAnsi="Arial"/>
          <w:sz w:val="16"/>
          <w:szCs w:val="16"/>
          <w:color w:val="auto"/>
        </w:rPr>
      </w:pPr>
    </w:p>
    <w:p>
      <w:pPr>
        <w:ind w:left="340" w:hanging="332"/>
        <w:spacing w:after="0"/>
        <w:tabs>
          <w:tab w:leader="none" w:pos="340" w:val="left"/>
        </w:tabs>
        <w:numPr>
          <w:ilvl w:val="0"/>
          <w:numId w:val="57"/>
        </w:numPr>
        <w:rPr>
          <w:rFonts w:ascii="Arial" w:cs="Arial" w:eastAsia="Arial" w:hAnsi="Arial"/>
          <w:sz w:val="16"/>
          <w:szCs w:val="16"/>
          <w:color w:val="auto"/>
        </w:rPr>
      </w:pPr>
      <w:r>
        <w:rPr>
          <w:rFonts w:ascii="Arial" w:cs="Arial" w:eastAsia="Arial" w:hAnsi="Arial"/>
          <w:sz w:val="16"/>
          <w:szCs w:val="16"/>
          <w:color w:val="auto"/>
        </w:rPr>
        <w:t>Includes 6,650 RSUs that will vest within 60 days of March 1, 2023.</w:t>
      </w:r>
    </w:p>
    <w:p>
      <w:pPr>
        <w:spacing w:after="0" w:line="248" w:lineRule="exact"/>
        <w:rPr>
          <w:rFonts w:ascii="Arial" w:cs="Arial" w:eastAsia="Arial" w:hAnsi="Arial"/>
          <w:sz w:val="16"/>
          <w:szCs w:val="16"/>
          <w:color w:val="auto"/>
        </w:rPr>
      </w:pPr>
    </w:p>
    <w:p>
      <w:pPr>
        <w:ind w:left="340" w:right="20" w:hanging="332"/>
        <w:spacing w:after="0" w:line="275" w:lineRule="auto"/>
        <w:tabs>
          <w:tab w:leader="none" w:pos="334" w:val="left"/>
        </w:tabs>
        <w:numPr>
          <w:ilvl w:val="0"/>
          <w:numId w:val="57"/>
        </w:numPr>
        <w:rPr>
          <w:rFonts w:ascii="Arial" w:cs="Arial" w:eastAsia="Arial" w:hAnsi="Arial"/>
          <w:sz w:val="16"/>
          <w:szCs w:val="16"/>
          <w:color w:val="auto"/>
        </w:rPr>
      </w:pPr>
      <w:r>
        <w:rPr>
          <w:rFonts w:ascii="Arial" w:cs="Arial" w:eastAsia="Arial" w:hAnsi="Arial"/>
          <w:sz w:val="16"/>
          <w:szCs w:val="16"/>
          <w:color w:val="auto"/>
        </w:rPr>
        <w:t>PFL is wholly-owned by Packaging Holdings Limited (“PHL”), which is wholly-owned by Mr. Graeme Hart. The principal business address of PFL, PHL, and Mr. Hart is c/o Rank Group Limited, Floor 9, 148 Quay Street, Auckland, 1010 New Zealand.</w:t>
      </w:r>
    </w:p>
    <w:p>
      <w:pPr>
        <w:spacing w:after="0" w:line="212" w:lineRule="exact"/>
        <w:rPr>
          <w:rFonts w:ascii="Arial" w:cs="Arial" w:eastAsia="Arial" w:hAnsi="Arial"/>
          <w:sz w:val="16"/>
          <w:szCs w:val="16"/>
          <w:color w:val="auto"/>
        </w:rPr>
      </w:pPr>
    </w:p>
    <w:p>
      <w:pPr>
        <w:jc w:val="both"/>
        <w:ind w:left="340" w:hanging="332"/>
        <w:spacing w:after="0" w:line="259" w:lineRule="auto"/>
        <w:tabs>
          <w:tab w:leader="none" w:pos="340" w:val="left"/>
        </w:tabs>
        <w:numPr>
          <w:ilvl w:val="0"/>
          <w:numId w:val="57"/>
        </w:numPr>
        <w:rPr>
          <w:rFonts w:ascii="Arial" w:cs="Arial" w:eastAsia="Arial" w:hAnsi="Arial"/>
          <w:sz w:val="16"/>
          <w:szCs w:val="16"/>
          <w:color w:val="auto"/>
        </w:rPr>
      </w:pPr>
      <w:r>
        <w:rPr>
          <w:rFonts w:ascii="Arial" w:cs="Arial" w:eastAsia="Arial" w:hAnsi="Arial"/>
          <w:sz w:val="16"/>
          <w:szCs w:val="16"/>
          <w:color w:val="auto"/>
        </w:rPr>
        <w:t>Based on a Schedule 13G/A filed with the SEC on January 13, 2023 by (a) Allspring Global Investments Holdings, LLC that it has sole voting power with respect to 12,265,556 shares and sole dispositive power with respect to 12,765,325 shares; (b) Allspring Global Investments, LLC that it has sole voting power with respect to 1,771,468 shares and sole dispositive power with respect to 12,723,055 shares; and (c) Allspring Funds Management, LLC that it has sole voting power with respect to 10,494,088 shares and sole dispositive power with respect to 42,270 shares. Further, based on Forms 13F filled on January 23, 2023 by the reporting persons, it appears that, in the aggregate, their holdings total 12,765,325 shares of our common stock. The principal business address of the reporting persons is 525 Market St., 10th Floor, San Francisco, CA 94105.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4F81B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36"/>
          <w:szCs w:val="36"/>
          <w:b w:val="1"/>
          <w:bCs w:val="1"/>
          <w:color w:val="1F497D"/>
        </w:rPr>
        <w:t>DELINQUENT SECTION 16(a) REPORTS</w:t>
      </w:r>
    </w:p>
    <w:p>
      <w:pPr>
        <w:spacing w:after="0" w:line="24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Section 16(a) of the Exchange Act requires our officers and directors and persons who own more than 10% of our common stock to file reports of ownership and changes in ownership with the SEC. Based on our review of such filings, we believe that all such reports required by Section 16(a) of the Exchange Act were in compliance with such filing requirements during the year ended December 31, 2022, other than a Form 3 for Nathan Lowe, which was filed two days late due to a delay in obtaining his filing codes, and which omitted 980 shares, which has subsequently been corrected through an amended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4F81B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2360"/>
        <w:spacing w:after="0" w:line="283" w:lineRule="auto"/>
        <w:rPr>
          <w:sz w:val="20"/>
          <w:szCs w:val="20"/>
          <w:color w:val="auto"/>
        </w:rPr>
      </w:pPr>
      <w:r>
        <w:rPr>
          <w:rFonts w:ascii="Arial" w:cs="Arial" w:eastAsia="Arial" w:hAnsi="Arial"/>
          <w:sz w:val="36"/>
          <w:szCs w:val="36"/>
          <w:b w:val="1"/>
          <w:bCs w:val="1"/>
          <w:color w:val="1F497D"/>
        </w:rPr>
        <w:t>CERTAIN RELATIONSHIPS AND RELATED PERSON TRANSACTIONS</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Prior to our separation from PEI and our initial public offering (“IPO”), we operated as part of PEI Group’s broader corporate organization rather than as a stand-alone public company. PEI Group and Rank have performed or supported various corporate services for us, and we have engaged in various transactions with PEI Group. In connection with our IPO, we entered into new agreements with the PEI Group and Rank. The prices and other terms of these new agreements were negotiated on what we believe to be an arm’s-length basis. The arrangements under which we have transacted with PEI Group and Rank during the year ending December 31, 2022 are described below.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Supply, Warehousing and Freight Agreements with Pactiv</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have entered into supply agreements to continue selling products to and buying products from Pactiv. These agreements will expire on December 31, 2024. Certain of the products we manufacture and sell to Pactiv are made using equipment in our plants that is owned by Pactiv, and certain of the products that Pactiv manufactures and sells to us are made using equipment in Pactiv’s plants that is owned by us. Under the supply agreements, we and Pactiv agree to maintain the other party’s equipment that is in such party’s plants, provided that any required capital expenditures related to such equipment are the equipment owner’s responsibility. We have (i) sold products to Pactiv, primarily aluminum foil and aluminum foil containers, and (ii) purchased products from Pactiv, primarily tableware. For 2022, revenues from products sold to Pactiv were $101 million and we paid $399 million for purchases from Pactiv.</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entered into a warehousing and freight services agreement with Pactiv to continue storing many of our finished goods in warehouses operated by Pactiv and to provide certain freight services for shipments from our plants to our warehouses (including Pactiv warehouses) and from our warehouses to our customers. The term of the warehousing and freight services under the agreement will vary by location, with a final termination date of December 31, 2024. For 2022, Pactiv charged us freight and warehousing costs of $54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lease our corporate headquarters in Lake Forest, IL from Pactiv. We occupy approximately 70,000 square feet at market rent with a term of ten years, beginning January 1, 2020, with two five-year renewal options. We amended the lease agreement by adding approximately 32,000 square feet at market rent, beginning February 1, 2021, at our corporate headquarters. We also lease approximately 26,000 square feet in Pactiv’s Canandaigua, New York facility for certain research and development activities. The Canandaigua lease is at market rent and has a term of five years, beginning January 1, 2020, provided we have the right to terminate the lease on six months’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4F81B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Procedures for Transactions with Related Persons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have adopted a Related Person Transaction Policy that provides that our executive officers, directors, nominees for election as a director, beneficial owners of 5% or more of our common stock and any members of the immediate family of any of the foregoing persons are not permitted to enter into a related party transaction with us without the approval or ratification of a designated committee of our board of directors (which will initially be the Audit Committee) or other committee designated by our board of directors made up solely of independent directors. Any request for us to enter into a transaction with an executive officer, director, nominee for election as a director, beneficial owner of 5% or more of our common stock or any member of the immediate family of any of the foregoing persons, in which the amount involved exceeds $120,000 and such person would have a direct or indirect interest, must be presented to our Audit Committee or other committee of independent directors for review to determine whether the related party involved has a direct or indirect material interest in the transaction. In reviewing any such proposal, our Audit Committee or other committee of independent directors are to consider the relevant facts of the transaction, including the risks, costs and benefits to us and whether the transaction is on terms no less favorable than terms generally available to an unaffiliated third party under the same or similar circumstances.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2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During 2022, the members of our CNG Committee were Gregory Cole, Helen Golding and Richard Noll, none of whom is or has been our current or former officer or employee or was involved in a relationship requiring disclosure as an interlocking director or under Item 404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4F81B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36"/>
          <w:szCs w:val="36"/>
          <w:b w:val="1"/>
          <w:bCs w:val="1"/>
          <w:color w:val="1F497D"/>
        </w:rPr>
        <w:t>QUESTIONS AND ANSWERS ABOUT THE ANNUAL MEETING</w:t>
      </w:r>
    </w:p>
    <w:p>
      <w:pPr>
        <w:spacing w:after="0" w:line="27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following questions and answers are intended to address briefly some commonly asked questions regarding the Annual Meeting and the matters to be voted on at the Annual Meeting or at any adjournments or postponements thereof. We urge you to read the remainder of this Proxy Statement carefully because the information in this section does not provide all information that might be important to you. Please refer to the more detailed information contained elsewhere in this Proxy Statement and the documents referred to in this Proxy Statement, which you should read carefully.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are the purposes of the Annual Meeting?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Annual Meeting is being held for the purposes of considering and taking action with respect to the following:</w:t>
      </w:r>
    </w:p>
    <w:p>
      <w:pPr>
        <w:spacing w:after="0" w:line="225" w:lineRule="exact"/>
        <w:rPr>
          <w:sz w:val="20"/>
          <w:szCs w:val="20"/>
          <w:color w:val="auto"/>
        </w:rPr>
      </w:pPr>
    </w:p>
    <w:p>
      <w:pPr>
        <w:ind w:left="640" w:hanging="308"/>
        <w:spacing w:after="0"/>
        <w:tabs>
          <w:tab w:leader="none" w:pos="6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to elect three directors to serve until the 2026 Annual Meeting of Stockholders;</w:t>
      </w:r>
    </w:p>
    <w:p>
      <w:pPr>
        <w:spacing w:after="0" w:line="225" w:lineRule="exact"/>
        <w:rPr>
          <w:rFonts w:ascii="Arial" w:cs="Arial" w:eastAsia="Arial" w:hAnsi="Arial"/>
          <w:sz w:val="18"/>
          <w:szCs w:val="18"/>
          <w:color w:val="auto"/>
        </w:rPr>
      </w:pPr>
    </w:p>
    <w:p>
      <w:pPr>
        <w:ind w:left="660" w:hanging="328"/>
        <w:spacing w:after="0" w:line="277" w:lineRule="auto"/>
        <w:tabs>
          <w:tab w:leader="none" w:pos="67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to ratify the appointment of PricewaterhouseCoopers LLP as our independent registered public accounting firm for the year ending December 31, 2023;</w:t>
      </w:r>
    </w:p>
    <w:p>
      <w:pPr>
        <w:spacing w:after="0" w:line="170" w:lineRule="exact"/>
        <w:rPr>
          <w:rFonts w:ascii="Arial" w:cs="Arial" w:eastAsia="Arial" w:hAnsi="Arial"/>
          <w:sz w:val="18"/>
          <w:szCs w:val="18"/>
          <w:color w:val="auto"/>
        </w:rPr>
      </w:pPr>
    </w:p>
    <w:p>
      <w:pPr>
        <w:ind w:left="640" w:hanging="308"/>
        <w:spacing w:after="0"/>
        <w:tabs>
          <w:tab w:leader="none" w:pos="6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to approve, on an advisory basis, the 2022 compensation of our named executive officers as disclosed in this Proxy Statement; and</w:t>
      </w:r>
    </w:p>
    <w:p>
      <w:pPr>
        <w:spacing w:after="0" w:line="225" w:lineRule="exact"/>
        <w:rPr>
          <w:rFonts w:ascii="Arial" w:cs="Arial" w:eastAsia="Arial" w:hAnsi="Arial"/>
          <w:sz w:val="18"/>
          <w:szCs w:val="18"/>
          <w:color w:val="auto"/>
        </w:rPr>
      </w:pPr>
    </w:p>
    <w:p>
      <w:pPr>
        <w:ind w:left="640" w:hanging="308"/>
        <w:spacing w:after="0"/>
        <w:tabs>
          <w:tab w:leader="none" w:pos="6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at any and all adjournments or postponements thereof.</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participate in the Annual Meeting?</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Annual Meeting will be a completely virtual meeting. There will be no physical meeting location.</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To participate in the Annual Meeting, visit </w:t>
      </w:r>
      <w:r>
        <w:rPr>
          <w:rFonts w:ascii="Arial" w:cs="Arial" w:eastAsia="Arial" w:hAnsi="Arial"/>
          <w:sz w:val="18"/>
          <w:szCs w:val="18"/>
          <w:i w:val="1"/>
          <w:iCs w:val="1"/>
          <w:color w:val="auto"/>
        </w:rPr>
        <w:t>www.virtualshareholdermeeting.com/REYN2023</w:t>
      </w:r>
      <w:r>
        <w:rPr>
          <w:rFonts w:ascii="Arial" w:cs="Arial" w:eastAsia="Arial" w:hAnsi="Arial"/>
          <w:sz w:val="18"/>
          <w:szCs w:val="18"/>
          <w:color w:val="auto"/>
        </w:rPr>
        <w:t xml:space="preserve"> and enter the 16-digit control number included on your proxy card or on the instructions that accompanied your proxy materials. You may begin to log into the meeting platform beginning at 4:45 p.m., Central Time (“CT”), on April 26, 2023. The meeting will begin promptly at 5:00 p.m. CT on April 26, 2023.</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If you wish to submit a question during the meeting, log into the virtual meeting platform at </w:t>
      </w:r>
      <w:r>
        <w:rPr>
          <w:rFonts w:ascii="Arial" w:cs="Arial" w:eastAsia="Arial" w:hAnsi="Arial"/>
          <w:sz w:val="17"/>
          <w:szCs w:val="17"/>
          <w:i w:val="1"/>
          <w:iCs w:val="1"/>
          <w:color w:val="auto"/>
        </w:rPr>
        <w:t>www.virtualshareholdermeeting.com/REYN2023</w:t>
      </w:r>
      <w:r>
        <w:rPr>
          <w:rFonts w:ascii="Arial" w:cs="Arial" w:eastAsia="Arial" w:hAnsi="Arial"/>
          <w:sz w:val="17"/>
          <w:szCs w:val="17"/>
          <w:color w:val="auto"/>
        </w:rPr>
        <w:t>, and follow the instructions in the virtual meeting platform for submitting a question. Questions must pertain to meeting matters, and the question and answer session will be subject to time constraints and rules of conduct. Questions regarding personal matters, including those related to employment, product issues or suggestions for product innovations, are not pertinent to meeting matters and therefore will not be answered.</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you encounter any technical difficulties with the virtual meeting platform on the Annual Meeting day either during the check-in or meeting time, please call the technical support number that will be posted on the virtual meeting platform log in page.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 is entitled to vote at the Annual Meeting?</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the close of business on March 1, 2023, the record date for determination of stockholders entitled to vote at the Annual Meeting, there were outstanding 209,974,135 shares of our common stock, par value $0.001 per share, all of which are entitled to vote with respect to all matters to be acted upon at the Annual Meeting. Each stockholder of record is entitled to one vote for each share of our common stock held by such stockholder.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4F81B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constitutes a quorum for the Annual Meeting?</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Amended and Restated Bylaws (the “Bylaws”) provide that a majority of the total voting power of all outstanding shares of stock generally entitled to vote at a meeting of stockholders, present in person or by proxy, will constitute a quorum for the transaction of business at the Annual Meeting. Shares that are voted “abstain” or “withheld” and broker “non-votes” are counted as present for purposes of determining whether a quorum is present at the Annual Meeting.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is the difference between a “stockholder of record” and a “street name” holder?</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If your shares are registered directly in your name, you are considered the stockholder of record with respect to those shares. If your shares are held in a stock brokerage account or by a bank or other nominee, then the broker, bank or other nominee is considered to be the stockholder of record with respect to those shares, while you are considered the beneficial owner of those shares. In that case, your shares are said to be held in “street name.”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are broker non-votes?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your shares are held in “street name,” your broker, bank or other nominee is required to vote your shares according to your instructions. If you do not give instructions to your broker, bank or other nominee, it will still be able to vote your shares with respect to certain “discretionary” items, but will not be allowed to vote your shares with respect to “non-discretionary” items. Proposals 1 and 3 are “non-discretionary” items. If you do not instruct your broker, bank or other nominee how to vote with respect to those proposals, it may not vote for those proposals, and those votes will be counted as broker “non-votes.” Proposal 2 is considered to be a discretionary item, and your broker, bank or other nominee will be able to vote on this proposal even if it does not receive instructions from you.</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vote is required to approve each proposal?</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sets forth the votes that are required from the holders of common stock to approve each of the proposals, and the impact of abstentions and broker non-votes: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7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7"/>
              </w:rPr>
              <w:t>Proposal</w:t>
            </w:r>
          </w:p>
        </w:tc>
        <w:tc>
          <w:tcPr>
            <w:tcW w:w="33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Subject</w:t>
            </w:r>
          </w:p>
        </w:tc>
        <w:tc>
          <w:tcPr>
            <w:tcW w:w="100" w:type="dxa"/>
            <w:vAlign w:val="bottom"/>
            <w:vMerge w:val="restart"/>
          </w:tcPr>
          <w:p>
            <w:pPr>
              <w:spacing w:after="0"/>
              <w:rPr>
                <w:sz w:val="16"/>
                <w:szCs w:val="16"/>
                <w:color w:val="auto"/>
              </w:rPr>
            </w:pPr>
          </w:p>
        </w:tc>
        <w:tc>
          <w:tcPr>
            <w:tcW w:w="3100" w:type="dxa"/>
            <w:vAlign w:val="bottom"/>
            <w:vMerge w:val="restart"/>
          </w:tcPr>
          <w:p>
            <w:pPr>
              <w:ind w:left="1040"/>
              <w:spacing w:after="0"/>
              <w:rPr>
                <w:sz w:val="20"/>
                <w:szCs w:val="20"/>
                <w:color w:val="auto"/>
              </w:rPr>
            </w:pPr>
            <w:r>
              <w:rPr>
                <w:rFonts w:ascii="Arial" w:cs="Arial" w:eastAsia="Arial" w:hAnsi="Arial"/>
                <w:sz w:val="16"/>
                <w:szCs w:val="16"/>
                <w:b w:val="1"/>
                <w:bCs w:val="1"/>
                <w:color w:val="auto"/>
              </w:rPr>
              <w:t>Vote Required</w:t>
            </w:r>
          </w:p>
        </w:tc>
        <w:tc>
          <w:tcPr>
            <w:tcW w:w="100" w:type="dxa"/>
            <w:vAlign w:val="bottom"/>
            <w:vMerge w:val="restart"/>
          </w:tcPr>
          <w:p>
            <w:pPr>
              <w:spacing w:after="0"/>
              <w:rPr>
                <w:sz w:val="16"/>
                <w:szCs w:val="16"/>
                <w:color w:val="auto"/>
              </w:rPr>
            </w:pPr>
          </w:p>
        </w:tc>
        <w:tc>
          <w:tcPr>
            <w:tcW w:w="2920" w:type="dxa"/>
            <w:vAlign w:val="bottom"/>
          </w:tcPr>
          <w:p>
            <w:pPr>
              <w:ind w:left="540"/>
              <w:spacing w:after="0"/>
              <w:rPr>
                <w:sz w:val="20"/>
                <w:szCs w:val="20"/>
                <w:color w:val="auto"/>
              </w:rPr>
            </w:pPr>
            <w:r>
              <w:rPr>
                <w:rFonts w:ascii="Arial" w:cs="Arial" w:eastAsia="Arial" w:hAnsi="Arial"/>
                <w:sz w:val="16"/>
                <w:szCs w:val="16"/>
                <w:b w:val="1"/>
                <w:bCs w:val="1"/>
                <w:color w:val="auto"/>
              </w:rPr>
              <w:t>Impact of Abstentions and</w:t>
            </w:r>
          </w:p>
        </w:tc>
        <w:tc>
          <w:tcPr>
            <w:tcW w:w="0" w:type="dxa"/>
            <w:vAlign w:val="bottom"/>
          </w:tcPr>
          <w:p>
            <w:pPr>
              <w:spacing w:after="0"/>
              <w:rPr>
                <w:sz w:val="1"/>
                <w:szCs w:val="1"/>
                <w:color w:val="auto"/>
              </w:rPr>
            </w:pPr>
          </w:p>
        </w:tc>
      </w:tr>
      <w:tr>
        <w:trPr>
          <w:trHeight w:val="213"/>
        </w:trPr>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Number</w:t>
            </w:r>
          </w:p>
        </w:tc>
        <w:tc>
          <w:tcPr>
            <w:tcW w:w="100" w:type="dxa"/>
            <w:vAlign w:val="bottom"/>
            <w:tcBorders>
              <w:bottom w:val="single" w:sz="8" w:color="CCEEFF"/>
            </w:tcBorders>
          </w:tcPr>
          <w:p>
            <w:pPr>
              <w:spacing w:after="0"/>
              <w:rPr>
                <w:sz w:val="18"/>
                <w:szCs w:val="18"/>
                <w:color w:val="auto"/>
              </w:rPr>
            </w:pPr>
          </w:p>
        </w:tc>
        <w:tc>
          <w:tcPr>
            <w:tcW w:w="33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31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2920" w:type="dxa"/>
            <w:vAlign w:val="bottom"/>
            <w:tcBorders>
              <w:bottom w:val="single" w:sz="8" w:color="auto"/>
            </w:tcBorders>
          </w:tcPr>
          <w:p>
            <w:pPr>
              <w:ind w:left="600"/>
              <w:spacing w:after="0"/>
              <w:rPr>
                <w:sz w:val="20"/>
                <w:szCs w:val="20"/>
                <w:color w:val="auto"/>
              </w:rPr>
            </w:pPr>
            <w:r>
              <w:rPr>
                <w:rFonts w:ascii="Arial" w:cs="Arial" w:eastAsia="Arial" w:hAnsi="Arial"/>
                <w:sz w:val="16"/>
                <w:szCs w:val="16"/>
                <w:b w:val="1"/>
                <w:bCs w:val="1"/>
                <w:color w:val="auto"/>
              </w:rPr>
              <w:t>Broker Non-Votes, if any</w:t>
            </w:r>
          </w:p>
        </w:tc>
        <w:tc>
          <w:tcPr>
            <w:tcW w:w="0" w:type="dxa"/>
            <w:vAlign w:val="bottom"/>
          </w:tcPr>
          <w:p>
            <w:pPr>
              <w:spacing w:after="0"/>
              <w:rPr>
                <w:sz w:val="1"/>
                <w:szCs w:val="1"/>
                <w:color w:val="auto"/>
              </w:rPr>
            </w:pPr>
          </w:p>
        </w:tc>
      </w:tr>
      <w:tr>
        <w:trPr>
          <w:trHeight w:val="162"/>
        </w:trPr>
        <w:tc>
          <w:tcPr>
            <w:tcW w:w="1620" w:type="dxa"/>
            <w:vAlign w:val="bottom"/>
            <w:shd w:val="clear" w:color="auto" w:fill="CCEEFF"/>
          </w:tcPr>
          <w:p>
            <w:pPr>
              <w:jc w:val="center"/>
              <w:spacing w:after="0" w:line="162" w:lineRule="exact"/>
              <w:rPr>
                <w:sz w:val="20"/>
                <w:szCs w:val="20"/>
                <w:color w:val="auto"/>
              </w:rPr>
            </w:pPr>
            <w:r>
              <w:rPr>
                <w:rFonts w:ascii="Arial" w:cs="Arial" w:eastAsia="Arial" w:hAnsi="Arial"/>
                <w:sz w:val="16"/>
                <w:szCs w:val="16"/>
                <w:color w:val="auto"/>
                <w:w w:val="89"/>
              </w:rPr>
              <w:t>1</w:t>
            </w:r>
          </w:p>
        </w:tc>
        <w:tc>
          <w:tcPr>
            <w:tcW w:w="100" w:type="dxa"/>
            <w:vAlign w:val="bottom"/>
            <w:shd w:val="clear" w:color="auto" w:fill="CCEEFF"/>
          </w:tcPr>
          <w:p>
            <w:pPr>
              <w:spacing w:after="0"/>
              <w:rPr>
                <w:sz w:val="14"/>
                <w:szCs w:val="14"/>
                <w:color w:val="auto"/>
              </w:rPr>
            </w:pPr>
          </w:p>
        </w:tc>
        <w:tc>
          <w:tcPr>
            <w:tcW w:w="3400" w:type="dxa"/>
            <w:vAlign w:val="bottom"/>
            <w:gridSpan w:val="2"/>
            <w:shd w:val="clear" w:color="auto" w:fill="CCEEFF"/>
          </w:tcPr>
          <w:p>
            <w:pPr>
              <w:ind w:left="20"/>
              <w:spacing w:after="0" w:line="162" w:lineRule="exact"/>
              <w:rPr>
                <w:sz w:val="20"/>
                <w:szCs w:val="20"/>
                <w:color w:val="auto"/>
              </w:rPr>
            </w:pPr>
            <w:r>
              <w:rPr>
                <w:rFonts w:ascii="Arial" w:cs="Arial" w:eastAsia="Arial" w:hAnsi="Arial"/>
                <w:sz w:val="16"/>
                <w:szCs w:val="16"/>
                <w:color w:val="auto"/>
              </w:rPr>
              <w:t>Election of directors</w:t>
            </w:r>
          </w:p>
        </w:tc>
        <w:tc>
          <w:tcPr>
            <w:tcW w:w="3200" w:type="dxa"/>
            <w:vAlign w:val="bottom"/>
            <w:gridSpan w:val="2"/>
            <w:shd w:val="clear" w:color="auto" w:fill="CCEEFF"/>
          </w:tcPr>
          <w:p>
            <w:pPr>
              <w:spacing w:after="0" w:line="162" w:lineRule="exact"/>
              <w:rPr>
                <w:sz w:val="20"/>
                <w:szCs w:val="20"/>
                <w:color w:val="auto"/>
              </w:rPr>
            </w:pPr>
            <w:r>
              <w:rPr>
                <w:rFonts w:ascii="Arial" w:cs="Arial" w:eastAsia="Arial" w:hAnsi="Arial"/>
                <w:sz w:val="16"/>
                <w:szCs w:val="16"/>
                <w:color w:val="auto"/>
              </w:rPr>
              <w:t>Directors will be elected by a plurality of the</w:t>
            </w:r>
          </w:p>
        </w:tc>
        <w:tc>
          <w:tcPr>
            <w:tcW w:w="292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w w:val="99"/>
              </w:rPr>
              <w:t>Abstentions and broker non-votes will not</w:t>
            </w:r>
          </w:p>
        </w:tc>
        <w:tc>
          <w:tcPr>
            <w:tcW w:w="0" w:type="dxa"/>
            <w:vAlign w:val="bottom"/>
          </w:tcPr>
          <w:p>
            <w:pPr>
              <w:spacing w:after="0"/>
              <w:rPr>
                <w:sz w:val="1"/>
                <w:szCs w:val="1"/>
                <w:color w:val="auto"/>
              </w:rPr>
            </w:pPr>
          </w:p>
        </w:tc>
      </w:tr>
      <w:tr>
        <w:trPr>
          <w:trHeight w:val="162"/>
        </w:trPr>
        <w:tc>
          <w:tcPr>
            <w:tcW w:w="1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0" w:type="dxa"/>
            <w:vAlign w:val="bottom"/>
            <w:gridSpan w:val="2"/>
            <w:shd w:val="clear" w:color="auto" w:fill="CCEEFF"/>
          </w:tcPr>
          <w:p>
            <w:pPr>
              <w:spacing w:after="0" w:line="162" w:lineRule="exact"/>
              <w:rPr>
                <w:sz w:val="20"/>
                <w:szCs w:val="20"/>
                <w:color w:val="auto"/>
              </w:rPr>
            </w:pPr>
            <w:r>
              <w:rPr>
                <w:rFonts w:ascii="Arial" w:cs="Arial" w:eastAsia="Arial" w:hAnsi="Arial"/>
                <w:sz w:val="16"/>
                <w:szCs w:val="16"/>
                <w:color w:val="auto"/>
              </w:rPr>
              <w:t>votes present and entitled to vote. The</w:t>
            </w:r>
          </w:p>
        </w:tc>
        <w:tc>
          <w:tcPr>
            <w:tcW w:w="292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w w:val="93"/>
              </w:rPr>
              <w:t>count as votes cast on the proposal and will</w:t>
            </w:r>
          </w:p>
        </w:tc>
        <w:tc>
          <w:tcPr>
            <w:tcW w:w="0" w:type="dxa"/>
            <w:vAlign w:val="bottom"/>
          </w:tcPr>
          <w:p>
            <w:pPr>
              <w:spacing w:after="0"/>
              <w:rPr>
                <w:sz w:val="1"/>
                <w:szCs w:val="1"/>
                <w:color w:val="auto"/>
              </w:rPr>
            </w:pPr>
          </w:p>
        </w:tc>
      </w:tr>
      <w:tr>
        <w:trPr>
          <w:trHeight w:val="162"/>
        </w:trPr>
        <w:tc>
          <w:tcPr>
            <w:tcW w:w="1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0" w:type="dxa"/>
            <w:vAlign w:val="bottom"/>
            <w:gridSpan w:val="2"/>
            <w:shd w:val="clear" w:color="auto" w:fill="CCEEFF"/>
          </w:tcPr>
          <w:p>
            <w:pPr>
              <w:spacing w:after="0" w:line="162" w:lineRule="exact"/>
              <w:rPr>
                <w:sz w:val="20"/>
                <w:szCs w:val="20"/>
                <w:color w:val="auto"/>
              </w:rPr>
            </w:pPr>
            <w:r>
              <w:rPr>
                <w:rFonts w:ascii="Arial" w:cs="Arial" w:eastAsia="Arial" w:hAnsi="Arial"/>
                <w:sz w:val="16"/>
                <w:szCs w:val="16"/>
                <w:color w:val="auto"/>
              </w:rPr>
              <w:t>nominees receiving the most FOR votes will</w:t>
            </w:r>
          </w:p>
        </w:tc>
        <w:tc>
          <w:tcPr>
            <w:tcW w:w="292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not affect the outcome of the vote.</w:t>
            </w:r>
          </w:p>
        </w:tc>
        <w:tc>
          <w:tcPr>
            <w:tcW w:w="0" w:type="dxa"/>
            <w:vAlign w:val="bottom"/>
          </w:tcPr>
          <w:p>
            <w:pPr>
              <w:spacing w:after="0"/>
              <w:rPr>
                <w:sz w:val="1"/>
                <w:szCs w:val="1"/>
                <w:color w:val="auto"/>
              </w:rPr>
            </w:pPr>
          </w:p>
        </w:tc>
      </w:tr>
      <w:tr>
        <w:trPr>
          <w:trHeight w:val="212"/>
        </w:trPr>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be elected.</w:t>
            </w:r>
          </w:p>
        </w:tc>
        <w:tc>
          <w:tcPr>
            <w:tcW w:w="2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1620" w:type="dxa"/>
            <w:vAlign w:val="bottom"/>
            <w:shd w:val="clear" w:color="auto" w:fill="CCEEFF"/>
          </w:tcPr>
          <w:p>
            <w:pPr>
              <w:jc w:val="center"/>
              <w:spacing w:after="0" w:line="166" w:lineRule="exact"/>
              <w:rPr>
                <w:sz w:val="20"/>
                <w:szCs w:val="20"/>
                <w:color w:val="auto"/>
              </w:rPr>
            </w:pPr>
            <w:r>
              <w:rPr>
                <w:rFonts w:ascii="Arial" w:cs="Arial" w:eastAsia="Arial" w:hAnsi="Arial"/>
                <w:sz w:val="16"/>
                <w:szCs w:val="16"/>
                <w:color w:val="auto"/>
                <w:w w:val="89"/>
              </w:rPr>
              <w:t>2</w:t>
            </w:r>
          </w:p>
        </w:tc>
        <w:tc>
          <w:tcPr>
            <w:tcW w:w="100" w:type="dxa"/>
            <w:vAlign w:val="bottom"/>
            <w:shd w:val="clear" w:color="auto" w:fill="CCEEFF"/>
          </w:tcPr>
          <w:p>
            <w:pPr>
              <w:spacing w:after="0"/>
              <w:rPr>
                <w:sz w:val="14"/>
                <w:szCs w:val="14"/>
                <w:color w:val="auto"/>
              </w:rPr>
            </w:pPr>
          </w:p>
        </w:tc>
        <w:tc>
          <w:tcPr>
            <w:tcW w:w="3400" w:type="dxa"/>
            <w:vAlign w:val="bottom"/>
            <w:gridSpan w:val="2"/>
            <w:shd w:val="clear" w:color="auto" w:fill="CCEEFF"/>
          </w:tcPr>
          <w:p>
            <w:pPr>
              <w:ind w:left="20"/>
              <w:spacing w:after="0" w:line="166" w:lineRule="exact"/>
              <w:rPr>
                <w:sz w:val="20"/>
                <w:szCs w:val="20"/>
                <w:color w:val="auto"/>
              </w:rPr>
            </w:pPr>
            <w:r>
              <w:rPr>
                <w:rFonts w:ascii="Arial" w:cs="Arial" w:eastAsia="Arial" w:hAnsi="Arial"/>
                <w:sz w:val="16"/>
                <w:szCs w:val="16"/>
                <w:color w:val="auto"/>
              </w:rPr>
              <w:t>Ratification of appointment of independent</w:t>
            </w:r>
          </w:p>
        </w:tc>
        <w:tc>
          <w:tcPr>
            <w:tcW w:w="3200" w:type="dxa"/>
            <w:vAlign w:val="bottom"/>
            <w:gridSpan w:val="2"/>
            <w:shd w:val="clear" w:color="auto" w:fill="CCEEFF"/>
          </w:tcPr>
          <w:p>
            <w:pPr>
              <w:spacing w:after="0" w:line="166" w:lineRule="exact"/>
              <w:rPr>
                <w:sz w:val="20"/>
                <w:szCs w:val="20"/>
                <w:color w:val="auto"/>
              </w:rPr>
            </w:pPr>
            <w:r>
              <w:rPr>
                <w:rFonts w:ascii="Arial" w:cs="Arial" w:eastAsia="Arial" w:hAnsi="Arial"/>
                <w:sz w:val="16"/>
                <w:szCs w:val="16"/>
                <w:color w:val="auto"/>
              </w:rPr>
              <w:t>The holders of a majority of the votes cast at</w:t>
            </w:r>
          </w:p>
        </w:tc>
        <w:tc>
          <w:tcPr>
            <w:tcW w:w="2920" w:type="dxa"/>
            <w:vAlign w:val="bottom"/>
            <w:shd w:val="clear" w:color="auto" w:fill="CCEEFF"/>
          </w:tcPr>
          <w:p>
            <w:pPr>
              <w:spacing w:after="0" w:line="166" w:lineRule="exact"/>
              <w:rPr>
                <w:sz w:val="20"/>
                <w:szCs w:val="20"/>
                <w:color w:val="auto"/>
              </w:rPr>
            </w:pPr>
            <w:r>
              <w:rPr>
                <w:rFonts w:ascii="Arial" w:cs="Arial" w:eastAsia="Arial" w:hAnsi="Arial"/>
                <w:sz w:val="16"/>
                <w:szCs w:val="16"/>
                <w:color w:val="auto"/>
                <w:w w:val="99"/>
              </w:rPr>
              <w:t>Abstentions and broker non-votes will not</w:t>
            </w:r>
          </w:p>
        </w:tc>
        <w:tc>
          <w:tcPr>
            <w:tcW w:w="0" w:type="dxa"/>
            <w:vAlign w:val="bottom"/>
          </w:tcPr>
          <w:p>
            <w:pPr>
              <w:spacing w:after="0"/>
              <w:rPr>
                <w:sz w:val="1"/>
                <w:szCs w:val="1"/>
                <w:color w:val="auto"/>
              </w:rPr>
            </w:pPr>
          </w:p>
        </w:tc>
      </w:tr>
      <w:tr>
        <w:trPr>
          <w:trHeight w:val="162"/>
        </w:trPr>
        <w:tc>
          <w:tcPr>
            <w:tcW w:w="1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0" w:type="dxa"/>
            <w:vAlign w:val="bottom"/>
            <w:gridSpan w:val="2"/>
            <w:shd w:val="clear" w:color="auto" w:fill="CCEEFF"/>
          </w:tcPr>
          <w:p>
            <w:pPr>
              <w:ind w:left="20"/>
              <w:spacing w:after="0" w:line="162" w:lineRule="exact"/>
              <w:rPr>
                <w:sz w:val="20"/>
                <w:szCs w:val="20"/>
                <w:color w:val="auto"/>
              </w:rPr>
            </w:pPr>
            <w:r>
              <w:rPr>
                <w:rFonts w:ascii="Arial" w:cs="Arial" w:eastAsia="Arial" w:hAnsi="Arial"/>
                <w:sz w:val="16"/>
                <w:szCs w:val="16"/>
                <w:color w:val="auto"/>
              </w:rPr>
              <w:t>registered public accounting firm</w:t>
            </w:r>
          </w:p>
        </w:tc>
        <w:tc>
          <w:tcPr>
            <w:tcW w:w="3200" w:type="dxa"/>
            <w:vAlign w:val="bottom"/>
            <w:gridSpan w:val="2"/>
            <w:shd w:val="clear" w:color="auto" w:fill="CCEEFF"/>
          </w:tcPr>
          <w:p>
            <w:pPr>
              <w:spacing w:after="0" w:line="162" w:lineRule="exact"/>
              <w:rPr>
                <w:sz w:val="20"/>
                <w:szCs w:val="20"/>
                <w:color w:val="auto"/>
              </w:rPr>
            </w:pPr>
            <w:r>
              <w:rPr>
                <w:rFonts w:ascii="Arial" w:cs="Arial" w:eastAsia="Arial" w:hAnsi="Arial"/>
                <w:sz w:val="16"/>
                <w:szCs w:val="16"/>
                <w:color w:val="auto"/>
              </w:rPr>
              <w:t>the meeting must vote FOR to approve the</w:t>
            </w:r>
          </w:p>
        </w:tc>
        <w:tc>
          <w:tcPr>
            <w:tcW w:w="292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w w:val="93"/>
              </w:rPr>
              <w:t>count as votes cast on the proposal and will</w:t>
            </w:r>
          </w:p>
        </w:tc>
        <w:tc>
          <w:tcPr>
            <w:tcW w:w="0" w:type="dxa"/>
            <w:vAlign w:val="bottom"/>
          </w:tcPr>
          <w:p>
            <w:pPr>
              <w:spacing w:after="0"/>
              <w:rPr>
                <w:sz w:val="1"/>
                <w:szCs w:val="1"/>
                <w:color w:val="auto"/>
              </w:rPr>
            </w:pPr>
          </w:p>
        </w:tc>
      </w:tr>
      <w:tr>
        <w:trPr>
          <w:trHeight w:val="212"/>
        </w:trPr>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proposal.</w:t>
            </w:r>
          </w:p>
        </w:tc>
        <w:tc>
          <w:tcPr>
            <w:tcW w:w="2920" w:type="dxa"/>
            <w:vAlign w:val="bottom"/>
            <w:shd w:val="clear" w:color="auto" w:fill="CCEEFF"/>
          </w:tcPr>
          <w:p>
            <w:pPr>
              <w:spacing w:after="0"/>
              <w:rPr>
                <w:sz w:val="20"/>
                <w:szCs w:val="20"/>
                <w:color w:val="auto"/>
              </w:rPr>
            </w:pPr>
            <w:r>
              <w:rPr>
                <w:rFonts w:ascii="Arial" w:cs="Arial" w:eastAsia="Arial" w:hAnsi="Arial"/>
                <w:sz w:val="16"/>
                <w:szCs w:val="16"/>
                <w:color w:val="auto"/>
              </w:rPr>
              <w:t>not affect the outcome of the vote.</w:t>
            </w:r>
          </w:p>
        </w:tc>
        <w:tc>
          <w:tcPr>
            <w:tcW w:w="0" w:type="dxa"/>
            <w:vAlign w:val="bottom"/>
          </w:tcPr>
          <w:p>
            <w:pPr>
              <w:spacing w:after="0"/>
              <w:rPr>
                <w:sz w:val="1"/>
                <w:szCs w:val="1"/>
                <w:color w:val="auto"/>
              </w:rPr>
            </w:pPr>
          </w:p>
        </w:tc>
      </w:tr>
      <w:tr>
        <w:trPr>
          <w:trHeight w:val="175"/>
        </w:trPr>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1620" w:type="dxa"/>
            <w:vAlign w:val="bottom"/>
            <w:shd w:val="clear" w:color="auto" w:fill="CCEEFF"/>
          </w:tcPr>
          <w:p>
            <w:pPr>
              <w:jc w:val="center"/>
              <w:spacing w:after="0" w:line="166" w:lineRule="exact"/>
              <w:rPr>
                <w:sz w:val="20"/>
                <w:szCs w:val="20"/>
                <w:color w:val="auto"/>
              </w:rPr>
            </w:pPr>
            <w:r>
              <w:rPr>
                <w:rFonts w:ascii="Arial" w:cs="Arial" w:eastAsia="Arial" w:hAnsi="Arial"/>
                <w:sz w:val="16"/>
                <w:szCs w:val="16"/>
                <w:color w:val="auto"/>
                <w:w w:val="89"/>
              </w:rPr>
              <w:t>3</w:t>
            </w:r>
          </w:p>
        </w:tc>
        <w:tc>
          <w:tcPr>
            <w:tcW w:w="100" w:type="dxa"/>
            <w:vAlign w:val="bottom"/>
            <w:shd w:val="clear" w:color="auto" w:fill="CCEEFF"/>
          </w:tcPr>
          <w:p>
            <w:pPr>
              <w:spacing w:after="0"/>
              <w:rPr>
                <w:sz w:val="14"/>
                <w:szCs w:val="14"/>
                <w:color w:val="auto"/>
              </w:rPr>
            </w:pPr>
          </w:p>
        </w:tc>
        <w:tc>
          <w:tcPr>
            <w:tcW w:w="3400" w:type="dxa"/>
            <w:vAlign w:val="bottom"/>
            <w:gridSpan w:val="2"/>
            <w:shd w:val="clear" w:color="auto" w:fill="CCEEFF"/>
          </w:tcPr>
          <w:p>
            <w:pPr>
              <w:ind w:left="20"/>
              <w:spacing w:after="0" w:line="166" w:lineRule="exact"/>
              <w:rPr>
                <w:sz w:val="20"/>
                <w:szCs w:val="20"/>
                <w:color w:val="auto"/>
              </w:rPr>
            </w:pPr>
            <w:r>
              <w:rPr>
                <w:rFonts w:ascii="Arial" w:cs="Arial" w:eastAsia="Arial" w:hAnsi="Arial"/>
                <w:sz w:val="16"/>
                <w:szCs w:val="16"/>
                <w:color w:val="auto"/>
              </w:rPr>
              <w:t>Advisory vote to approve the compensation of</w:t>
            </w:r>
          </w:p>
        </w:tc>
        <w:tc>
          <w:tcPr>
            <w:tcW w:w="3200" w:type="dxa"/>
            <w:vAlign w:val="bottom"/>
            <w:gridSpan w:val="2"/>
            <w:shd w:val="clear" w:color="auto" w:fill="CCEEFF"/>
          </w:tcPr>
          <w:p>
            <w:pPr>
              <w:spacing w:after="0" w:line="166" w:lineRule="exact"/>
              <w:rPr>
                <w:sz w:val="20"/>
                <w:szCs w:val="20"/>
                <w:color w:val="auto"/>
              </w:rPr>
            </w:pPr>
            <w:r>
              <w:rPr>
                <w:rFonts w:ascii="Arial" w:cs="Arial" w:eastAsia="Arial" w:hAnsi="Arial"/>
                <w:sz w:val="16"/>
                <w:szCs w:val="16"/>
                <w:color w:val="auto"/>
              </w:rPr>
              <w:t>The holders of a majority of the votes cast at</w:t>
            </w:r>
          </w:p>
        </w:tc>
        <w:tc>
          <w:tcPr>
            <w:tcW w:w="2920" w:type="dxa"/>
            <w:vAlign w:val="bottom"/>
            <w:shd w:val="clear" w:color="auto" w:fill="CCEEFF"/>
          </w:tcPr>
          <w:p>
            <w:pPr>
              <w:spacing w:after="0" w:line="166" w:lineRule="exact"/>
              <w:rPr>
                <w:sz w:val="20"/>
                <w:szCs w:val="20"/>
                <w:color w:val="auto"/>
              </w:rPr>
            </w:pPr>
            <w:r>
              <w:rPr>
                <w:rFonts w:ascii="Arial" w:cs="Arial" w:eastAsia="Arial" w:hAnsi="Arial"/>
                <w:sz w:val="16"/>
                <w:szCs w:val="16"/>
                <w:color w:val="auto"/>
                <w:w w:val="99"/>
              </w:rPr>
              <w:t>Abstentions and broker non-votes will not</w:t>
            </w:r>
          </w:p>
        </w:tc>
        <w:tc>
          <w:tcPr>
            <w:tcW w:w="0" w:type="dxa"/>
            <w:vAlign w:val="bottom"/>
          </w:tcPr>
          <w:p>
            <w:pPr>
              <w:spacing w:after="0"/>
              <w:rPr>
                <w:sz w:val="1"/>
                <w:szCs w:val="1"/>
                <w:color w:val="auto"/>
              </w:rPr>
            </w:pPr>
          </w:p>
        </w:tc>
      </w:tr>
      <w:tr>
        <w:trPr>
          <w:trHeight w:val="162"/>
        </w:trPr>
        <w:tc>
          <w:tcPr>
            <w:tcW w:w="1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0" w:type="dxa"/>
            <w:vAlign w:val="bottom"/>
            <w:gridSpan w:val="2"/>
            <w:shd w:val="clear" w:color="auto" w:fill="CCEEFF"/>
          </w:tcPr>
          <w:p>
            <w:pPr>
              <w:ind w:left="20"/>
              <w:spacing w:after="0" w:line="162" w:lineRule="exact"/>
              <w:rPr>
                <w:sz w:val="20"/>
                <w:szCs w:val="20"/>
                <w:color w:val="auto"/>
              </w:rPr>
            </w:pPr>
            <w:r>
              <w:rPr>
                <w:rFonts w:ascii="Arial" w:cs="Arial" w:eastAsia="Arial" w:hAnsi="Arial"/>
                <w:sz w:val="16"/>
                <w:szCs w:val="16"/>
                <w:color w:val="auto"/>
              </w:rPr>
              <w:t>our named executive officers</w:t>
            </w:r>
          </w:p>
        </w:tc>
        <w:tc>
          <w:tcPr>
            <w:tcW w:w="3200" w:type="dxa"/>
            <w:vAlign w:val="bottom"/>
            <w:gridSpan w:val="2"/>
            <w:shd w:val="clear" w:color="auto" w:fill="CCEEFF"/>
          </w:tcPr>
          <w:p>
            <w:pPr>
              <w:spacing w:after="0" w:line="162" w:lineRule="exact"/>
              <w:rPr>
                <w:sz w:val="20"/>
                <w:szCs w:val="20"/>
                <w:color w:val="auto"/>
              </w:rPr>
            </w:pPr>
            <w:r>
              <w:rPr>
                <w:rFonts w:ascii="Arial" w:cs="Arial" w:eastAsia="Arial" w:hAnsi="Arial"/>
                <w:sz w:val="16"/>
                <w:szCs w:val="16"/>
                <w:color w:val="auto"/>
              </w:rPr>
              <w:t>the meeting must vote FOR to approve the</w:t>
            </w:r>
          </w:p>
        </w:tc>
        <w:tc>
          <w:tcPr>
            <w:tcW w:w="292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w w:val="93"/>
              </w:rPr>
              <w:t>count as votes cast on the proposal and will</w:t>
            </w:r>
          </w:p>
        </w:tc>
        <w:tc>
          <w:tcPr>
            <w:tcW w:w="0" w:type="dxa"/>
            <w:vAlign w:val="bottom"/>
          </w:tcPr>
          <w:p>
            <w:pPr>
              <w:spacing w:after="0"/>
              <w:rPr>
                <w:sz w:val="1"/>
                <w:szCs w:val="1"/>
                <w:color w:val="auto"/>
              </w:rPr>
            </w:pPr>
          </w:p>
        </w:tc>
      </w:tr>
      <w:tr>
        <w:trPr>
          <w:trHeight w:val="212"/>
        </w:trPr>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proposal.</w:t>
            </w:r>
          </w:p>
        </w:tc>
        <w:tc>
          <w:tcPr>
            <w:tcW w:w="2920" w:type="dxa"/>
            <w:vAlign w:val="bottom"/>
            <w:shd w:val="clear" w:color="auto" w:fill="CCEEFF"/>
          </w:tcPr>
          <w:p>
            <w:pPr>
              <w:spacing w:after="0"/>
              <w:rPr>
                <w:sz w:val="20"/>
                <w:szCs w:val="20"/>
                <w:color w:val="auto"/>
              </w:rPr>
            </w:pPr>
            <w:r>
              <w:rPr>
                <w:rFonts w:ascii="Arial" w:cs="Arial" w:eastAsia="Arial" w:hAnsi="Arial"/>
                <w:sz w:val="16"/>
                <w:szCs w:val="16"/>
                <w:color w:val="auto"/>
              </w:rPr>
              <w:t>not affect the outcome of the vote.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4F81B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are the Board of Directors’ recommendations on how I should vote my shares?</w:t>
      </w:r>
    </w:p>
    <w:p>
      <w:pPr>
        <w:spacing w:after="0" w:line="221" w:lineRule="exact"/>
        <w:rPr>
          <w:sz w:val="20"/>
          <w:szCs w:val="20"/>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Proposal 1</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FOR</w:t>
      </w:r>
      <w:r>
        <w:rPr>
          <w:rFonts w:ascii="Arial" w:cs="Arial" w:eastAsia="Arial" w:hAnsi="Arial"/>
          <w:sz w:val="18"/>
          <w:szCs w:val="18"/>
          <w:i w:val="1"/>
          <w:iCs w:val="1"/>
          <w:color w:val="auto"/>
        </w:rPr>
        <w:t xml:space="preserve"> </w:t>
      </w:r>
      <w:r>
        <w:rPr>
          <w:rFonts w:ascii="Arial" w:cs="Arial" w:eastAsia="Arial" w:hAnsi="Arial"/>
          <w:sz w:val="18"/>
          <w:szCs w:val="18"/>
          <w:color w:val="auto"/>
        </w:rPr>
        <w:t>all nominees for election as directors.</w:t>
      </w:r>
    </w:p>
    <w:p>
      <w:pPr>
        <w:spacing w:after="0" w:line="225" w:lineRule="exact"/>
        <w:rPr>
          <w:rFonts w:ascii="Arial" w:cs="Arial" w:eastAsia="Arial" w:hAnsi="Arial"/>
          <w:sz w:val="18"/>
          <w:szCs w:val="18"/>
          <w:color w:val="auto"/>
        </w:rPr>
      </w:pPr>
    </w:p>
    <w:p>
      <w:pPr>
        <w:ind w:left="660" w:hanging="328"/>
        <w:spacing w:after="0" w:line="282" w:lineRule="auto"/>
        <w:tabs>
          <w:tab w:leader="none" w:pos="655"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Proposal 2</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FOR</w:t>
      </w:r>
      <w:r>
        <w:rPr>
          <w:rFonts w:ascii="Arial" w:cs="Arial" w:eastAsia="Arial" w:hAnsi="Arial"/>
          <w:sz w:val="18"/>
          <w:szCs w:val="18"/>
          <w:i w:val="1"/>
          <w:iCs w:val="1"/>
          <w:color w:val="auto"/>
        </w:rPr>
        <w:t xml:space="preserve"> </w:t>
      </w:r>
      <w:r>
        <w:rPr>
          <w:rFonts w:ascii="Arial" w:cs="Arial" w:eastAsia="Arial" w:hAnsi="Arial"/>
          <w:sz w:val="18"/>
          <w:szCs w:val="18"/>
          <w:color w:val="auto"/>
        </w:rPr>
        <w:t>the ratification of the appointment of PricewaterhouseCoopers LLP as our independent registered public accounting firm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year ending December 31, 2023.</w:t>
      </w:r>
    </w:p>
    <w:p>
      <w:pPr>
        <w:spacing w:after="0" w:line="161"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Proposal 3</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FOR</w:t>
      </w:r>
      <w:r>
        <w:rPr>
          <w:rFonts w:ascii="Arial" w:cs="Arial" w:eastAsia="Arial" w:hAnsi="Arial"/>
          <w:sz w:val="18"/>
          <w:szCs w:val="18"/>
          <w:i w:val="1"/>
          <w:iCs w:val="1"/>
          <w:color w:val="auto"/>
        </w:rPr>
        <w:t xml:space="preserve"> </w:t>
      </w:r>
      <w:r>
        <w:rPr>
          <w:rFonts w:ascii="Arial" w:cs="Arial" w:eastAsia="Arial" w:hAnsi="Arial"/>
          <w:sz w:val="18"/>
          <w:szCs w:val="18"/>
          <w:color w:val="auto"/>
        </w:rPr>
        <w:t>the advisory vote to approve the compensation of our named executive officers.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can I vote?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During the Meeting: </w:t>
      </w:r>
      <w:r>
        <w:rPr>
          <w:rFonts w:ascii="Arial" w:cs="Arial" w:eastAsia="Arial" w:hAnsi="Arial"/>
          <w:sz w:val="18"/>
          <w:szCs w:val="18"/>
          <w:color w:val="auto"/>
        </w:rPr>
        <w:t>If you plan to virtually attend the Annual Meeting and to vote during the meeting, we will provide you with an online ballot during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the Annual Meeting through the virtual stockholder meeting platform at </w:t>
      </w:r>
      <w:r>
        <w:rPr>
          <w:rFonts w:ascii="Arial" w:cs="Arial" w:eastAsia="Arial" w:hAnsi="Arial"/>
          <w:sz w:val="18"/>
          <w:szCs w:val="18"/>
          <w:i w:val="1"/>
          <w:iCs w:val="1"/>
          <w:color w:val="auto"/>
        </w:rPr>
        <w:t>www.virtualshareholdermeeting.com/REYN2023</w:t>
      </w:r>
      <w:r>
        <w:rPr>
          <w:rFonts w:ascii="Arial" w:cs="Arial" w:eastAsia="Arial" w:hAnsi="Arial"/>
          <w:sz w:val="18"/>
          <w:szCs w:val="18"/>
          <w:color w:val="auto"/>
        </w:rPr>
        <w:t>. To vote at the meeting, please follow the instructions on your proxy card. We recommend you vote by proxy even if you plan to attend the Annual Meeting. You can always change your vote at the meeting.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By Proxy: </w:t>
      </w:r>
      <w:r>
        <w:rPr>
          <w:rFonts w:ascii="Arial" w:cs="Arial" w:eastAsia="Arial" w:hAnsi="Arial"/>
          <w:sz w:val="18"/>
          <w:szCs w:val="18"/>
          <w:color w:val="auto"/>
        </w:rPr>
        <w:t>You may vote by proxy through the following means.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If you are a stockholder of record, you have several choices. You can vote your shares by proxy:</w:t>
      </w:r>
    </w:p>
    <w:p>
      <w:pPr>
        <w:spacing w:after="0" w:line="225" w:lineRule="exact"/>
        <w:rPr>
          <w:sz w:val="20"/>
          <w:szCs w:val="20"/>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by mailing a proxy card;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via the internet;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over the telephone.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Please refer to the specific instructions set forth on the Notice or printed proxy materials. For security reasons, our electronic voting system has been designed to authenticate your identity as a stockholder.</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you hold your shares through a broker, bank or other nominee, the firm that holds your shares will provide you with materials and instructions for voting your shares.</w:t>
      </w:r>
    </w:p>
    <w:p>
      <w:pPr>
        <w:spacing w:after="0" w:line="170"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If you complete and submit your proxy before the meeting, the persons named as proxies will vote the shares represented by your proxy in accordance with your instructions. If you submit a proxy without giving voting instructions, your shares will be voted in the manner recommended by the Board of Directors on all matters presented in this Proxy Statement, and as the persons named as proxies may determine in their discretion with respect to any other matters properly presented at the meeting.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 I change my vote after I have submitted a proxy?</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If you are a stockholder of record, you may revoke your proxy by (1) following the instructions on the Notice or proxy card, as applicable, and entering a new vote by mail, over the internet or by phone by the time specified on the Notice or proxy card, as applicable, (2) sending a written notice of revocation to Reynolds Consumer Products, 1900 West Field Court, Lake Forest, IL 60045 Attention: Corporate Secretary, or (3) attending the Annual Meeting and voting through the online platform (although attendance at the Annual Meeting will not in and of itself revoke a proxy).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If a broker, bank or other nominee holds your shares, you must contact them in order to find out how to revoke or change your vote.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4F81B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happens if additional matters are presented at the Annual Meeting?</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any other matters are properly presented for consideration at the Annual Meeting, including, among other things, consideration of a motion to adjourn the Annual Meeting to another time or place (including, without limitation, for the purpose of soliciting additional proxies), the persons named as proxies will have discretion to vote on those matters in accordance with their best judgment. We do not currently anticipate that any other matters will be raised at the Annual Meeting.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 is paying for the cost of this proxy solicitation?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is making this solicitation and will pay the entire cost of preparing and distributing the Notice and these proxy materials and soliciting votes. If you choose to access the proxy materials or vote over the internet, you are responsible for any internet access charges that you may incur. Our directors, officers and employees may, without compensation other than their regular compensation, solicit proxies through further mailings, personal conversations, facsimile transmissions, e-mails, or otherwise.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is the deadline for submitting a stockholder proposal for the 2024 annual meeting?</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Any stockholder proposal intended to be included in the Proxy Statement for the 2024 Annual Meeting of Stockholders must satisfy the SEC regulations under Rule 14a-8 of the Securities Exchange Act of 1934 (the “Exchange Act”), and be received no later than November 15, 2023.</w:t>
      </w:r>
    </w:p>
    <w:p>
      <w:pPr>
        <w:spacing w:after="0" w:line="146"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In addition, our Bylaws contain advance notice provisions requiring a stockholder who wishes to present a proposal or nominate directors at our next Annual Meeting of Stockholders (whether or not to be included in the Proxy Statement) to comply with certain requirements, including providing timely written notice thereof in accordance with our Bylaws. To be timely for our 2024 Annual Meeting of Stockholders, any such proposal must be delivered in writing to our Secretary at our principal executive offices between the close of business on October 29, 2023 and December 28, 2023. If the date of the next Annual Meeting of Stockholders is more than 30 days before or more than 60 days after the first anniversary of the 2023 Annual Meeting of Stockholders, then notice by the stockholder must be received by us no earlier than the close of business on the 120</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day prior to the date of such Annual Meeting and not later than the close of business on the later of (1) 70 days prior to the date of such Annual Meeting or (2) the 10</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day following the day on which public announcement of the date of such meeting is first made.</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to satisfying the foregoing requirements, in order to comply with the universal proxy rules, a stockholder who intends to solicit proxies in support of director nominees for election at the next annual meeting, other than the Company’s nominees, must provide notice that sets forth the information required by Rule 14a-19 under the Exchange Act no later than February 26, 2024.</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foregoing is subject to the Stockholders Agreement between the Company and PFL which provides that PFL has the right to nominate all of our directors so long as the Hart Entities beneficially own at least 50% of the outstanding shares of our common stock; a majority of our directors so long as they own at least 40% of our stock; and at least one director so long as they own at least 10% of our stock.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is “householding”?</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Some banks, brokers and other nominee record holders may be participating in the practice of “householding” proxy statements and annual reports. This means that only one copy of the Notice of Internet Availability of Proxy Materials, Proxy Statement and 2022 Annual Report to Stockholders, as applicable, is being delivered to multiple stockholders sharing an address unless we have received contrary instructions. We will promptly deliver a separate copy of any of these documents to you if you write to us at Reynolds Consumer Products Inc., 1900 W. Field Court, Lake Forest, Illinois 60045, Attention: Corporate Secretary or call us at (800) 879-5067. If you want to receive separate copies of the Notice of Internet Availability of Proxy Materials, Proxy Statement, or 2022 Annual Report to Stockholders in the future, or if you are receiving multiple copies and would like to receive only one copy for your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4F81B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household, you should contact your broker, bank or other nominee record holder, or you may contact us at the above address or telephone number.</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AVAILABILITY OF FORM 10-K</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Stockholders may receive, without charge, a copy of our Annual Report on Form 10-K for the year ended December 31, 2022, as filed with the SEC, including financial statements (and excluding exhibits, which are available for a reasonable fee), by written request to our Corporate Secretary at Reynolds Consumer Products Inc., 1900 W. Field Court, Lake Forest, Illinois 60045. Our Form 10-K is also available on our website in the “Investors—Financial Information –SEC Filings” section of our website at </w:t>
      </w:r>
      <w:r>
        <w:rPr>
          <w:rFonts w:ascii="Arial" w:cs="Arial" w:eastAsia="Arial" w:hAnsi="Arial"/>
          <w:sz w:val="18"/>
          <w:szCs w:val="18"/>
          <w:i w:val="1"/>
          <w:iCs w:val="1"/>
          <w:color w:val="auto"/>
        </w:rPr>
        <w:t>www.ReynoldsConsumerProducts.com</w:t>
      </w:r>
      <w:r>
        <w:rPr>
          <w:rFonts w:ascii="Arial" w:cs="Arial" w:eastAsia="Arial" w:hAnsi="Arial"/>
          <w:sz w:val="18"/>
          <w:szCs w:val="18"/>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INCORPORATION BY REFERENCE</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Notwithstanding anything to the contrary set forth in any of our previous filings under the Securities Act or the Exchange Act that may incorporate future filings (including this Proxy Statement, in whole or in part), the Audit Committee Report and the Compensation Committee Report included in this Proxy Statement shall not be incorporated by reference in any such filings.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4F81B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1F497D"/>
        </w:rPr>
        <w:t>APPENDIX A</w:t>
      </w:r>
    </w:p>
    <w:p>
      <w:pPr>
        <w:spacing w:after="0" w:line="184" w:lineRule="exact"/>
        <w:rPr>
          <w:sz w:val="20"/>
          <w:szCs w:val="20"/>
          <w:color w:val="auto"/>
        </w:rPr>
      </w:pPr>
    </w:p>
    <w:p>
      <w:pPr>
        <w:spacing w:after="0"/>
        <w:rPr>
          <w:sz w:val="20"/>
          <w:szCs w:val="20"/>
          <w:color w:val="auto"/>
        </w:rPr>
      </w:pPr>
      <w:r>
        <w:rPr>
          <w:rFonts w:ascii="Arial" w:cs="Arial" w:eastAsia="Arial" w:hAnsi="Arial"/>
          <w:sz w:val="29"/>
          <w:szCs w:val="29"/>
          <w:b w:val="1"/>
          <w:bCs w:val="1"/>
          <w:color w:val="1F497D"/>
        </w:rPr>
        <w:t>RECONCILIATION OF NON-GAAP FINANCIAL MEASURE</w:t>
      </w:r>
    </w:p>
    <w:p>
      <w:pPr>
        <w:spacing w:after="0" w:line="25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Adjusted EBITDA is referenced in this Proxy Statement and represents net income calculated in accordance with GAAP, plus the sum of income tax expense, net interest expense, depreciation and amortization and IPO and separation-related costs, as well as other non-recurring costs. Adjusted EBITDA Growth in 2022 is the change in Adjusted EBITDA in 2022 compared to Adjusted EBITDA in 2021.</w:t>
      </w:r>
    </w:p>
    <w:p>
      <w:pPr>
        <w:spacing w:after="0" w:line="18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Adjusted EBITDA is a non-GAAP financial measure and should be considered as supplemental in nature and is not meant to be considered in isolation or as a substitute for the related financial information prepared in accordance with GAAP. In addition, our non-GAAP financial measures may not be the same as or comparable to similar non-GAAP financial measures presented by other companies.</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tables contain a reconciliation of Net Income and Net Income Change, the most directly comparable GAAP financial measure, to Adjusted EBITDA and Adjusted EBITDA Change for each of the periods indicated: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78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rPr>
              <w:t>Year Ended December 31,</w:t>
            </w: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234"/>
        </w:trPr>
        <w:tc>
          <w:tcPr>
            <w:tcW w:w="4760" w:type="dxa"/>
            <w:vAlign w:val="bottom"/>
          </w:tcPr>
          <w:p>
            <w:pPr>
              <w:ind w:left="20"/>
              <w:spacing w:after="0"/>
              <w:rPr>
                <w:sz w:val="20"/>
                <w:szCs w:val="20"/>
                <w:color w:val="auto"/>
              </w:rPr>
            </w:pPr>
            <w:r>
              <w:rPr>
                <w:rFonts w:ascii="Arial" w:cs="Arial" w:eastAsia="Arial" w:hAnsi="Arial"/>
                <w:sz w:val="18"/>
                <w:szCs w:val="18"/>
                <w:b w:val="1"/>
                <w:bCs w:val="1"/>
                <w:color w:val="auto"/>
              </w:rPr>
              <w:t>(In millions, except for %)</w:t>
            </w:r>
          </w:p>
        </w:tc>
        <w:tc>
          <w:tcPr>
            <w:tcW w:w="180" w:type="dxa"/>
            <w:vAlign w:val="bottom"/>
          </w:tcPr>
          <w:p>
            <w:pPr>
              <w:spacing w:after="0"/>
              <w:rPr>
                <w:sz w:val="20"/>
                <w:szCs w:val="20"/>
                <w:color w:val="auto"/>
              </w:rPr>
            </w:pPr>
          </w:p>
        </w:tc>
        <w:tc>
          <w:tcPr>
            <w:tcW w:w="1140" w:type="dxa"/>
            <w:vAlign w:val="bottom"/>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290"/>
              <w:spacing w:after="0"/>
              <w:rPr>
                <w:sz w:val="20"/>
                <w:szCs w:val="20"/>
                <w:color w:val="auto"/>
              </w:rPr>
            </w:pPr>
            <w:r>
              <w:rPr>
                <w:rFonts w:ascii="Arial" w:cs="Arial" w:eastAsia="Arial" w:hAnsi="Arial"/>
                <w:sz w:val="18"/>
                <w:szCs w:val="18"/>
                <w:b w:val="1"/>
                <w:bCs w:val="1"/>
                <w:color w:val="auto"/>
              </w:rPr>
              <w:t>Change</w:t>
            </w:r>
          </w:p>
        </w:tc>
        <w:tc>
          <w:tcPr>
            <w:tcW w:w="260" w:type="dxa"/>
            <w:vAlign w:val="bottom"/>
          </w:tcPr>
          <w:p>
            <w:pPr>
              <w:spacing w:after="0"/>
              <w:rPr>
                <w:sz w:val="20"/>
                <w:szCs w:val="20"/>
                <w:color w:val="auto"/>
              </w:rPr>
            </w:pPr>
          </w:p>
        </w:tc>
        <w:tc>
          <w:tcPr>
            <w:tcW w:w="1640" w:type="dxa"/>
            <w:vAlign w:val="bottom"/>
            <w:gridSpan w:val="2"/>
          </w:tcPr>
          <w:p>
            <w:pPr>
              <w:jc w:val="right"/>
              <w:ind w:right="49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4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 GAAP</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3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3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6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60" w:type="dxa"/>
            <w:vAlign w:val="bottom"/>
            <w:tcBorders>
              <w:top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r>
      <w:tr>
        <w:trPr>
          <w:trHeight w:val="230"/>
        </w:trPr>
        <w:tc>
          <w:tcPr>
            <w:tcW w:w="476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80</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106</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w:t>
            </w:r>
          </w:p>
        </w:tc>
        <w:tc>
          <w:tcPr>
            <w:tcW w:w="1900" w:type="dxa"/>
            <w:vAlign w:val="bottom"/>
            <w:gridSpan w:val="3"/>
          </w:tcPr>
          <w:p>
            <w:pPr>
              <w:jc w:val="right"/>
              <w:ind w:right="90"/>
              <w:spacing w:after="0"/>
              <w:rPr>
                <w:sz w:val="20"/>
                <w:szCs w:val="20"/>
                <w:color w:val="auto"/>
              </w:rPr>
            </w:pPr>
            <w:r>
              <w:rPr>
                <w:rFonts w:ascii="Arial" w:cs="Arial" w:eastAsia="Arial" w:hAnsi="Arial"/>
                <w:sz w:val="18"/>
                <w:szCs w:val="18"/>
                <w:color w:val="auto"/>
              </w:rPr>
              <w:t>(25) %</w:t>
            </w:r>
          </w:p>
        </w:tc>
      </w:tr>
      <w:tr>
        <w:trPr>
          <w:trHeight w:val="229"/>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90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58 %</w:t>
            </w:r>
          </w:p>
        </w:tc>
      </w:tr>
      <w:tr>
        <w:trPr>
          <w:trHeight w:val="229"/>
        </w:trPr>
        <w:tc>
          <w:tcPr>
            <w:tcW w:w="476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117</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109</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w:t>
            </w:r>
          </w:p>
        </w:tc>
        <w:tc>
          <w:tcPr>
            <w:tcW w:w="1900" w:type="dxa"/>
            <w:vAlign w:val="bottom"/>
            <w:gridSpan w:val="3"/>
          </w:tcPr>
          <w:p>
            <w:pPr>
              <w:jc w:val="right"/>
              <w:ind w:right="90"/>
              <w:spacing w:after="0"/>
              <w:rPr>
                <w:sz w:val="20"/>
                <w:szCs w:val="20"/>
                <w:color w:val="auto"/>
              </w:rPr>
            </w:pPr>
            <w:r>
              <w:rPr>
                <w:rFonts w:ascii="Arial" w:cs="Arial" w:eastAsia="Arial" w:hAnsi="Arial"/>
                <w:sz w:val="18"/>
                <w:szCs w:val="18"/>
                <w:color w:val="auto"/>
              </w:rPr>
              <w:t>7 %</w:t>
            </w:r>
          </w:p>
        </w:tc>
      </w:tr>
      <w:tr>
        <w:trPr>
          <w:trHeight w:val="230"/>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IPO and separation-related costs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90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(14) %</w:t>
            </w:r>
          </w:p>
        </w:tc>
      </w:tr>
      <w:tr>
        <w:trPr>
          <w:trHeight w:val="229"/>
        </w:trPr>
        <w:tc>
          <w:tcPr>
            <w:tcW w:w="4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3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60" w:type="dxa"/>
            <w:vAlign w:val="bottom"/>
            <w:tcBorders>
              <w:bottom w:val="single" w:sz="8" w:color="CCEEFF"/>
            </w:tcBorders>
          </w:tcPr>
          <w:p>
            <w:pPr>
              <w:spacing w:after="0"/>
              <w:rPr>
                <w:sz w:val="19"/>
                <w:szCs w:val="19"/>
                <w:color w:val="auto"/>
              </w:rPr>
            </w:pPr>
          </w:p>
        </w:tc>
        <w:tc>
          <w:tcPr>
            <w:tcW w:w="1640" w:type="dxa"/>
            <w:vAlign w:val="bottom"/>
            <w:tcBorders>
              <w:bottom w:val="single" w:sz="8" w:color="CCEEFF"/>
            </w:tcBorders>
            <w:gridSpan w:val="2"/>
          </w:tcPr>
          <w:p>
            <w:pPr>
              <w:jc w:val="right"/>
              <w:ind w:right="270"/>
              <w:spacing w:after="0"/>
              <w:rPr>
                <w:sz w:val="20"/>
                <w:szCs w:val="20"/>
                <w:color w:val="auto"/>
              </w:rPr>
            </w:pPr>
            <w:r>
              <w:rPr>
                <w:rFonts w:ascii="Arial" w:cs="Arial" w:eastAsia="Arial" w:hAnsi="Arial"/>
                <w:sz w:val="18"/>
                <w:szCs w:val="18"/>
                <w:color w:val="auto"/>
              </w:rPr>
              <w:t>N/M</w:t>
            </w:r>
          </w:p>
        </w:tc>
      </w:tr>
      <w:tr>
        <w:trPr>
          <w:trHeight w:val="223"/>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 (Non-GAAP)</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90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(9) %</w:t>
            </w: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78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rPr>
              <w:t>Year Ended December 31,</w:t>
            </w: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234"/>
        </w:trPr>
        <w:tc>
          <w:tcPr>
            <w:tcW w:w="4760" w:type="dxa"/>
            <w:vAlign w:val="bottom"/>
          </w:tcPr>
          <w:p>
            <w:pPr>
              <w:ind w:left="20"/>
              <w:spacing w:after="0"/>
              <w:rPr>
                <w:sz w:val="20"/>
                <w:szCs w:val="20"/>
                <w:color w:val="auto"/>
              </w:rPr>
            </w:pPr>
            <w:r>
              <w:rPr>
                <w:rFonts w:ascii="Arial" w:cs="Arial" w:eastAsia="Arial" w:hAnsi="Arial"/>
                <w:sz w:val="18"/>
                <w:szCs w:val="18"/>
                <w:b w:val="1"/>
                <w:bCs w:val="1"/>
                <w:color w:val="auto"/>
              </w:rPr>
              <w:t>(In millions, except for %)</w:t>
            </w:r>
          </w:p>
        </w:tc>
        <w:tc>
          <w:tcPr>
            <w:tcW w:w="180" w:type="dxa"/>
            <w:vAlign w:val="bottom"/>
          </w:tcPr>
          <w:p>
            <w:pPr>
              <w:spacing w:after="0"/>
              <w:rPr>
                <w:sz w:val="20"/>
                <w:szCs w:val="20"/>
                <w:color w:val="auto"/>
              </w:rPr>
            </w:pPr>
          </w:p>
        </w:tc>
        <w:tc>
          <w:tcPr>
            <w:tcW w:w="1140" w:type="dxa"/>
            <w:vAlign w:val="bottom"/>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290"/>
              <w:spacing w:after="0"/>
              <w:rPr>
                <w:sz w:val="20"/>
                <w:szCs w:val="20"/>
                <w:color w:val="auto"/>
              </w:rPr>
            </w:pPr>
            <w:r>
              <w:rPr>
                <w:rFonts w:ascii="Arial" w:cs="Arial" w:eastAsia="Arial" w:hAnsi="Arial"/>
                <w:sz w:val="18"/>
                <w:szCs w:val="18"/>
                <w:b w:val="1"/>
                <w:bCs w:val="1"/>
                <w:color w:val="auto"/>
              </w:rPr>
              <w:t>Change</w:t>
            </w:r>
          </w:p>
        </w:tc>
        <w:tc>
          <w:tcPr>
            <w:tcW w:w="260" w:type="dxa"/>
            <w:vAlign w:val="bottom"/>
          </w:tcPr>
          <w:p>
            <w:pPr>
              <w:spacing w:after="0"/>
              <w:rPr>
                <w:sz w:val="20"/>
                <w:szCs w:val="20"/>
                <w:color w:val="auto"/>
              </w:rPr>
            </w:pPr>
          </w:p>
        </w:tc>
        <w:tc>
          <w:tcPr>
            <w:tcW w:w="1640" w:type="dxa"/>
            <w:vAlign w:val="bottom"/>
            <w:gridSpan w:val="2"/>
          </w:tcPr>
          <w:p>
            <w:pPr>
              <w:jc w:val="right"/>
              <w:ind w:right="49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4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 GAAP</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3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3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6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60" w:type="dxa"/>
            <w:vAlign w:val="bottom"/>
            <w:tcBorders>
              <w:top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r>
      <w:tr>
        <w:trPr>
          <w:trHeight w:val="230"/>
        </w:trPr>
        <w:tc>
          <w:tcPr>
            <w:tcW w:w="476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106</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153</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(47)</w:t>
            </w:r>
          </w:p>
        </w:tc>
        <w:tc>
          <w:tcPr>
            <w:tcW w:w="1900" w:type="dxa"/>
            <w:vAlign w:val="bottom"/>
            <w:gridSpan w:val="3"/>
          </w:tcPr>
          <w:p>
            <w:pPr>
              <w:jc w:val="right"/>
              <w:ind w:right="90"/>
              <w:spacing w:after="0"/>
              <w:rPr>
                <w:sz w:val="20"/>
                <w:szCs w:val="20"/>
                <w:color w:val="auto"/>
              </w:rPr>
            </w:pPr>
            <w:r>
              <w:rPr>
                <w:rFonts w:ascii="Arial" w:cs="Arial" w:eastAsia="Arial" w:hAnsi="Arial"/>
                <w:sz w:val="18"/>
                <w:szCs w:val="18"/>
                <w:color w:val="auto"/>
              </w:rPr>
              <w:t>(31) %</w:t>
            </w:r>
          </w:p>
        </w:tc>
      </w:tr>
      <w:tr>
        <w:trPr>
          <w:trHeight w:val="230"/>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90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(31) %</w:t>
            </w:r>
          </w:p>
        </w:tc>
      </w:tr>
      <w:tr>
        <w:trPr>
          <w:trHeight w:val="230"/>
        </w:trPr>
        <w:tc>
          <w:tcPr>
            <w:tcW w:w="476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109</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99</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w:t>
            </w:r>
          </w:p>
        </w:tc>
        <w:tc>
          <w:tcPr>
            <w:tcW w:w="1900" w:type="dxa"/>
            <w:vAlign w:val="bottom"/>
            <w:gridSpan w:val="3"/>
          </w:tcPr>
          <w:p>
            <w:pPr>
              <w:jc w:val="right"/>
              <w:ind w:right="90"/>
              <w:spacing w:after="0"/>
              <w:rPr>
                <w:sz w:val="20"/>
                <w:szCs w:val="20"/>
                <w:color w:val="auto"/>
              </w:rPr>
            </w:pPr>
            <w:r>
              <w:rPr>
                <w:rFonts w:ascii="Arial" w:cs="Arial" w:eastAsia="Arial" w:hAnsi="Arial"/>
                <w:sz w:val="18"/>
                <w:szCs w:val="18"/>
                <w:color w:val="auto"/>
              </w:rPr>
              <w:t>10 %</w:t>
            </w:r>
          </w:p>
        </w:tc>
      </w:tr>
      <w:tr>
        <w:trPr>
          <w:trHeight w:val="229"/>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IPO and separation-related costs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90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(55) %</w:t>
            </w:r>
          </w:p>
        </w:tc>
      </w:tr>
      <w:tr>
        <w:trPr>
          <w:trHeight w:val="230"/>
        </w:trPr>
        <w:tc>
          <w:tcPr>
            <w:tcW w:w="4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3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60" w:type="dxa"/>
            <w:vAlign w:val="bottom"/>
            <w:tcBorders>
              <w:bottom w:val="single" w:sz="8" w:color="CCEEFF"/>
            </w:tcBorders>
          </w:tcPr>
          <w:p>
            <w:pPr>
              <w:spacing w:after="0"/>
              <w:rPr>
                <w:sz w:val="19"/>
                <w:szCs w:val="19"/>
                <w:color w:val="auto"/>
              </w:rPr>
            </w:pPr>
          </w:p>
        </w:tc>
        <w:tc>
          <w:tcPr>
            <w:tcW w:w="1640" w:type="dxa"/>
            <w:vAlign w:val="bottom"/>
            <w:tcBorders>
              <w:bottom w:val="single" w:sz="8" w:color="CCEEFF"/>
            </w:tcBorders>
            <w:gridSpan w:val="2"/>
          </w:tcPr>
          <w:p>
            <w:pPr>
              <w:jc w:val="right"/>
              <w:ind w:right="270"/>
              <w:spacing w:after="0"/>
              <w:rPr>
                <w:sz w:val="20"/>
                <w:szCs w:val="20"/>
                <w:color w:val="auto"/>
              </w:rPr>
            </w:pPr>
            <w:r>
              <w:rPr>
                <w:rFonts w:ascii="Arial" w:cs="Arial" w:eastAsia="Arial" w:hAnsi="Arial"/>
                <w:sz w:val="18"/>
                <w:szCs w:val="18"/>
                <w:color w:val="auto"/>
              </w:rPr>
              <w:t>N/M</w:t>
            </w:r>
          </w:p>
        </w:tc>
      </w:tr>
      <w:tr>
        <w:trPr>
          <w:trHeight w:val="223"/>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 (Non-GAAP)</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90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(16) %</w:t>
            </w: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N/M — Not meaningful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6" w:name="page67"/>
    <w:bookmarkEnd w:id="6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8897620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1099820</wp:posOffset>
            </wp:positionH>
            <wp:positionV relativeFrom="page">
              <wp:posOffset>1066165</wp:posOffset>
            </wp:positionV>
            <wp:extent cx="5349240" cy="68922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clrChange>
                        <a:clrFrom>
                          <a:srgbClr val="FFFFFF"/>
                        </a:clrFrom>
                        <a:clrTo>
                          <a:srgbClr val="FFFFFF">
                            <a:alpha val="0"/>
                          </a:srgbClr>
                        </a:clrTo>
                      </a:clrChange>
                      <a:extLst>
                        <a:ext uri="{28A0092B-C50C-407E-A947-70E740481C1C}"/>
                      </a:extLst>
                    </a:blip>
                    <a:srcRect/>
                    <a:stretch>
                      <a:fillRect/>
                    </a:stretch>
                  </pic:blipFill>
                  <pic:spPr bwMode="auto">
                    <a:xfrm>
                      <a:off x="0" y="0"/>
                      <a:ext cx="5349240" cy="68922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1066165</wp:posOffset>
            </wp:positionV>
            <wp:extent cx="5349240" cy="69176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clrChange>
                        <a:clrFrom>
                          <a:srgbClr val="FFFFFF"/>
                        </a:clrFrom>
                        <a:clrTo>
                          <a:srgbClr val="FFFFFF">
                            <a:alpha val="0"/>
                          </a:srgbClr>
                        </a:clrTo>
                      </a:clrChange>
                      <a:extLst>
                        <a:ext uri="{28A0092B-C50C-407E-A947-70E740481C1C}"/>
                      </a:extLst>
                    </a:blip>
                    <a:srcRect/>
                    <a:stretch>
                      <a:fillRect/>
                    </a:stretch>
                  </pic:blipFill>
                  <pic:spPr bwMode="auto">
                    <a:xfrm>
                      <a:off x="0" y="0"/>
                      <a:ext cx="5349240" cy="691769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abstractNum>
  <w:abstractNum w:abstractNumId="1">
    <w:nsid w:val="7C3DBD3D"/>
    <w:multiLevelType w:val="hybridMultilevel"/>
    <w:lvl w:ilvl="0">
      <w:lvlJc w:val="left"/>
      <w:lvlText w:val="☒"/>
      <w:numFmt w:val="bullet"/>
      <w:start w:val="1"/>
    </w:lvl>
  </w:abstractNum>
  <w:abstractNum w:abstractNumId="2">
    <w:nsid w:val="737B8DDC"/>
    <w:multiLevelType w:val="hybridMultilevel"/>
    <w:lvl w:ilvl="0">
      <w:lvlJc w:val="left"/>
      <w:lvlText w:val="☐"/>
      <w:numFmt w:val="bullet"/>
      <w:start w:val="1"/>
    </w:lvl>
  </w:abstractNum>
  <w:abstractNum w:abstractNumId="3">
    <w:nsid w:val="6CEAF087"/>
    <w:multiLevelType w:val="hybridMultilevel"/>
    <w:lvl w:ilvl="0">
      <w:lvlJc w:val="left"/>
      <w:lvlText w:val="%1."/>
      <w:numFmt w:val="decimal"/>
      <w:start w:val="1"/>
    </w:lvl>
  </w:abstractNum>
  <w:abstractNum w:abstractNumId="4">
    <w:nsid w:val="22221A70"/>
    <w:multiLevelType w:val="hybridMultilevel"/>
    <w:lvl w:ilvl="0">
      <w:lvlJc w:val="left"/>
      <w:lvlText w:val="•"/>
      <w:numFmt w:val="bullet"/>
      <w:start w:val="1"/>
    </w:lvl>
  </w:abstractNum>
  <w:abstractNum w:abstractNumId="5">
    <w:nsid w:val="4516DDE9"/>
    <w:multiLevelType w:val="hybridMultilevel"/>
    <w:lvl w:ilvl="0">
      <w:lvlJc w:val="left"/>
      <w:lvlText w:val="✓"/>
      <w:numFmt w:val="bullet"/>
      <w:start w:val="1"/>
    </w:lvl>
  </w:abstractNum>
  <w:abstractNum w:abstractNumId="6">
    <w:nsid w:val="3006C83E"/>
    <w:multiLevelType w:val="hybridMultilevel"/>
    <w:lvl w:ilvl="0">
      <w:lvlJc w:val="left"/>
      <w:lvlText w:val="X"/>
      <w:numFmt w:val="bullet"/>
      <w:start w:val="1"/>
    </w:lvl>
  </w:abstractNum>
  <w:abstractNum w:abstractNumId="7">
    <w:nsid w:val="614FD4A1"/>
    <w:multiLevelType w:val="hybridMultilevel"/>
    <w:lvl w:ilvl="0">
      <w:lvlJc w:val="left"/>
      <w:lvlText w:val="•"/>
      <w:numFmt w:val="bullet"/>
      <w:start w:val="1"/>
    </w:lvl>
  </w:abstractNum>
  <w:abstractNum w:abstractNumId="8">
    <w:nsid w:val="419AC241"/>
    <w:multiLevelType w:val="hybridMultilevel"/>
    <w:lvl w:ilvl="0">
      <w:lvlJc w:val="left"/>
      <w:lvlText w:val="•"/>
      <w:numFmt w:val="bullet"/>
      <w:start w:val="1"/>
    </w:lvl>
  </w:abstractNum>
  <w:abstractNum w:abstractNumId="9">
    <w:nsid w:val="5577F8E1"/>
    <w:multiLevelType w:val="hybridMultilevel"/>
    <w:lvl w:ilvl="0">
      <w:lvlJc w:val="left"/>
      <w:lvlText w:val="•"/>
      <w:numFmt w:val="bullet"/>
      <w:start w:val="1"/>
    </w:lvl>
  </w:abstractNum>
  <w:abstractNum w:abstractNumId="10">
    <w:nsid w:val="440BADFC"/>
    <w:multiLevelType w:val="hybridMultilevel"/>
    <w:lvl w:ilvl="0">
      <w:lvlJc w:val="left"/>
      <w:lvlText w:val="•"/>
      <w:numFmt w:val="bullet"/>
      <w:start w:val="1"/>
    </w:lvl>
  </w:abstractNum>
  <w:abstractNum w:abstractNumId="11">
    <w:nsid w:val="5072367"/>
    <w:multiLevelType w:val="hybridMultilevel"/>
    <w:lvl w:ilvl="0">
      <w:lvlJc w:val="left"/>
      <w:lvlText w:val="•"/>
      <w:numFmt w:val="bullet"/>
      <w:start w:val="1"/>
    </w:lvl>
  </w:abstractNum>
  <w:abstractNum w:abstractNumId="12">
    <w:nsid w:val="3804823E"/>
    <w:multiLevelType w:val="hybridMultilevel"/>
    <w:lvl w:ilvl="0">
      <w:lvlJc w:val="left"/>
      <w:lvlText w:val="•"/>
      <w:numFmt w:val="bullet"/>
      <w:start w:val="1"/>
    </w:lvl>
  </w:abstractNum>
  <w:abstractNum w:abstractNumId="13">
    <w:nsid w:val="77465F01"/>
    <w:multiLevelType w:val="hybridMultilevel"/>
    <w:lvl w:ilvl="0">
      <w:lvlJc w:val="left"/>
      <w:lvlText w:val="•"/>
      <w:numFmt w:val="bullet"/>
      <w:start w:val="1"/>
    </w:lvl>
    <w:lvl w:ilvl="1">
      <w:lvlJc w:val="left"/>
      <w:lvlText w:val="◦"/>
      <w:numFmt w:val="bullet"/>
      <w:start w:val="1"/>
    </w:lvl>
  </w:abstractNum>
  <w:abstractNum w:abstractNumId="14">
    <w:nsid w:val="7724C67E"/>
    <w:multiLevelType w:val="hybridMultilevel"/>
    <w:lvl w:ilvl="0">
      <w:lvlJc w:val="left"/>
      <w:lvlText w:val="◦"/>
      <w:numFmt w:val="bullet"/>
      <w:start w:val="1"/>
    </w:lvl>
  </w:abstractNum>
  <w:abstractNum w:abstractNumId="15">
    <w:nsid w:val="5C482A97"/>
    <w:multiLevelType w:val="hybridMultilevel"/>
    <w:lvl w:ilvl="0">
      <w:lvlJc w:val="left"/>
      <w:lvlText w:val="•"/>
      <w:numFmt w:val="bullet"/>
      <w:start w:val="1"/>
    </w:lvl>
  </w:abstractNum>
  <w:abstractNum w:abstractNumId="16">
    <w:nsid w:val="2463B9EA"/>
    <w:multiLevelType w:val="hybridMultilevel"/>
    <w:lvl w:ilvl="0">
      <w:lvlJc w:val="left"/>
      <w:lvlText w:val="•"/>
      <w:numFmt w:val="bullet"/>
      <w:start w:val="1"/>
    </w:lvl>
  </w:abstractNum>
  <w:abstractNum w:abstractNumId="17">
    <w:nsid w:val="5E884ADC"/>
    <w:multiLevelType w:val="hybridMultilevel"/>
    <w:lvl w:ilvl="0">
      <w:lvlJc w:val="left"/>
      <w:lvlText w:val="•"/>
      <w:numFmt w:val="bullet"/>
      <w:start w:val="1"/>
    </w:lvl>
  </w:abstractNum>
  <w:abstractNum w:abstractNumId="18">
    <w:nsid w:val="51EAD36B"/>
    <w:multiLevelType w:val="hybridMultilevel"/>
    <w:lvl w:ilvl="0">
      <w:lvlJc w:val="left"/>
      <w:lvlText w:val="•"/>
      <w:numFmt w:val="bullet"/>
      <w:start w:val="1"/>
    </w:lvl>
  </w:abstractNum>
  <w:abstractNum w:abstractNumId="19">
    <w:nsid w:val="2D517796"/>
    <w:multiLevelType w:val="hybridMultilevel"/>
    <w:lvl w:ilvl="0">
      <w:lvlJc w:val="left"/>
      <w:lvlText w:val="(%1)"/>
      <w:numFmt w:val="decimal"/>
      <w:start w:val="1"/>
    </w:lvl>
  </w:abstractNum>
  <w:abstractNum w:abstractNumId="20">
    <w:nsid w:val="580BD78F"/>
    <w:multiLevelType w:val="hybridMultilevel"/>
    <w:lvl w:ilvl="0">
      <w:lvlJc w:val="left"/>
      <w:lvlText w:val="(%1)"/>
      <w:numFmt w:val="decimal"/>
      <w:start w:val="1"/>
    </w:lvl>
  </w:abstractNum>
  <w:abstractNum w:abstractNumId="21">
    <w:nsid w:val="153EA438"/>
    <w:multiLevelType w:val="hybridMultilevel"/>
    <w:lvl w:ilvl="0">
      <w:lvlJc w:val="left"/>
      <w:lvlText w:val="•"/>
      <w:numFmt w:val="bullet"/>
      <w:start w:val="1"/>
    </w:lvl>
  </w:abstractNum>
  <w:abstractNum w:abstractNumId="22">
    <w:nsid w:val="3855585C"/>
    <w:multiLevelType w:val="hybridMultilevel"/>
    <w:lvl w:ilvl="0">
      <w:lvlJc w:val="left"/>
      <w:lvlText w:val="•"/>
      <w:numFmt w:val="bullet"/>
      <w:start w:val="1"/>
    </w:lvl>
  </w:abstractNum>
  <w:abstractNum w:abstractNumId="23">
    <w:nsid w:val="70A64E2A"/>
    <w:multiLevelType w:val="hybridMultilevel"/>
    <w:lvl w:ilvl="0">
      <w:lvlJc w:val="left"/>
      <w:lvlText w:val="(%1)"/>
      <w:numFmt w:val="decimal"/>
      <w:start w:val="1"/>
    </w:lvl>
  </w:abstractNum>
  <w:abstractNum w:abstractNumId="24">
    <w:nsid w:val="6A2342EC"/>
    <w:multiLevelType w:val="hybridMultilevel"/>
    <w:lvl w:ilvl="0">
      <w:lvlJc w:val="left"/>
      <w:lvlText w:val="(%1)"/>
      <w:numFmt w:val="decimal"/>
      <w:start w:val="1"/>
    </w:lvl>
  </w:abstractNum>
  <w:abstractNum w:abstractNumId="25">
    <w:nsid w:val="2A487CB0"/>
    <w:multiLevelType w:val="hybridMultilevel"/>
    <w:lvl w:ilvl="0">
      <w:lvlJc w:val="left"/>
      <w:lvlText w:val="•"/>
      <w:numFmt w:val="bullet"/>
      <w:start w:val="1"/>
    </w:lvl>
  </w:abstractNum>
  <w:abstractNum w:abstractNumId="26">
    <w:nsid w:val="1D4ED43B"/>
    <w:multiLevelType w:val="hybridMultilevel"/>
    <w:lvl w:ilvl="0">
      <w:lvlJc w:val="left"/>
      <w:lvlText w:val="(%1)"/>
      <w:numFmt w:val="decimal"/>
    </w:lvl>
    <w:lvl w:ilvl="1">
      <w:lvlJc w:val="left"/>
      <w:lvlText w:val="•"/>
      <w:numFmt w:val="bullet"/>
      <w:start w:val="1"/>
    </w:lvl>
  </w:abstractNum>
  <w:abstractNum w:abstractNumId="27">
    <w:nsid w:val="725A06FB"/>
    <w:multiLevelType w:val="hybridMultilevel"/>
    <w:lvl w:ilvl="0">
      <w:lvlJc w:val="left"/>
      <w:lvlText w:val="•"/>
      <w:numFmt w:val="bullet"/>
      <w:start w:val="1"/>
    </w:lvl>
  </w:abstractNum>
  <w:abstractNum w:abstractNumId="28">
    <w:nsid w:val="2CD89A32"/>
    <w:multiLevelType w:val="hybridMultilevel"/>
    <w:lvl w:ilvl="0">
      <w:lvlJc w:val="left"/>
      <w:lvlText w:val="(%1)"/>
      <w:numFmt w:val="decimal"/>
      <w:start w:val="1"/>
    </w:lvl>
  </w:abstractNum>
  <w:abstractNum w:abstractNumId="29">
    <w:nsid w:val="57E4CCAF"/>
    <w:multiLevelType w:val="hybridMultilevel"/>
    <w:lvl w:ilvl="0">
      <w:lvlJc w:val="left"/>
      <w:lvlText w:val="(%1)"/>
      <w:numFmt w:val="decimal"/>
      <w:start w:val="3"/>
    </w:lvl>
  </w:abstractNum>
  <w:abstractNum w:abstractNumId="30">
    <w:nsid w:val="7A6D8D3C"/>
    <w:multiLevelType w:val="hybridMultilevel"/>
    <w:lvl w:ilvl="0">
      <w:lvlJc w:val="left"/>
      <w:lvlText w:val="(%1)"/>
      <w:numFmt w:val="decimal"/>
      <w:start w:val="5"/>
    </w:lvl>
  </w:abstractNum>
  <w:abstractNum w:abstractNumId="31">
    <w:nsid w:val="4B588F54"/>
    <w:multiLevelType w:val="hybridMultilevel"/>
    <w:lvl w:ilvl="0">
      <w:lvlJc w:val="left"/>
      <w:lvlText w:val="(%1)"/>
      <w:numFmt w:val="decimal"/>
      <w:start w:val="6"/>
    </w:lvl>
  </w:abstractNum>
  <w:abstractNum w:abstractNumId="32">
    <w:nsid w:val="542289EC"/>
    <w:multiLevelType w:val="hybridMultilevel"/>
    <w:lvl w:ilvl="0">
      <w:lvlJc w:val="left"/>
      <w:lvlText w:val="(%1)"/>
      <w:numFmt w:val="decimal"/>
      <w:start w:val="1"/>
    </w:lvl>
  </w:abstractNum>
  <w:abstractNum w:abstractNumId="33">
    <w:nsid w:val="6DE91B18"/>
    <w:multiLevelType w:val="hybridMultilevel"/>
    <w:lvl w:ilvl="0">
      <w:lvlJc w:val="left"/>
      <w:lvlText w:val="(%1)"/>
      <w:numFmt w:val="decimal"/>
      <w:start w:val="1"/>
    </w:lvl>
  </w:abstractNum>
  <w:abstractNum w:abstractNumId="34">
    <w:nsid w:val="38437FDB"/>
    <w:multiLevelType w:val="hybridMultilevel"/>
    <w:lvl w:ilvl="0">
      <w:lvlJc w:val="left"/>
      <w:lvlText w:val="(%1)"/>
      <w:numFmt w:val="decimal"/>
      <w:start w:val="1"/>
    </w:lvl>
  </w:abstractNum>
  <w:abstractNum w:abstractNumId="35">
    <w:nsid w:val="7644A45C"/>
    <w:multiLevelType w:val="hybridMultilevel"/>
    <w:lvl w:ilvl="0">
      <w:lvlJc w:val="left"/>
      <w:lvlText w:val="(%1)"/>
      <w:numFmt w:val="decimal"/>
      <w:start w:val="2"/>
    </w:lvl>
  </w:abstractNum>
  <w:abstractNum w:abstractNumId="36">
    <w:nsid w:val="32FFF902"/>
    <w:multiLevelType w:val="hybridMultilevel"/>
    <w:lvl w:ilvl="0">
      <w:lvlJc w:val="left"/>
      <w:lvlText w:val="•"/>
      <w:numFmt w:val="bullet"/>
      <w:start w:val="1"/>
    </w:lvl>
  </w:abstractNum>
  <w:abstractNum w:abstractNumId="37">
    <w:nsid w:val="684A481A"/>
    <w:multiLevelType w:val="hybridMultilevel"/>
    <w:lvl w:ilvl="0">
      <w:lvlJc w:val="left"/>
      <w:lvlText w:val="(%1)"/>
      <w:numFmt w:val="lowerLetter"/>
      <w:start w:val="1"/>
    </w:lvl>
  </w:abstractNum>
  <w:abstractNum w:abstractNumId="38">
    <w:nsid w:val="579478FE"/>
    <w:multiLevelType w:val="hybridMultilevel"/>
    <w:lvl w:ilvl="0">
      <w:lvlJc w:val="left"/>
      <w:lvlText w:val="%1."/>
      <w:numFmt w:val="lowerLetter"/>
      <w:start w:val="1"/>
    </w:lvl>
  </w:abstractNum>
  <w:abstractNum w:abstractNumId="39">
    <w:nsid w:val="749ABB43"/>
    <w:multiLevelType w:val="hybridMultilevel"/>
    <w:lvl w:ilvl="0">
      <w:lvlJc w:val="left"/>
      <w:lvlText w:val="(%1)"/>
      <w:numFmt w:val="lowerRoman"/>
      <w:start w:val="1"/>
    </w:lvl>
  </w:abstractNum>
  <w:abstractNum w:abstractNumId="40">
    <w:nsid w:val="3DC240FB"/>
    <w:multiLevelType w:val="hybridMultilevel"/>
    <w:lvl w:ilvl="0">
      <w:lvlJc w:val="left"/>
      <w:lvlText w:val="(%1)"/>
      <w:numFmt w:val="lowerRoman"/>
      <w:start w:val="4"/>
    </w:lvl>
  </w:abstractNum>
  <w:abstractNum w:abstractNumId="41">
    <w:nsid w:val="1BA026FA"/>
    <w:multiLevelType w:val="hybridMultilevel"/>
    <w:lvl w:ilvl="0">
      <w:lvlJc w:val="left"/>
      <w:lvlText w:val="(%1)"/>
      <w:numFmt w:val="decimal"/>
      <w:start w:val="1"/>
    </w:lvl>
  </w:abstractNum>
  <w:abstractNum w:abstractNumId="42">
    <w:nsid w:val="79A1DEAA"/>
    <w:multiLevelType w:val="hybridMultilevel"/>
    <w:lvl w:ilvl="0">
      <w:lvlJc w:val="left"/>
      <w:lvlText w:val="•"/>
      <w:numFmt w:val="bullet"/>
      <w:start w:val="1"/>
    </w:lvl>
  </w:abstractNum>
  <w:abstractNum w:abstractNumId="43">
    <w:nsid w:val="75C6C33A"/>
    <w:multiLevelType w:val="hybridMultilevel"/>
    <w:lvl w:ilvl="0">
      <w:lvlJc w:val="left"/>
      <w:lvlText w:val="(%1)"/>
      <w:numFmt w:val="decimal"/>
      <w:start w:val="1"/>
    </w:lvl>
  </w:abstractNum>
  <w:abstractNum w:abstractNumId="44">
    <w:nsid w:val="12E685FB"/>
    <w:multiLevelType w:val="hybridMultilevel"/>
    <w:lvl w:ilvl="0">
      <w:lvlJc w:val="left"/>
      <w:lvlText w:val="(%1)"/>
      <w:numFmt w:val="lowerRoman"/>
      <w:start w:val="1"/>
    </w:lvl>
  </w:abstractNum>
  <w:abstractNum w:abstractNumId="45">
    <w:nsid w:val="70C6A529"/>
    <w:multiLevelType w:val="hybridMultilevel"/>
    <w:lvl w:ilvl="0">
      <w:lvlJc w:val="left"/>
      <w:lvlText w:val="(%1)"/>
      <w:numFmt w:val="lowerRoman"/>
      <w:start w:val="2"/>
    </w:lvl>
  </w:abstractNum>
  <w:abstractNum w:abstractNumId="46">
    <w:nsid w:val="520EEDD1"/>
    <w:multiLevelType w:val="hybridMultilevel"/>
    <w:lvl w:ilvl="0">
      <w:lvlJc w:val="left"/>
      <w:lvlText w:val="(%1)"/>
      <w:numFmt w:val="lowerRoman"/>
      <w:start w:val="3"/>
    </w:lvl>
  </w:abstractNum>
  <w:abstractNum w:abstractNumId="47">
    <w:nsid w:val="374A3FE6"/>
    <w:multiLevelType w:val="hybridMultilevel"/>
    <w:lvl w:ilvl="0">
      <w:lvlJc w:val="left"/>
      <w:lvlText w:val="(%1)"/>
      <w:numFmt w:val="lowerRoman"/>
      <w:start w:val="4"/>
    </w:lvl>
  </w:abstractNum>
  <w:abstractNum w:abstractNumId="48">
    <w:nsid w:val="4F4EF005"/>
    <w:multiLevelType w:val="hybridMultilevel"/>
    <w:lvl w:ilvl="0">
      <w:lvlJc w:val="left"/>
      <w:lvlText w:val="(%1)"/>
      <w:numFmt w:val="decimal"/>
      <w:start w:val="2"/>
    </w:lvl>
    <w:lvl w:ilvl="1">
      <w:lvlJc w:val="left"/>
      <w:lvlText w:val="•"/>
      <w:numFmt w:val="bullet"/>
      <w:start w:val="1"/>
    </w:lvl>
  </w:abstractNum>
  <w:abstractNum w:abstractNumId="49">
    <w:nsid w:val="23F9C13C"/>
    <w:multiLevelType w:val="hybridMultilevel"/>
    <w:lvl w:ilvl="0">
      <w:lvlJc w:val="left"/>
      <w:lvlText w:val="(%1)"/>
      <w:numFmt w:val="decimal"/>
      <w:start w:val="6"/>
    </w:lvl>
  </w:abstractNum>
  <w:abstractNum w:abstractNumId="50">
    <w:nsid w:val="649BB77C"/>
    <w:multiLevelType w:val="hybridMultilevel"/>
    <w:lvl w:ilvl="0">
      <w:lvlJc w:val="left"/>
      <w:lvlText w:val="•"/>
      <w:numFmt w:val="bullet"/>
      <w:start w:val="1"/>
    </w:lvl>
  </w:abstractNum>
  <w:abstractNum w:abstractNumId="51">
    <w:nsid w:val="275AC794"/>
    <w:multiLevelType w:val="hybridMultilevel"/>
    <w:lvl w:ilvl="0">
      <w:lvlJc w:val="left"/>
      <w:lvlText w:val="(%1)"/>
      <w:numFmt w:val="decimal"/>
      <w:start w:val="1"/>
    </w:lvl>
  </w:abstractNum>
  <w:abstractNum w:abstractNumId="52">
    <w:nsid w:val="39386575"/>
    <w:multiLevelType w:val="hybridMultilevel"/>
    <w:lvl w:ilvl="0">
      <w:lvlJc w:val="left"/>
      <w:lvlText w:val="(%1)"/>
      <w:numFmt w:val="decimal"/>
      <w:start w:val="1"/>
    </w:lvl>
  </w:abstractNum>
  <w:abstractNum w:abstractNumId="53">
    <w:nsid w:val="1CF10FD8"/>
    <w:multiLevelType w:val="hybridMultilevel"/>
    <w:lvl w:ilvl="0">
      <w:lvlJc w:val="left"/>
      <w:lvlText w:val="(%1)"/>
      <w:numFmt w:val="decimal"/>
      <w:start w:val="1"/>
    </w:lvl>
  </w:abstractNum>
  <w:abstractNum w:abstractNumId="54">
    <w:nsid w:val="180115BE"/>
    <w:multiLevelType w:val="hybridMultilevel"/>
    <w:lvl w:ilvl="0">
      <w:lvlJc w:val="left"/>
      <w:lvlText w:val="(%1)"/>
      <w:numFmt w:val="decimal"/>
      <w:start w:val="1"/>
    </w:lvl>
  </w:abstractNum>
  <w:abstractNum w:abstractNumId="55">
    <w:nsid w:val="235BA861"/>
    <w:multiLevelType w:val="hybridMultilevel"/>
    <w:lvl w:ilvl="0">
      <w:lvlJc w:val="left"/>
      <w:lvlText w:val="(%1)"/>
      <w:numFmt w:val="decimal"/>
      <w:start w:val="1"/>
    </w:lvl>
  </w:abstractNum>
  <w:abstractNum w:abstractNumId="56">
    <w:nsid w:val="47398C89"/>
    <w:multiLevelType w:val="hybridMultilevel"/>
    <w:lvl w:ilvl="0">
      <w:lvlJc w:val="left"/>
      <w:lvlText w:val="(%1)"/>
      <w:numFmt w:val="decimal"/>
      <w:start w:val="2"/>
    </w:lvl>
  </w:abstractNum>
  <w:abstractNum w:abstractNumId="57">
    <w:nsid w:val="354FE9F9"/>
    <w:multiLevelType w:val="hybridMultilevel"/>
    <w:lvl w:ilvl="0">
      <w:lvlJc w:val="left"/>
      <w:lvlText w:val="%1."/>
      <w:numFmt w:val="decimal"/>
      <w:start w:val="1"/>
    </w:lvl>
  </w:abstractNum>
  <w:abstractNum w:abstractNumId="58">
    <w:nsid w:val="15B5AF5C"/>
    <w:multiLevelType w:val="hybridMultilevel"/>
    <w:lvl w:ilvl="0">
      <w:lvlJc w:val="left"/>
      <w:lvlText w:val="•"/>
      <w:numFmt w:val="bullet"/>
      <w:start w:val="1"/>
    </w:lvl>
  </w:abstractNum>
  <w:abstractNum w:abstractNumId="59">
    <w:nsid w:val="741226B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2023-03-14T17:31:17Z</dcterms:created>
  <dcterms:modified xsi:type="dcterms:W3CDTF">2023-03-14T17:31:17Z</dcterms:modified>
</cp:coreProperties>
</file>