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7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55"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63"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7"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00" w:lineRule="exact"/>
        <w:rPr>
          <w:sz w:val="24"/>
          <w:szCs w:val="24"/>
          <w:color w:val="auto"/>
        </w:rPr>
      </w:pPr>
    </w:p>
    <w:p>
      <w:pPr>
        <w:sectPr>
          <w:pgSz w:w="11900" w:h="16838" w:orient="portrait"/>
          <w:cols w:equalWidth="0" w:num="2">
            <w:col w:w="7080" w:space="720"/>
            <w:col w:w="344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Lake Forest, Illinois 60045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6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spacing w:after="0"/>
              <w:rPr>
                <w:sz w:val="15"/>
                <w:szCs w:val="15"/>
                <w:color w:val="auto"/>
              </w:rPr>
            </w:pPr>
          </w:p>
        </w:tc>
      </w:tr>
      <w:tr>
        <w:trPr>
          <w:trHeight w:val="204"/>
        </w:trPr>
        <w:tc>
          <w:tcPr>
            <w:tcW w:w="4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4"/>
        </w:trPr>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6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REYN</w:t>
            </w:r>
          </w:p>
        </w:tc>
        <w:tc>
          <w:tcPr>
            <w:tcW w:w="14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1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71"/>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14" w:lineRule="exact"/>
        <w:rPr>
          <w:sz w:val="24"/>
          <w:szCs w:val="24"/>
          <w:color w:val="auto"/>
        </w:rPr>
      </w:pPr>
    </w:p>
    <w:p>
      <w:pPr>
        <w:ind w:right="580"/>
        <w:spacing w:after="0" w:line="26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ind w:right="2980"/>
        <w:spacing w:after="0" w:line="24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25, 2025, the registrant had 210,323,273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120" w:type="dxa"/>
            <w:vAlign w:val="bottom"/>
            <w:gridSpan w:val="10"/>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months ended March 31, 2025 and 2024</w:t>
            </w:r>
          </w:p>
        </w:tc>
        <w:tc>
          <w:tcPr>
            <w:tcW w:w="2260" w:type="dxa"/>
            <w:vAlign w:val="bottom"/>
            <w:gridSpan w:val="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2025 and 2024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4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2025 and 2024</w:t>
            </w:r>
          </w:p>
        </w:tc>
        <w:tc>
          <w:tcPr>
            <w:tcW w:w="128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2025 and 2024</w:t>
            </w:r>
          </w:p>
        </w:tc>
        <w:tc>
          <w:tcPr>
            <w:tcW w:w="1960" w:type="dxa"/>
            <w:vAlign w:val="bottom"/>
            <w:gridSpan w:val="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760" w:type="dxa"/>
            <w:vAlign w:val="bottom"/>
            <w:gridSpan w:val="7"/>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1"/>
                <w:szCs w:val="21"/>
                <w:color w:val="auto"/>
              </w:rPr>
            </w:pPr>
          </w:p>
        </w:tc>
        <w:tc>
          <w:tcPr>
            <w:tcW w:w="310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8220" w:type="dxa"/>
            <w:vAlign w:val="bottom"/>
            <w:gridSpan w:val="1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00" w:type="dxa"/>
            <w:vAlign w:val="bottom"/>
            <w:gridSpan w:val="9"/>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220" w:type="dxa"/>
            <w:vAlign w:val="bottom"/>
            <w:gridSpan w:val="11"/>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1"/>
                <w:szCs w:val="21"/>
                <w:color w:val="auto"/>
              </w:rPr>
            </w:pPr>
          </w:p>
        </w:tc>
        <w:tc>
          <w:tcPr>
            <w:tcW w:w="8240" w:type="dxa"/>
            <w:vAlign w:val="bottom"/>
            <w:gridSpan w:val="16"/>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780" w:type="dxa"/>
            <w:vAlign w:val="bottom"/>
            <w:gridSpan w:val="18"/>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w:t>
      </w:r>
    </w:p>
    <w:p>
      <w:pPr>
        <w:jc w:val="both"/>
        <w:spacing w:after="0" w:line="254" w:lineRule="auto"/>
        <w:rPr>
          <w:sz w:val="20"/>
          <w:szCs w:val="20"/>
          <w:color w:val="auto"/>
        </w:rPr>
      </w:pPr>
      <w:r>
        <w:rPr>
          <w:rFonts w:ascii="Times New Roman" w:cs="Times New Roman" w:eastAsia="Times New Roman" w:hAnsi="Times New Roman"/>
          <w:sz w:val="18"/>
          <w:szCs w:val="18"/>
          <w:color w:val="auto"/>
        </w:rPr>
        <w:t>“confident,” “look forward,” “potential,” “on track,” or “continue,” or the negative of these terms and other comparable terminology. These forward-looking statements, which are subject to risks, uncertainties and assumptions about us, may include projections of our future financial performance, our anticipated growth and recovery of profitability, management of costs and other disruptions and other strategies,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2024 and as updated in our Quarterly Reports on Form 10-Q. You should specifically consider the numerous risks outlined in the “Risk Factors” sections. These risks and uncertainties include factors related to:</w:t>
      </w:r>
    </w:p>
    <w:p>
      <w:pPr>
        <w:spacing w:after="0" w:line="215" w:lineRule="exact"/>
        <w:rPr>
          <w:sz w:val="20"/>
          <w:szCs w:val="20"/>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economic circumstances and environmental concerns;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117" w:lineRule="exact"/>
        <w:rPr>
          <w:rFonts w:ascii="Times New Roman" w:cs="Times New Roman" w:eastAsia="Times New Roman" w:hAnsi="Times New Roman"/>
          <w:sz w:val="18"/>
          <w:szCs w:val="18"/>
          <w:color w:val="auto"/>
        </w:rPr>
      </w:pPr>
    </w:p>
    <w:p>
      <w:pPr>
        <w:ind w:left="880" w:right="54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or disease outbreak, including epidemics, pandemics or similar widespread public health concerns;</w:t>
      </w:r>
    </w:p>
    <w:p>
      <w:pPr>
        <w:spacing w:after="0" w:line="53" w:lineRule="exact"/>
        <w:rPr>
          <w:rFonts w:ascii="Times New Roman" w:cs="Times New Roman" w:eastAsia="Times New Roman" w:hAnsi="Times New Roman"/>
          <w:sz w:val="18"/>
          <w:szCs w:val="18"/>
          <w:color w:val="auto"/>
        </w:rPr>
      </w:pPr>
    </w:p>
    <w:p>
      <w:pPr>
        <w:ind w:left="880" w:right="6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 and other products;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and the availability of capital.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is included in our Annual Report on Form 10-K for the fiscal year ended December 31, 2024, which was filed on February 5, 2025, under Part I, Item 1A. “Risk Factors” and as updated in our Quarterly Reports on Form 10-Q.</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9"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33020</wp:posOffset>
            </wp:positionV>
            <wp:extent cx="2049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4"/>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0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7"/>
        </w:trPr>
        <w:tc>
          <w:tcPr>
            <w:tcW w:w="7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7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r>
      <w:tr>
        <w:trPr>
          <w:trHeight w:val="27"/>
        </w:trPr>
        <w:tc>
          <w:tcPr>
            <w:tcW w:w="7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57"/>
        </w:trPr>
        <w:tc>
          <w:tcPr>
            <w:tcW w:w="7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7"/>
        </w:trPr>
        <w:tc>
          <w:tcPr>
            <w:tcW w:w="7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70"/>
        </w:trPr>
        <w:tc>
          <w:tcPr>
            <w:tcW w:w="7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7"/>
        </w:trPr>
        <w:tc>
          <w:tcPr>
            <w:tcW w:w="7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top w:val="single" w:sz="8" w:color="auto"/>
              <w:bottom w:val="single" w:sz="8" w:color="auto"/>
            </w:tcBorders>
          </w:tcPr>
          <w:p>
            <w:pPr>
              <w:spacing w:after="0"/>
              <w:rPr>
                <w:sz w:val="23"/>
                <w:szCs w:val="2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r>
    </w:tbl>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9"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33020</wp:posOffset>
            </wp:positionV>
            <wp:extent cx="20485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1100" w:type="dxa"/>
            <w:vAlign w:val="bottom"/>
          </w:tcPr>
          <w:p>
            <w:pPr>
              <w:spacing w:after="0"/>
              <w:rPr>
                <w:sz w:val="21"/>
                <w:szCs w:val="21"/>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1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bl>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1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$979 and $961)</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4,839</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c>
          <w:tcPr>
            <w:tcW w:w="0" w:type="dxa"/>
            <w:vAlign w:val="bottom"/>
          </w:tcPr>
          <w:p>
            <w:pPr>
              <w:spacing w:after="0"/>
              <w:rPr>
                <w:sz w:val="1"/>
                <w:szCs w:val="1"/>
                <w:color w:val="auto"/>
              </w:rPr>
            </w:pPr>
          </w:p>
        </w:tc>
      </w:tr>
      <w:tr>
        <w:trPr>
          <w:trHeight w:val="34"/>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2,717</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2,000 shares authorized; 210.3 shares issued and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0" w:type="dxa"/>
            <w:vAlign w:val="bottom"/>
          </w:tcPr>
          <w:p>
            <w:pPr>
              <w:spacing w:after="0"/>
              <w:rPr>
                <w:sz w:val="1"/>
                <w:szCs w:val="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4,839</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c>
          <w:tcPr>
            <w:tcW w:w="0" w:type="dxa"/>
            <w:vAlign w:val="bottom"/>
          </w:tcPr>
          <w:p>
            <w:pPr>
              <w:spacing w:after="0"/>
              <w:rPr>
                <w:sz w:val="1"/>
                <w:szCs w:val="1"/>
                <w:color w:val="auto"/>
              </w:rPr>
            </w:pPr>
          </w:p>
        </w:tc>
      </w:tr>
      <w:tr>
        <w:trPr>
          <w:trHeight w:val="34"/>
        </w:trPr>
        <w:tc>
          <w:tcPr>
            <w:tcW w:w="7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1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5"/>
                <w:szCs w:val="15"/>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5"/>
                <w:szCs w:val="15"/>
                <w:color w:val="auto"/>
              </w:rPr>
            </w:pPr>
          </w:p>
        </w:tc>
        <w:tc>
          <w:tcPr>
            <w:tcW w:w="116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20" w:type="dxa"/>
            <w:vAlign w:val="bottom"/>
          </w:tcPr>
          <w:p>
            <w:pPr>
              <w:spacing w:after="0"/>
              <w:rPr>
                <w:sz w:val="17"/>
                <w:szCs w:val="17"/>
                <w:color w:val="auto"/>
              </w:rPr>
            </w:pPr>
          </w:p>
        </w:tc>
        <w:tc>
          <w:tcPr>
            <w:tcW w:w="11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7"/>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term loan refinancing</w:t>
            </w:r>
            <w:r>
              <w:rPr>
                <w:rFonts w:ascii="Times New Roman" w:cs="Times New Roman" w:eastAsia="Times New Roman" w:hAnsi="Times New Roman"/>
                <w:sz w:val="23"/>
                <w:szCs w:val="23"/>
                <w:color w:val="auto"/>
                <w:vertAlign w:val="superscript"/>
              </w:rPr>
              <w:t>(1)</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existing term loan</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3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r>
      <w:tr>
        <w:trPr>
          <w:trHeight w:val="250"/>
        </w:trPr>
        <w:tc>
          <w:tcPr>
            <w:tcW w:w="8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 long-term debt, net of interest rate swaps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03"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inflows and outflows due to changes in term loan lender composition.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that people use in their homes for cooking, serving, cleanup and storage.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policies described in our Annual Report on Form 10-K for the year ended December 31, 2024,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Lease Transactions: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$15 million and $32 million in new operating lease right-of-use assets obtained in exchange for lease liabilities during the three months ended March 31, 2025 and March 31,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 voluntary Supply Chain Finance program (the “SCF”) with a global financial institution. All outstanding amounts related to suppliers participating in the SCF are recorded within accounts payable in our condensed consolidated balance sheet and associated payments are included as an operating cash flow in the condensed consolidated statement of cash flows. As of March 31, 2025 and December 31, 2024, the amount of obligations outstanding that we have confirmed as valid under the SCF was $10 million and </w:t>
      </w:r>
      <w:r>
        <w:rPr>
          <w:rFonts w:ascii="Times New Roman" w:cs="Times New Roman" w:eastAsia="Times New Roman" w:hAnsi="Times New Roman"/>
          <w:sz w:val="18"/>
          <w:szCs w:val="18"/>
          <w:color w:val="212529"/>
        </w:rPr>
        <w:t>$12 million,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Accounts Receivable Factoring: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We are party to a factoring agreement with JP Morgan Chase Bank, N.A. to sell certain accounts receivable up to $95 million. Factored receivables as of </w:t>
      </w:r>
      <w:r>
        <w:rPr>
          <w:rFonts w:ascii="Times New Roman" w:cs="Times New Roman" w:eastAsia="Times New Roman" w:hAnsi="Times New Roman"/>
          <w:sz w:val="18"/>
          <w:szCs w:val="18"/>
          <w:color w:val="000000"/>
        </w:rPr>
        <w:t xml:space="preserve">March 31, 2025 </w:t>
      </w:r>
      <w:r>
        <w:rPr>
          <w:rFonts w:ascii="Times New Roman" w:cs="Times New Roman" w:eastAsia="Times New Roman" w:hAnsi="Times New Roman"/>
          <w:sz w:val="18"/>
          <w:szCs w:val="18"/>
          <w:color w:val="212529"/>
        </w:rPr>
        <w:t>were $15 million. Transactions under this agreement are accounted for as sales of accounts receivable, and the receivables sold are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removed 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w:t>
      </w:r>
      <w:r>
        <w:rPr>
          <w:rFonts w:ascii="Times New Roman" w:cs="Times New Roman" w:eastAsia="Times New Roman" w:hAnsi="Times New Roman"/>
          <w:sz w:val="18"/>
          <w:szCs w:val="18"/>
          <w:color w:val="auto"/>
        </w:rPr>
        <w:t>, which enhances disclosures about significant segment expenses by requiring disclosure of incremental segment information on an annual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basis. This ASU was effective for fiscal years beginning after December 15, 2023, and interim periods within fiscal years beginning after December 15, 2024, with early adoption permitted. We adopted the new disclosures in our annual financial statements for the year ended December 31, 2024. Our comparative segment disclosure in the interim financial statements in this report has been updated to reflect the new disclosure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enhances disclosures within the income tax rate reconciliation and information disclosed related to income taxes paid, and requires disaggregation of certain financial statement captions between domestic, foreign, federal and state. This ASU is effective for annual periods beginning after December 15, 2024, with early adoption permitted. We are currently assessing the impact of this standard on our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which will require additional disclosure about specific expense categories included in the income statement. In January 2025, the FASB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ASU 2025-01, </w:t>
      </w:r>
      <w:r>
        <w:rPr>
          <w:rFonts w:ascii="Times New Roman" w:cs="Times New Roman" w:eastAsia="Times New Roman" w:hAnsi="Times New Roman"/>
          <w:sz w:val="18"/>
          <w:szCs w:val="18"/>
          <w:i w:val="1"/>
          <w:iCs w:val="1"/>
          <w:color w:val="auto"/>
        </w:rPr>
        <w:t>Income Statement - Reporting Comprehensive Income - Expense Disaggregation Disclosures (Subtopic 220-40); Clarifying the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Date, </w:t>
      </w:r>
      <w:r>
        <w:rPr>
          <w:rFonts w:ascii="Times New Roman" w:cs="Times New Roman" w:eastAsia="Times New Roman" w:hAnsi="Times New Roman"/>
          <w:sz w:val="18"/>
          <w:szCs w:val="18"/>
          <w:color w:val="auto"/>
        </w:rPr>
        <w:t>which clarified the effective dates of annual and interim disclosure requirements presented in ASU 2024-03. The guidance in ASU 2024-03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annual reporting periods beginning after December 15, 2026, and interim periods beginning within annual reporting periods beginning after December 15, 2027, with early adoption permitted. We are currently assessing the impact of this standard on our consolidated financial statements and related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4"/>
                <w:szCs w:val="14"/>
                <w:color w:val="auto"/>
              </w:rPr>
            </w:pPr>
          </w:p>
        </w:tc>
        <w:tc>
          <w:tcPr>
            <w:tcW w:w="11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50"/>
        </w:trPr>
        <w:tc>
          <w:tcPr>
            <w:tcW w:w="8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r>
      <w:tr>
        <w:trPr>
          <w:trHeight w:val="682"/>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Debt</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8"/>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24"/>
                <w:szCs w:val="24"/>
                <w:color w:val="auto"/>
              </w:rPr>
            </w:pPr>
          </w:p>
        </w:tc>
        <w:tc>
          <w:tcPr>
            <w:tcW w:w="11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Original issue discounts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8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1,686</w:t>
            </w:r>
          </w:p>
        </w:tc>
      </w:tr>
    </w:tbl>
    <w:p>
      <w:pPr>
        <w:spacing w:after="0" w:line="200" w:lineRule="exact"/>
        <w:rPr>
          <w:sz w:val="20"/>
          <w:szCs w:val="20"/>
          <w:color w:val="auto"/>
        </w:rPr>
      </w:pP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10" w:name="page11"/>
    <w:bookmarkEnd w:id="10"/>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external debt facilities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as a result of Amendment No. 4 remain unchanged.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Amendment No. 4 to our syndicated loan arrangement, we evaluated the accounting treatment of deferred and new debt transaction costs on a creditor-by-creditor basis in accordance with GAAP. This analysis resulted in the recognition of a debt refinancing expense of $13 million during the three months ended March 31, 2025, comprised of $12 million of new fees allocated to modified loans and $1 million of deferred financing transaction costs and original issue discount expensed related to extinguished loans. This expense is presented separately in our condensed consolidated statements of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during the three months ended March 31, 2025, we capitalized $1 million of qualifying financing-related costs associated with Amendment No. 4. These costs, along with $7 million of remaining deferred financing transaction costs, will be amortized over the remaining term of the Term Loan Facility, subject to acceleration for early term loan principal payments.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5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Facility matures in March 2032. The Term Loan Facility amortizes in equal quarterly installments of $4 million, which commences in June 2025, with the balance payable on maturity. During the three months ended March 31, 2025, prior to Amendment No. 4, we made voluntary principal payments of $50 million related to our Term Loan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Revolving Facility matures in October 2029 and includes a sub-facility for letters of credit. As of March 31, 2025, we had no outstanding borrowings under the Revolving Facility, and we had $6 million of letters of credit outstanding, which reduces the borrowing capacity under the Revolving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March 31, 2025, which is a Level 2 fair value measurement, approximates the carrying value due to the variable market interest rate and the stability of our credit profile.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 series of interest rate swaps to fix the SOFR of our External Debt Facilities. The aggregate notional amount of interest rate swaps in effect as of March 31, 2025 was $1,150 million, and the SOFR is fixed at an annual rate of 0.40% to 3.40% (for an annual effective interest rate of 2.15% to 5.15%, including margin).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swaps outstanding as of March 31, 2025 hedge a portion of the interest rate exposure resulting from our Term Loan Facility for less than one year. We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notional amounts, the annual rates, the weighted average annual effective rates, and the fair value of our interest rate derivatives: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 Annual</w:t>
            </w:r>
          </w:p>
        </w:tc>
        <w:tc>
          <w:tcPr>
            <w:tcW w:w="16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 Other</w:t>
            </w:r>
          </w:p>
        </w:tc>
        <w:tc>
          <w:tcPr>
            <w:tcW w:w="160" w:type="dxa"/>
            <w:vAlign w:val="bottom"/>
          </w:tcPr>
          <w:p>
            <w:pPr>
              <w:spacing w:after="0"/>
              <w:rPr>
                <w:sz w:val="15"/>
                <w:szCs w:val="15"/>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 - Other</w:t>
            </w:r>
          </w:p>
        </w:tc>
      </w:tr>
      <w:tr>
        <w:trPr>
          <w:trHeight w:val="19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2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2.15% to 5.15%</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2.15% to 5.15%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months ended March 31, 2025, 0.4 million RSUs and 0.4 million PSUs were granted.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there were stock-based compensation awards representing 1.9 million shares outstanding compared to 1.3 million shares outstanding as of December 31, 2024. Stock-based compensation expense was $6 million for the three months ended March 31, 2025 compared to $4 million for the three months ended March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related to employment matters, consumer complaints, advertising/labeling claims, personal injury claims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March 31, 2025,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37"/>
        </w:trPr>
        <w:tc>
          <w:tcPr>
            <w:tcW w:w="50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70"/>
        </w:trPr>
        <w:tc>
          <w:tcPr>
            <w:tcW w:w="5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7"/>
        </w:trPr>
        <w:tc>
          <w:tcPr>
            <w:tcW w:w="5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2025, we have updated our segment reporting to now reflect our international business based on product category alignment, as opposed to the entirety of international results historically being reported in the Reynolds Cooking &amp; Baking segment. All prior period segment disclosures have been recast to reflect this reassignment. Our composition of operating segments and reportable segments did not change, and this reassignment had no effect on our previously reported consolidated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segments are described as follows: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in the U.S. and selected international markets, and as the Hefty and Baggies brands for our food storage bags in the U.S. Our food storage bags internationally are sold as Reynolds, Diamond, or Hefty Basics brands based on region.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3" w:name="page14"/>
    <w:bookmarkEnd w:id="13"/>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three main categories: food storage bags, trash bags and plastic wrap. Our Presto Products segment also includes our specialty business, which serves other consumer products companies by providing Fresh-Lock and Slide-Rite resealable closure systems.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evaluates the performance of each segment and allocates resources (including employees, property and financial or capital resources) for each segment, predominantly in the annual budgeting and forecasting process. The CODM considers budget-to-actual variances on a monthly basis when making decisions about allocating capital and personnel to the segments.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may be further adjusted to exclude certain items, if applicable.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segments are at negotiated prices.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0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0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10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center"/>
              <w:ind w:left="754"/>
              <w:spacing w:after="0"/>
              <w:rPr>
                <w:sz w:val="20"/>
                <w:szCs w:val="20"/>
                <w:color w:val="auto"/>
              </w:rPr>
            </w:pPr>
            <w:r>
              <w:rPr>
                <w:rFonts w:ascii="Times New Roman" w:cs="Times New Roman" w:eastAsia="Times New Roman" w:hAnsi="Times New Roman"/>
                <w:sz w:val="18"/>
                <w:szCs w:val="18"/>
                <w:color w:val="auto"/>
                <w:w w:val="88"/>
              </w:rPr>
              <w:t>1</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left="714"/>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w w:val="95"/>
              </w:rPr>
              <w:t>(3)</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556"/>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Cooking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Waste &amp;</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&amp; Baking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4"/>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w w:val="95"/>
              </w:rPr>
              <w:t>(2)</w:t>
            </w: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left="714"/>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4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w w:val="95"/>
              </w:rPr>
              <w:t>(8)</w:t>
            </w: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88"/>
              </w:rPr>
              <w:t>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Segment assets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8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28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240" w:type="dxa"/>
            <w:vAlign w:val="bottom"/>
          </w:tcPr>
          <w:p>
            <w:pPr>
              <w:spacing w:after="0"/>
              <w:rPr>
                <w:sz w:val="14"/>
                <w:szCs w:val="14"/>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60" w:type="dxa"/>
            <w:vAlign w:val="bottom"/>
          </w:tcPr>
          <w:p>
            <w:pPr>
              <w:spacing w:after="0"/>
              <w:rPr>
                <w:sz w:val="14"/>
                <w:szCs w:val="14"/>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60" w:type="dxa"/>
            <w:vAlign w:val="bottom"/>
          </w:tcPr>
          <w:p>
            <w:pPr>
              <w:spacing w:after="0"/>
              <w:rPr>
                <w:sz w:val="14"/>
                <w:szCs w:val="14"/>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41"/>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
        </w:trPr>
        <w:tc>
          <w:tcPr>
            <w:tcW w:w="3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602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1,430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3,409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4,839</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1,356</w:t>
            </w:r>
          </w:p>
        </w:tc>
        <w:tc>
          <w:tcPr>
            <w:tcW w:w="2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3,517</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r>
    </w:tbl>
    <w:p>
      <w:pPr>
        <w:spacing w:after="0" w:line="333" w:lineRule="exact"/>
        <w:rPr>
          <w:sz w:val="20"/>
          <w:szCs w:val="20"/>
          <w:color w:val="auto"/>
        </w:rPr>
      </w:pPr>
    </w:p>
    <w:p>
      <w:pPr>
        <w:jc w:val="both"/>
        <w:ind w:left="340" w:hanging="332"/>
        <w:spacing w:after="0" w:line="266"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reflected in Segment Adjusted EBITDA primarily include cost of sales (including material, manufacturing and logistics costs), salaries and benefits, advertising expenses and professional fees. The CODM allocates resources and assesses performance on a consolidated level for these other segment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total segment Adjusted EBITDA to GAAP income before income taxes: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8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8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40" w:type="dxa"/>
            <w:vAlign w:val="bottom"/>
          </w:tcPr>
          <w:p>
            <w:pPr>
              <w:spacing w:after="0"/>
              <w:rPr>
                <w:sz w:val="23"/>
                <w:szCs w:val="23"/>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41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(1)  Reflects the expense recorded related to our March 2025 Term Loan Facility refinancing.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(2)  Reflects costs related to the execution of cost savings and revenue growth strategic initiatives.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(3)  Reflects compensation and other costs related to the CEO transition effective January 1, 2025.</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7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63"/>
        </w:trPr>
        <w:tc>
          <w:tcPr>
            <w:tcW w:w="7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gridSpan w:val="4"/>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8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8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Waste and storage products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Waste and storage products are comprised of our Hefty Waste &amp; Storage and Presto Products segments.</w:t>
      </w:r>
    </w:p>
    <w:p>
      <w:pPr>
        <w:sectPr>
          <w:pgSz w:w="11900" w:h="16838" w:orient="portrait"/>
          <w:cols w:equalWidth="0" w:num="1">
            <w:col w:w="11240"/>
          </w:cols>
          <w:pgMar w:left="320" w:top="1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type w:val="continuous"/>
        </w:sectPr>
      </w:pPr>
    </w:p>
    <w:bookmarkStart w:id="15" w:name="page16"/>
    <w:bookmarkEnd w:id="15"/>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until April 1, 2025, owned the majority of the outstanding common stock of Pactiv Evergreen Inc. and its subsidiaries (“PEI Group”). We sell and purchase various goods and services with PEI Group under contractual arrangements that expire over a variety of periods through December 31, 2027. During the year ended December 31, 2024, we amended these contractual arrangements with PEI Group, which, among other things, extended the expiration date for certain arrangements. Transactions between us and PEI Group are described below.</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revenues from products sold to PEI Group were $17 million compared to $22 million for the three months ended March 31, 2024. For the three months ended March 31, 2025, products purchased from PEI Group were $51 million compared to $80 million for the three months ended March 31, 2024. For the three months ended March 31, 2025, PEI Group charged us freight and warehousing costs of $4 million compared to $8 million for the three months ended March 31, 2024, which were included in cost of sales. The resulting related party receivables and payables are settled regularly in the normal course of business.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2025, PFL completed the sale of PEI Group, a related party as of March 31, 2025, to an unrelated party. As a result, transactions and balances with PEI Group from April 1, 2025 will no longer be classified as related party items. This prospective change has no impact on the presentation of historical related party disclosures.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$36 million of the dividends paid during each of the three months ended March 31, 2025 and March 31, 2024 were paid to PFL.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24, 2025, our Board of Directors approved a cash dividend of $0.23 per common share to be paid on May 30, 2025 to shareholders of record on May 16,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March 31, 2025 which would require accrual or disclosure in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that people use in their homes for cooking, serving, cleanup and storage.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50%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 Our Reynolds and Hefty brands have preeminent positions in their categories and carry strong brand recognition in household aisles.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66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sell both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and has been the top trusted brand in the consumer foil market for over 75 years, with greater than 50% market share in most of its categories. We also offer more sustainable solutions, such as Reynolds Wrap 100% recycled aluminum, unbleached parchment paper made with a chlorine-free process and coreless wax paper, which uses less packaging materials than traditional wax paper rolls.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in the U.S. and selected international markets, and as the Hefty and Baggies brands for our food storage bags in the U.S. Our food storage bags internationally are sold as Reynolds, Diamond, or Hefty Basics brands based on region. We have the #1 branded market share in the U.S. large black trash bag segment, and the #2 branded market share in the slider bag and tall kitchen trash bag segments. Our robust product portfolio in this segment includes a full suite of products, including sustainable solutions such as blue and clear recycling bags, compostable bags, bags made from recycled materials and orange bags through the Hefty ReNew</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Program.</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containers, cups and cutlery. Our Hefty branded products include dishes, party cups, cutlery and containers. Hefty branded party cups are the #1 party cup in America measured by market share. Our branded products use our Hefty brand to represent both quality and value,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 w:name="page18"/>
    <w:bookmarkEnd w:id="17"/>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three main categories: food storage bags, trash bags and plastic wrap. Presto Products is a market leader in food storage bags and differentiates itself by providing access to category management, consumer insights, marketing, merchandising and research and development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net revenues decreased 2% in the three months ended March 31, 2025 compared to the same period in 2024. The revenue decrease was primarily due to lower volume, partially offset by higher pricing.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our net income decreased by 37% compared to the same period in 2024, primarily driven by lower volume, debt refinancing expense, higher material, manufacturing and logistics costs, costs to execute strategic initiatives and CEO transition costs. These factors were partially offset by higher pricing, lower selling, general and administrative expenses and lower interest expense.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use the non-GAAP financial measures “Adjusted EBITDA”, “Adjusted Net Income”, and “Adjusted EPS”, which are measures adjusted for the impact of specified items and are not in accordance with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income tax expense, net interest expense, debt refinancing expense, depreciation and amortization, costs to execute strategic initiatives and CEO transition costs. We define Adjusted Net Income and Adjusted EPS as Net Income and Earnings Per Share calculated in accordance with GAAP, plus debt refinancing expense, costs to execute strategic initiatives and CEO transition costs.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8" w:name="page19"/>
    <w:bookmarkEnd w:id="18"/>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7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10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(2)</w:t>
            </w:r>
          </w:p>
        </w:tc>
        <w:tc>
          <w:tcPr>
            <w:tcW w:w="10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(3)</w:t>
            </w:r>
          </w:p>
        </w:tc>
        <w:tc>
          <w:tcPr>
            <w:tcW w:w="10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Pr>
          <w:p>
            <w:pPr>
              <w:spacing w:after="0"/>
              <w:rPr>
                <w:sz w:val="20"/>
                <w:szCs w:val="20"/>
                <w:color w:val="auto"/>
              </w:rPr>
            </w:pP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r>
      <w:tr>
        <w:trPr>
          <w:trHeight w:val="34"/>
        </w:trPr>
        <w:tc>
          <w:tcPr>
            <w:tcW w:w="80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our net income and diluted EPS, the most directly comparable GAAP financial measure, to Adjusted Net Income and Adjusted Diluted EPS: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20" w:type="dxa"/>
            <w:vAlign w:val="bottom"/>
          </w:tcPr>
          <w:p>
            <w:pPr>
              <w:spacing w:after="0"/>
              <w:rPr>
                <w:sz w:val="16"/>
                <w:szCs w:val="16"/>
                <w:color w:val="auto"/>
              </w:rPr>
            </w:pPr>
          </w:p>
        </w:tc>
        <w:tc>
          <w:tcPr>
            <w:tcW w:w="270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r>
      <w:tr>
        <w:trPr>
          <w:trHeight w:val="37"/>
        </w:trPr>
        <w:tc>
          <w:tcPr>
            <w:tcW w:w="46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58"/>
        </w:trPr>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Diluted</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Diluted</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Diluted EPS</w:t>
            </w:r>
          </w:p>
        </w:tc>
      </w:tr>
      <w:tr>
        <w:trPr>
          <w:trHeight w:val="37"/>
        </w:trPr>
        <w:tc>
          <w:tcPr>
            <w:tcW w:w="46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r>
      <w:tr>
        <w:trPr>
          <w:trHeight w:val="24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210.3</w:t>
            </w:r>
          </w:p>
        </w:tc>
        <w:tc>
          <w:tcPr>
            <w:tcW w:w="18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16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8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210.1</w:t>
            </w:r>
          </w:p>
        </w:tc>
        <w:tc>
          <w:tcPr>
            <w:tcW w:w="16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r>
      <w:tr>
        <w:trPr>
          <w:trHeight w:val="34"/>
        </w:trPr>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left="660" w:hanging="652"/>
        <w:spacing w:after="0" w:line="282" w:lineRule="auto"/>
        <w:tabs>
          <w:tab w:leader="none" w:pos="4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based on the applicable tax treatment of each adjustment, using a normalized effective tax rate of 23.9% for deductible items and 0% for non-deductible items.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are classified as related party revenues, and industrial customers.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Aggregation of Segment Revenue and Adjusted EBITDA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revenues for the three months ended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3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40" w:type="dxa"/>
            <w:vAlign w:val="bottom"/>
            <w:vMerge w:val="restart"/>
          </w:tcPr>
          <w:p>
            <w:pPr>
              <w:ind w:left="20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100" w:type="dxa"/>
            <w:vAlign w:val="bottom"/>
            <w:vMerge w:val="restart"/>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27"/>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80" w:type="dxa"/>
            <w:vAlign w:val="bottom"/>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-7620</wp:posOffset>
            </wp:positionV>
            <wp:extent cx="711517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-144780</wp:posOffset>
            </wp:positionV>
            <wp:extent cx="97155" cy="74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481" w:lineRule="exact"/>
        <w:rPr>
          <w:sz w:val="20"/>
          <w:szCs w:val="20"/>
          <w:color w:val="auto"/>
        </w:rPr>
      </w:pPr>
    </w:p>
    <w:p>
      <w:pPr>
        <w:sectPr>
          <w:pgSz w:w="11900" w:h="16838" w:orient="portrait"/>
          <w:cols w:equalWidth="0" w:num="2">
            <w:col w:w="2960" w:space="400"/>
            <w:col w:w="788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31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5"/>
        </w:trPr>
        <w:tc>
          <w:tcPr>
            <w:tcW w:w="3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the three months</w:t>
            </w: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March 31:</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31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bl>
    <w:p>
      <w:pPr>
        <w:spacing w:after="0" w:line="346" w:lineRule="exact"/>
        <w:rPr>
          <w:sz w:val="20"/>
          <w:szCs w:val="20"/>
          <w:color w:val="auto"/>
        </w:rPr>
      </w:pPr>
    </w:p>
    <w:p>
      <w:pPr>
        <w:ind w:left="340" w:hanging="332"/>
        <w:spacing w:after="0" w:line="26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4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with the Three Months Ended March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568"/>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64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7"/>
                <w:szCs w:val="17"/>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126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7"/>
                <w:szCs w:val="17"/>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98 %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818</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833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(77)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189</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 %</w:t>
            </w:r>
          </w:p>
        </w:tc>
        <w:tc>
          <w:tcPr>
            <w:tcW w:w="0" w:type="dxa"/>
            <w:vAlign w:val="bottom"/>
          </w:tcPr>
          <w:p>
            <w:pPr>
              <w:spacing w:after="0" w:line="20" w:lineRule="exact"/>
              <w:rPr>
                <w:sz w:val="1"/>
                <w:szCs w:val="1"/>
                <w:color w:val="auto"/>
              </w:rPr>
            </w:pPr>
          </w:p>
        </w:tc>
      </w:tr>
      <w:tr>
        <w:trPr>
          <w:trHeight w:val="236"/>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9 %</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90</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5 %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4 %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117</w:t>
            </w:r>
          </w:p>
        </w:tc>
        <w:tc>
          <w:tcPr>
            <w:tcW w:w="140" w:type="dxa"/>
            <w:vAlign w:val="bottom"/>
          </w:tcPr>
          <w:p>
            <w:pPr>
              <w:spacing w:after="0"/>
              <w:rPr>
                <w:sz w:val="22"/>
                <w:szCs w:val="22"/>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122</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11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Three Months Ended March 31, 2025 vs. the Three Months Ended March 31, 2024</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86"/>
        </w:trPr>
        <w:tc>
          <w:tcPr>
            <w:tcW w:w="4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56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
        </w:trPr>
        <w:tc>
          <w:tcPr>
            <w:tcW w:w="4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r>
      <w:tr>
        <w:trPr>
          <w:trHeight w:val="27"/>
        </w:trPr>
        <w:tc>
          <w:tcPr>
            <w:tcW w:w="4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 %</w:t>
            </w:r>
          </w:p>
        </w:tc>
      </w:tr>
      <w:tr>
        <w:trPr>
          <w:trHeight w:val="27"/>
        </w:trPr>
        <w:tc>
          <w:tcPr>
            <w:tcW w:w="4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decreased by $15 million, or 2%, to $818 million. The decrease was primarily driven by lower volume,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higher pricing.</w:t>
      </w:r>
    </w:p>
    <w:p>
      <w:pPr>
        <w:spacing w:after="0" w:line="22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by $3 million to $629 million. The decrease was primarily driven by lower volume, partially offset by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manufacturing and logistics costs.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$7 million, or 6%, to $104 million,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lower personnel and advertising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$9 million, reflecting costs to execute strategic initiatives and costs associated with our CEO transition.</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$4 million, or 16%, to $21 million. The decrease was primarily due to a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as a result of voluntary principal payments made on our term loan facility.</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Debt Refinancing Expense</w:t>
      </w:r>
      <w:r>
        <w:rPr>
          <w:rFonts w:ascii="Times New Roman" w:cs="Times New Roman" w:eastAsia="Times New Roman" w:hAnsi="Times New Roman"/>
          <w:sz w:val="18"/>
          <w:szCs w:val="18"/>
          <w:color w:val="auto"/>
        </w:rPr>
        <w:t>. In connection with the refinancing of our senior secured term loan facility in March 2025, we recorded debt refinancing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$13 million in the three months ended March 31, 2025.</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$11 million on income before income taxes of $42 million (an effective tax rate of 24.5%)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2025 compared to income tax expense of $16 million on income before income taxes of $65 million (an effective tax rate of 24.9%) for the three months ended March 31, 2024.</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$5 million, or 4%, to $117 million. The decrease in Adjusted EBITDA was primarily due to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lower revenue and higher material, manufacturing and logistics costs, partially offset by lower selling, general and administrative expenses.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increased by $3 million, or 1%, to $259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due to higher non-retail volume and higher pricing, partially offset by lower retail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increased $6 million, or 19%, to $38 million. The increase was driven by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revenue and the lapping of higher material, manufacturing and logistics costs.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4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$6 million, or 3%, to $240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decreased by $8 million, or 12%, to $59 million. The decrease was driven by higher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and logistics costs, partially offset by the impact of higher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$29 million, or 14%, to $179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foam product volume, partially offset by higher pricing due to the timing of promotional activities.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$13 million, or 43%, to $17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lower foam product volume and higher material, manufacturing and logistics costs, partially offset by higher pricing due to the timing of promotional activities.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6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were $143 million in each period. Volume and pricing remained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periods.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decreased by $3 million, or 10%, to $26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higher material, manufacturing and logistics costs.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periods presented: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3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0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center"/>
              <w:ind w:left="836"/>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1"/>
                <w:szCs w:val="21"/>
                <w:color w:val="auto"/>
              </w:rPr>
            </w:pPr>
          </w:p>
        </w:tc>
        <w:tc>
          <w:tcPr>
            <w:tcW w:w="1260" w:type="dxa"/>
            <w:vAlign w:val="bottom"/>
          </w:tcPr>
          <w:p>
            <w:pPr>
              <w:jc w:val="center"/>
              <w:ind w:left="796"/>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center"/>
              <w:ind w:left="796"/>
              <w:spacing w:after="0"/>
              <w:rPr>
                <w:sz w:val="20"/>
                <w:szCs w:val="20"/>
                <w:color w:val="auto"/>
              </w:rPr>
            </w:pPr>
            <w:r>
              <w:rPr>
                <w:rFonts w:ascii="Times New Roman" w:cs="Times New Roman" w:eastAsia="Times New Roman" w:hAnsi="Times New Roman"/>
                <w:sz w:val="18"/>
                <w:szCs w:val="18"/>
                <w:color w:val="auto"/>
                <w:w w:val="99"/>
              </w:rPr>
              <w:t>(96)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center"/>
              <w:ind w:left="796"/>
              <w:spacing w:after="0"/>
              <w:rPr>
                <w:sz w:val="20"/>
                <w:szCs w:val="20"/>
                <w:color w:val="auto"/>
              </w:rPr>
            </w:pPr>
            <w:r>
              <w:rPr>
                <w:rFonts w:ascii="Times New Roman" w:cs="Times New Roman" w:eastAsia="Times New Roman" w:hAnsi="Times New Roman"/>
                <w:sz w:val="18"/>
                <w:szCs w:val="18"/>
                <w:b w:val="1"/>
                <w:bCs w:val="1"/>
                <w:color w:val="auto"/>
                <w:w w:val="99"/>
              </w:rPr>
              <w:t>(79)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center"/>
              <w:ind w:left="774"/>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Net cash from operating activities decreased by $43 million to $56 million in the three months ended March 31, 2025. </w:t>
      </w:r>
      <w:r>
        <w:rPr>
          <w:rFonts w:ascii="Times New Roman" w:cs="Times New Roman" w:eastAsia="Times New Roman" w:hAnsi="Times New Roman"/>
          <w:sz w:val="18"/>
          <w:szCs w:val="18"/>
          <w:color w:val="212529"/>
        </w:rPr>
        <w:t>The decrease was primarily driven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by a reduced benefit in working capital and lower net income.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$10 million to $39 million. The increase was driven by an increase in cash outlays for capital expenditures.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$46 million to $96 million. The increase was primarily attributable to $50 million of voluntary principal payments made on our Term Loan Facility during the three months ended March 31,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as a result of Amendment No. 4 remain unchanged.</w:t>
      </w:r>
    </w:p>
    <w:p>
      <w:pPr>
        <w:spacing w:after="0" w:line="75"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As of March 31, 2025, the outstanding balance under the Term Loan Facility was $1,645 million. As of March 31, 2025, we had no outstanding borrowings under the Revolving Facility, and we had $6 million of letters of credit outstanding, which reduces the borrowing capacity under the Revolving Facility.</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SOFR plus an applicable margin of 1.75%.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series of interest rate swaps to fix the SOFR of our External Debt Facilities. The aggregate notional amount of interest rate swaps in effect as of March 31, 2025 was $1,150 million, and the SOFR is fixed at an annual rate of 0.40% to 3.40% (for an annual effective interest rate of 2.15% to 5.15%, including margin). These interest rate swaps hedge a portion of the interest rate exposure resulting from our Term Loan Facility for less than one year.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SOFR based loans.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prior to Amendment No. 4, we made voluntary principal payments of $50 million related to our Term Loan Facility, which was applied to the outstanding principal balance due at maturity.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March 2032. The Term Loan Facility amortizes in equal quarterly installments of $4 million, which commences in June 2025, with the balance payable on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Facility matures in October 2029.</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External Debt Facilities.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We are party to a factoring agreement with JP Morgan Chase Bank, N.A. to sell certain accounts receivable up to $95 million. Factored receivables as of </w:t>
      </w:r>
      <w:r>
        <w:rPr>
          <w:rFonts w:ascii="Times New Roman" w:cs="Times New Roman" w:eastAsia="Times New Roman" w:hAnsi="Times New Roman"/>
          <w:sz w:val="18"/>
          <w:szCs w:val="18"/>
          <w:color w:val="000000"/>
        </w:rPr>
        <w:t xml:space="preserve">March 31, 2025 </w:t>
      </w:r>
      <w:r>
        <w:rPr>
          <w:rFonts w:ascii="Times New Roman" w:cs="Times New Roman" w:eastAsia="Times New Roman" w:hAnsi="Times New Roman"/>
          <w:sz w:val="18"/>
          <w:szCs w:val="18"/>
          <w:color w:val="212529"/>
        </w:rPr>
        <w:t>were $15 million. Transactions under this agreement are accounted for as sales of accounts receivable, and the receivables sold are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removed from the condensed consolidated balance sheet at the time of the sales transaction. We classify proceeds received from sales of accounts receivable as an operating cash flow in the condensed consolidated statement of cash flows. We record the discount as other expense, net in the condensed consolidated statement of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Supply Chain Financing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voluntary Supply Chain Finance program (the “SCF”) with a global financial institution. All outstanding amounts related to suppliers participating in the SCF are recorded within accounts payable in our condensed consolidated balance sheet and associated payments are included as an operating cash flow in the condensed consolidated statement of cash flows. As of March 31, 2025 and December 31, 2024, the amount of obligations outstanding that we have confirmed as valid under the SCF was $10 million and $12 million,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cash dividends of $0.23 per share were declared and paid. On April 24, 2025, a quarterly cash dividend of $0.23 per share was declared and is to be paid on May 30, 2025. We expect to continue paying cash dividends on a quarterly basis; however, future dividends are at the discretion of our Board of Directors and will depend upon our earnings, capital requirements, financial condition, contractual limitations (including under the External Debt Facilities)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2024.</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our Annual Report on Form 10-K for the fiscal year ended December 31, 2024. During the three months ended March 31, 2025, there have been no material changes in our exposure to market risk.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880" w:hanging="431"/>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March 31, 2025. Based on that evaluation, our Chief Executive Officer and Chief Financial Officer have concluded that, as of March 31, 2025, our disclosure controls and procedures were effective.</w:t>
      </w:r>
    </w:p>
    <w:p>
      <w:pPr>
        <w:spacing w:after="0" w:line="180" w:lineRule="exact"/>
        <w:rPr>
          <w:sz w:val="20"/>
          <w:szCs w:val="20"/>
          <w:color w:val="auto"/>
        </w:rPr>
      </w:pPr>
    </w:p>
    <w:p>
      <w:pPr>
        <w:ind w:left="880" w:hanging="431"/>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8" w:name="page29"/>
    <w:bookmarkEnd w:id="28"/>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40" w:type="dxa"/>
            <w:vAlign w:val="bottom"/>
            <w:gridSpan w:val="13"/>
          </w:tcPr>
          <w:p>
            <w:pPr>
              <w:ind w:left="980"/>
              <w:spacing w:after="0"/>
              <w:rPr>
                <w:sz w:val="20"/>
                <w:szCs w:val="20"/>
                <w:color w:val="auto"/>
              </w:rPr>
            </w:pPr>
            <w:r>
              <w:rPr>
                <w:rFonts w:ascii="Times New Roman" w:cs="Times New Roman" w:eastAsia="Times New Roman" w:hAnsi="Times New Roman"/>
                <w:sz w:val="18"/>
                <w:szCs w:val="18"/>
                <w:b w:val="1"/>
                <w:bCs w:val="1"/>
                <w:color w:val="auto"/>
              </w:rPr>
              <w:t>Item 6. Exhibits.</w:t>
            </w:r>
          </w:p>
        </w:tc>
      </w:tr>
      <w:tr>
        <w:trPr>
          <w:trHeight w:val="448"/>
        </w:trPr>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40" w:type="dxa"/>
            <w:vAlign w:val="bottom"/>
            <w:gridSpan w:val="13"/>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45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Amended and Restated Certificate of Incorporation, conformed version that includes all amendments through April 25, 2024</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8"/>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(incorporated herein by reference to Exhibit 3.1 to the Company’s Quarterly Report on Form 10-Q filed with the SEC on August 7,</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FF"/>
                <w:w w:val="95"/>
              </w:rPr>
            </w:pPr>
            <w:hyperlink r:id="rId47">
              <w:r>
                <w:rPr>
                  <w:rFonts w:ascii="Times New Roman" w:cs="Times New Roman" w:eastAsia="Times New Roman" w:hAnsi="Times New Roman"/>
                  <w:sz w:val="18"/>
                  <w:szCs w:val="18"/>
                  <w:color w:val="0000FF"/>
                  <w:w w:val="95"/>
                </w:rPr>
                <w:t>2024)</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Amended and Restated By-Laws (incorporated herein by reference to Exhibit 3.2 to the Company’s Current Report on Form 8-K filed</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with the SEC on February 4, 2020)</w:t>
              </w:r>
            </w:hyperlink>
          </w:p>
        </w:tc>
        <w:tc>
          <w:tcPr>
            <w:tcW w:w="7120" w:type="dxa"/>
            <w:vAlign w:val="bottom"/>
            <w:tcBorders>
              <w:top w:val="single" w:sz="8" w:color="0000FF"/>
            </w:tcBorders>
            <w:gridSpan w:val="12"/>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Amendment No. 4, dated as of March 4, 2025, to the Credit Agreement, dated as of February 4, 2020, between Reynolds Consumer</w:t>
              </w:r>
            </w:hyperlink>
          </w:p>
        </w:tc>
        <w:tc>
          <w:tcPr>
            <w:tcW w:w="280" w:type="dxa"/>
            <w:vAlign w:val="bottom"/>
            <w:gridSpan w:val="8"/>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8"/>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Products LLC, as borrower, Reynolds Consumer Products Inc., as parent, and certain lenders party thereto (incorporated herein by</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reference to Exhibit 10.1 to the Company's Form 8-K filed with the SEC on March 4, 2025)</w:t>
              </w:r>
            </w:hyperlink>
          </w:p>
        </w:tc>
        <w:tc>
          <w:tcPr>
            <w:tcW w:w="2820" w:type="dxa"/>
            <w:vAlign w:val="bottom"/>
            <w:tcBorders>
              <w:top w:val="single" w:sz="8" w:color="0000FF"/>
            </w:tcBorders>
            <w:gridSpan w:val="2"/>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 (for double-trigger vesting in connection with a change in control situation for two-</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year vesting)</w:t>
            </w:r>
          </w:p>
        </w:tc>
        <w:tc>
          <w:tcPr>
            <w:tcW w:w="8640" w:type="dxa"/>
            <w:vAlign w:val="bottom"/>
            <w:tcBorders>
              <w:top w:val="single" w:sz="8" w:color="0000FF"/>
            </w:tcBorders>
            <w:gridSpan w:val="11"/>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 (for single-trigger vesting in connection with a change in control situation for two-</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year vesting)</w:t>
            </w:r>
          </w:p>
        </w:tc>
        <w:tc>
          <w:tcPr>
            <w:tcW w:w="240" w:type="dxa"/>
            <w:vAlign w:val="bottom"/>
            <w:gridSpan w:val="7"/>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140" w:type="dxa"/>
            <w:vAlign w:val="bottom"/>
            <w:gridSpan w:val="2"/>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2"/>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200" w:type="dxa"/>
            <w:vAlign w:val="bottom"/>
            <w:gridSpan w:val="5"/>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2"/>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160" w:type="dxa"/>
            <w:vAlign w:val="bottom"/>
            <w:gridSpan w:val="3"/>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80" w:type="dxa"/>
            <w:vAlign w:val="bottom"/>
            <w:gridSpan w:val="14"/>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160" w:type="dxa"/>
            <w:vAlign w:val="bottom"/>
            <w:tcBorders>
              <w:top w:val="single" w:sz="8" w:color="0000FF"/>
            </w:tcBorders>
            <w:gridSpan w:val="8"/>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27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3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34118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Chris Mayrhofer</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April 30,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5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NOTICE OF RESTRICTED STOCK UNIT AWARD</w:t>
      </w:r>
    </w:p>
    <w:p>
      <w:pPr>
        <w:spacing w:after="0" w:line="1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%%OPTION_DATE,'Month DD, YYYY'%-%</w:t>
      </w:r>
    </w:p>
    <w:p>
      <w:pPr>
        <w:spacing w:after="0" w:line="243" w:lineRule="exact"/>
        <w:rPr>
          <w:sz w:val="20"/>
          <w:szCs w:val="20"/>
          <w:color w:val="auto"/>
        </w:rPr>
      </w:pPr>
    </w:p>
    <w:p>
      <w:pPr>
        <w:ind w:left="100" w:right="260"/>
        <w:spacing w:after="0" w:line="252" w:lineRule="auto"/>
        <w:rPr>
          <w:sz w:val="20"/>
          <w:szCs w:val="20"/>
          <w:color w:val="auto"/>
        </w:rPr>
      </w:pPr>
      <w:r>
        <w:rPr>
          <w:rFonts w:ascii="Times New Roman" w:cs="Times New Roman" w:eastAsia="Times New Roman" w:hAnsi="Times New Roman"/>
          <w:sz w:val="22"/>
          <w:szCs w:val="22"/>
          <w:color w:val="auto"/>
        </w:rPr>
        <w:t>Reynolds Consumer Products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granted the Participant, effective as of the Grant Date (as set forth below), a Restricted Stock Unit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under the Reynolds Consumer Products Inc. Equity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Award is subject to the terms and conditions set forth in this award grant letter (this “</w:t>
      </w:r>
      <w:r>
        <w:rPr>
          <w:rFonts w:ascii="Times New Roman" w:cs="Times New Roman" w:eastAsia="Times New Roman" w:hAnsi="Times New Roman"/>
          <w:sz w:val="22"/>
          <w:szCs w:val="22"/>
          <w:b w:val="1"/>
          <w:bCs w:val="1"/>
          <w:color w:val="auto"/>
        </w:rPr>
        <w:t>Grant Letter</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all exhibits and appendices thereto)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together with this Grant Letter,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ind w:left="100" w:right="240"/>
        <w:spacing w:after="0" w:line="263" w:lineRule="auto"/>
        <w:rPr>
          <w:sz w:val="20"/>
          <w:szCs w:val="20"/>
          <w:color w:val="auto"/>
        </w:rPr>
      </w:pPr>
      <w:r>
        <w:rPr>
          <w:rFonts w:ascii="Times New Roman" w:cs="Times New Roman" w:eastAsia="Times New Roman" w:hAnsi="Times New Roman"/>
          <w:sz w:val="22"/>
          <w:szCs w:val="22"/>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ectPr>
          <w:pgSz w:w="11900" w:h="16838" w:orient="portrait"/>
          <w:cols w:equalWidth="0" w:num="1">
            <w:col w:w="10920"/>
          </w:cols>
          <w:pgMar w:left="64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Number Restricted Stock Units: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22"/>
          <w:szCs w:val="22"/>
          <w:b w:val="1"/>
          <w:bCs w:val="1"/>
          <w:color w:val="auto"/>
        </w:rPr>
        <w:t>AWARD TERMS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%%FIRST_NAME_LAST_NAME%-%</w:t>
      </w:r>
    </w:p>
    <w:p>
      <w:pPr>
        <w:spacing w:after="0" w:line="44" w:lineRule="exact"/>
        <w:rPr>
          <w:sz w:val="20"/>
          <w:szCs w:val="20"/>
          <w:color w:val="auto"/>
        </w:rPr>
      </w:pPr>
    </w:p>
    <w:p>
      <w:pPr>
        <w:ind w:right="2640"/>
        <w:spacing w:after="0" w:line="268" w:lineRule="auto"/>
        <w:rPr>
          <w:sz w:val="20"/>
          <w:szCs w:val="20"/>
          <w:color w:val="auto"/>
        </w:rPr>
      </w:pPr>
      <w:r>
        <w:rPr>
          <w:rFonts w:ascii="Times New Roman" w:cs="Times New Roman" w:eastAsia="Times New Roman" w:hAnsi="Times New Roman"/>
          <w:sz w:val="22"/>
          <w:szCs w:val="22"/>
          <w:color w:val="auto"/>
        </w:rPr>
        <w:t>%%TOTAL_SHARES_GRANTED,'999,999,999'%-% Shares</w:t>
      </w:r>
    </w:p>
    <w:p>
      <w:pPr>
        <w:spacing w:after="0" w:line="2" w:lineRule="exact"/>
        <w:rPr>
          <w:sz w:val="20"/>
          <w:szCs w:val="20"/>
          <w:color w:val="auto"/>
        </w:rPr>
      </w:pPr>
    </w:p>
    <w:p>
      <w:pPr>
        <w:ind w:right="3360"/>
        <w:spacing w:after="0" w:line="268" w:lineRule="auto"/>
        <w:rPr>
          <w:sz w:val="20"/>
          <w:szCs w:val="20"/>
          <w:color w:val="auto"/>
        </w:rPr>
      </w:pPr>
      <w:r>
        <w:rPr>
          <w:rFonts w:ascii="Times New Roman" w:cs="Times New Roman" w:eastAsia="Times New Roman" w:hAnsi="Times New Roman"/>
          <w:sz w:val="22"/>
          <w:szCs w:val="22"/>
          <w:color w:val="auto"/>
        </w:rPr>
        <w:t>%%OPTION_DATE,'Month DD, YYYY'%-%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620"/>
        <w:spacing w:after="0" w:line="250" w:lineRule="auto"/>
        <w:rPr>
          <w:sz w:val="20"/>
          <w:szCs w:val="20"/>
          <w:color w:val="auto"/>
        </w:rPr>
      </w:pPr>
      <w:r>
        <w:rPr>
          <w:rFonts w:ascii="Times New Roman" w:cs="Times New Roman" w:eastAsia="Times New Roman" w:hAnsi="Times New Roman"/>
          <w:sz w:val="22"/>
          <w:szCs w:val="22"/>
          <w:color w:val="auto"/>
        </w:rPr>
        <w:t>Subject to the terms and conditions of the Award Agreement, the Restricted Stock Units shall vest ratably on each of the first two anniversaries of the Grant Date (each, a scheduled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and each such one-year period, a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it being understood that the Vesting Period ending on the first anniversary of the Grant Date shall be further referred to as the “</w:t>
      </w:r>
      <w:r>
        <w:rPr>
          <w:rFonts w:ascii="Times New Roman" w:cs="Times New Roman" w:eastAsia="Times New Roman" w:hAnsi="Times New Roman"/>
          <w:sz w:val="22"/>
          <w:szCs w:val="22"/>
          <w:b w:val="1"/>
          <w:bCs w:val="1"/>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and the Vesting Period ending on the second anniversary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 Date shall be further referred to as the “</w:t>
      </w:r>
      <w:r>
        <w:rPr>
          <w:rFonts w:ascii="Times New Roman" w:cs="Times New Roman" w:eastAsia="Times New Roman" w:hAnsi="Times New Roman"/>
          <w:sz w:val="22"/>
          <w:szCs w:val="22"/>
          <w:b w:val="1"/>
          <w:bCs w:val="1"/>
          <w:color w:val="auto"/>
        </w:rPr>
        <w:t>Second Vesting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Participant does not experience a Termination of Service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prior to the applicable Vesting Date.</w:t>
      </w:r>
    </w:p>
    <w:p>
      <w:pPr>
        <w:spacing w:after="0" w:line="200" w:lineRule="exact"/>
        <w:rPr>
          <w:sz w:val="20"/>
          <w:szCs w:val="20"/>
          <w:color w:val="auto"/>
        </w:rPr>
      </w:pPr>
    </w:p>
    <w:p>
      <w:pPr>
        <w:sectPr>
          <w:pgSz w:w="11900" w:h="16838" w:orient="portrait"/>
          <w:cols w:equalWidth="0" w:num="2">
            <w:col w:w="2960" w:space="540"/>
            <w:col w:w="7420"/>
          </w:cols>
          <w:pgMar w:left="640" w:top="104" w:right="339" w:bottom="1440" w:gutter="0" w:footer="0" w:header="0"/>
          <w:type w:val="continuous"/>
        </w:sectPr>
      </w:pPr>
    </w:p>
    <w:p>
      <w:pPr>
        <w:spacing w:after="0" w:line="209" w:lineRule="exact"/>
        <w:rPr>
          <w:sz w:val="20"/>
          <w:szCs w:val="20"/>
          <w:color w:val="auto"/>
        </w:rPr>
      </w:pPr>
    </w:p>
    <w:p>
      <w:pPr>
        <w:ind w:left="100" w:right="1100"/>
        <w:spacing w:after="0" w:line="257" w:lineRule="auto"/>
        <w:rPr>
          <w:sz w:val="20"/>
          <w:szCs w:val="20"/>
          <w:color w:val="auto"/>
        </w:rPr>
      </w:pPr>
      <w:r>
        <w:rPr>
          <w:rFonts w:ascii="Times New Roman" w:cs="Times New Roman" w:eastAsia="Times New Roman" w:hAnsi="Times New Roman"/>
          <w:sz w:val="22"/>
          <w:szCs w:val="22"/>
          <w:color w:val="auto"/>
        </w:rPr>
        <w:t>Please review this Agreement and let us know if you have any questions about this Agreement, the Award or the Plan. You are advised to consult with your own tax advisors in respect of any tax consequences arising in connection with this Award.</w:t>
      </w:r>
    </w:p>
    <w:p>
      <w:pPr>
        <w:spacing w:after="0" w:line="213" w:lineRule="exact"/>
        <w:rPr>
          <w:sz w:val="20"/>
          <w:szCs w:val="20"/>
          <w:color w:val="auto"/>
        </w:rPr>
      </w:pPr>
    </w:p>
    <w:p>
      <w:pPr>
        <w:ind w:left="100" w:right="1060"/>
        <w:spacing w:after="0" w:line="271" w:lineRule="auto"/>
        <w:rPr>
          <w:sz w:val="20"/>
          <w:szCs w:val="20"/>
          <w:color w:val="auto"/>
        </w:rPr>
      </w:pPr>
      <w:r>
        <w:rPr>
          <w:rFonts w:ascii="Times New Roman" w:cs="Times New Roman" w:eastAsia="Times New Roman" w:hAnsi="Times New Roman"/>
          <w:sz w:val="22"/>
          <w:szCs w:val="22"/>
          <w:color w:val="auto"/>
        </w:rPr>
        <w:t xml:space="preserve">If you have questions please contact Valerie Miller Richards, the Company’s Executive Vice President of Human Resources, via email at </w:t>
      </w:r>
      <w:r>
        <w:rPr>
          <w:rFonts w:ascii="Times New Roman" w:cs="Times New Roman" w:eastAsia="Times New Roman" w:hAnsi="Times New Roman"/>
          <w:sz w:val="22"/>
          <w:szCs w:val="22"/>
          <w:u w:val="single" w:color="auto"/>
          <w:color w:val="0000FF"/>
        </w:rPr>
        <w:t>Valerie.Miller@ReynoldsBrands.com</w:t>
      </w:r>
      <w:r>
        <w:rPr>
          <w:rFonts w:ascii="Times New Roman" w:cs="Times New Roman" w:eastAsia="Times New Roman" w:hAnsi="Times New Roman"/>
          <w:sz w:val="22"/>
          <w:szCs w:val="22"/>
          <w:color w:val="auto"/>
        </w:rPr>
        <w:t>.</w:t>
      </w:r>
    </w:p>
    <w:p>
      <w:pPr>
        <w:sectPr>
          <w:pgSz w:w="11900" w:h="16838" w:orient="portrait"/>
          <w:cols w:equalWidth="0" w:num="1">
            <w:col w:w="10920"/>
          </w:cols>
          <w:pgMar w:left="640" w:top="104"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1"/>
          <w:szCs w:val="21"/>
          <w:color w:val="auto"/>
        </w:rPr>
        <w:t>Otherwise, please provide your signature, address and the date for this Agreement where indicated below.</w:t>
      </w:r>
    </w:p>
    <w:p>
      <w:pPr>
        <w:sectPr>
          <w:pgSz w:w="11900" w:h="16838" w:orient="portrait"/>
          <w:cols w:equalWidth="0" w:num="1">
            <w:col w:w="9719"/>
          </w:cols>
          <w:pgMar w:left="740" w:top="1192"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3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19" w:lineRule="exact"/>
        <w:rPr>
          <w:sz w:val="20"/>
          <w:szCs w:val="20"/>
          <w:color w:val="auto"/>
        </w:rPr>
      </w:pPr>
    </w:p>
    <w:p>
      <w:pPr>
        <w:ind w:right="440" w:firstLine="648"/>
        <w:spacing w:after="0" w:line="259" w:lineRule="auto"/>
        <w:rPr>
          <w:sz w:val="20"/>
          <w:szCs w:val="20"/>
          <w:color w:val="auto"/>
        </w:rPr>
      </w:pPr>
      <w:r>
        <w:rPr>
          <w:rFonts w:ascii="Times New Roman" w:cs="Times New Roman" w:eastAsia="Times New Roman" w:hAnsi="Times New Roman"/>
          <w:sz w:val="22"/>
          <w:szCs w:val="22"/>
          <w:color w:val="auto"/>
        </w:rPr>
        <w:t>This Restricted Stock Unit Award Agreement (together with all exhibits and appendices hereto, this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the date of the Grant Letter, is by and between the Company, and the individual listed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Letter as the Participant.</w:t>
      </w:r>
    </w:p>
    <w:p>
      <w:pPr>
        <w:spacing w:after="0" w:line="211"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hereby grants the Award to the Participant under the Plan, and the Participant hereby accepts the Award, in each case, subject to the terms and conditions of the Plan and this Agreement; and</w:t>
      </w:r>
    </w:p>
    <w:p>
      <w:pPr>
        <w:spacing w:after="0" w:line="198" w:lineRule="exact"/>
        <w:rPr>
          <w:sz w:val="20"/>
          <w:szCs w:val="20"/>
          <w:color w:val="auto"/>
        </w:rPr>
      </w:pPr>
    </w:p>
    <w:p>
      <w:pPr>
        <w:ind w:right="100" w:firstLine="648"/>
        <w:spacing w:after="0" w:line="295" w:lineRule="auto"/>
        <w:rPr>
          <w:sz w:val="20"/>
          <w:szCs w:val="20"/>
          <w:color w:val="auto"/>
        </w:rPr>
      </w:pPr>
      <w:r>
        <w:rPr>
          <w:rFonts w:ascii="Times New Roman" w:cs="Times New Roman" w:eastAsia="Times New Roman" w:hAnsi="Times New Roman"/>
          <w:sz w:val="21"/>
          <w:szCs w:val="21"/>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76"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parties hereto agree as follows.</w:t>
      </w:r>
    </w:p>
    <w:p>
      <w:pPr>
        <w:spacing w:after="0" w:line="194" w:lineRule="exact"/>
        <w:rPr>
          <w:sz w:val="20"/>
          <w:szCs w:val="20"/>
          <w:color w:val="auto"/>
        </w:rPr>
      </w:pPr>
    </w:p>
    <w:p>
      <w:pPr>
        <w:jc w:val="both"/>
        <w:ind w:right="380" w:firstLine="682"/>
        <w:spacing w:after="0" w:line="258" w:lineRule="auto"/>
        <w:tabs>
          <w:tab w:leader="none" w:pos="105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of Award</w:t>
      </w:r>
      <w:r>
        <w:rPr>
          <w:rFonts w:ascii="Times New Roman" w:cs="Times New Roman" w:eastAsia="Times New Roman" w:hAnsi="Times New Roman"/>
          <w:sz w:val="22"/>
          <w:szCs w:val="22"/>
          <w:color w:val="auto"/>
        </w:rPr>
        <w:t>. The Company hereby grants to the Participant on the Grant Date the aggregate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as set forth in the Grant Letter, subject to the terms and conditions of the Plan and this Agreement. This Award is granted under the Plan, the provisions of which are incorporated herein by reference and made a part of this Agreement.</w:t>
      </w:r>
    </w:p>
    <w:p>
      <w:pPr>
        <w:spacing w:after="0" w:line="208" w:lineRule="exact"/>
        <w:rPr>
          <w:rFonts w:ascii="Times New Roman" w:cs="Times New Roman" w:eastAsia="Times New Roman" w:hAnsi="Times New Roman"/>
          <w:sz w:val="22"/>
          <w:szCs w:val="22"/>
          <w:color w:val="auto"/>
        </w:rPr>
      </w:pPr>
    </w:p>
    <w:p>
      <w:pPr>
        <w:ind w:right="100" w:firstLine="682"/>
        <w:spacing w:after="0" w:line="275" w:lineRule="auto"/>
        <w:tabs>
          <w:tab w:leader="none" w:pos="107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RSUs</w:t>
      </w:r>
      <w:r>
        <w:rPr>
          <w:rFonts w:ascii="Times New Roman" w:cs="Times New Roman" w:eastAsia="Times New Roman" w:hAnsi="Times New Roman"/>
          <w:sz w:val="22"/>
          <w:szCs w:val="22"/>
          <w:color w:val="auto"/>
        </w:rPr>
        <w:t>. Each RSU shall represent the right to receive one Share upon the vesting of such RSU,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determined in accordance with and subject to the terms of this Agreement and the Plan.</w:t>
      </w:r>
    </w:p>
    <w:p>
      <w:pPr>
        <w:spacing w:after="0" w:line="189" w:lineRule="exact"/>
        <w:rPr>
          <w:rFonts w:ascii="Times New Roman" w:cs="Times New Roman" w:eastAsia="Times New Roman" w:hAnsi="Times New Roman"/>
          <w:sz w:val="22"/>
          <w:szCs w:val="22"/>
          <w:color w:val="auto"/>
        </w:rPr>
      </w:pPr>
    </w:p>
    <w:p>
      <w:pPr>
        <w:ind w:right="940" w:firstLine="682"/>
        <w:spacing w:after="0" w:line="275" w:lineRule="auto"/>
        <w:tabs>
          <w:tab w:leader="none" w:pos="105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and Conditions</w:t>
      </w:r>
      <w:r>
        <w:rPr>
          <w:rFonts w:ascii="Times New Roman" w:cs="Times New Roman" w:eastAsia="Times New Roman" w:hAnsi="Times New Roman"/>
          <w:sz w:val="22"/>
          <w:szCs w:val="22"/>
          <w:color w:val="auto"/>
        </w:rPr>
        <w:t>. It is understood and agreed that the Award evidenced hereby is subject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following terms and conditions:</w:t>
      </w:r>
    </w:p>
    <w:p>
      <w:pPr>
        <w:spacing w:after="0" w:line="189" w:lineRule="exact"/>
        <w:rPr>
          <w:rFonts w:ascii="Times New Roman" w:cs="Times New Roman" w:eastAsia="Times New Roman" w:hAnsi="Times New Roman"/>
          <w:sz w:val="22"/>
          <w:szCs w:val="22"/>
          <w:color w:val="auto"/>
        </w:rPr>
      </w:pPr>
    </w:p>
    <w:p>
      <w:pPr>
        <w:ind w:left="640" w:right="240" w:firstLine="568"/>
        <w:spacing w:after="0" w:line="275" w:lineRule="auto"/>
        <w:tabs>
          <w:tab w:leader="none" w:pos="165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of Award. </w:t>
      </w:r>
      <w:r>
        <w:rPr>
          <w:rFonts w:ascii="Times New Roman" w:cs="Times New Roman" w:eastAsia="Times New Roman" w:hAnsi="Times New Roman"/>
          <w:sz w:val="22"/>
          <w:szCs w:val="22"/>
          <w:color w:val="auto"/>
        </w:rPr>
        <w:t>Subject to Sections 4, 5, 6 and 11, the Award shall vest and become non-forfeitable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vesting schedule set forth in the Grant Letter.</w:t>
      </w:r>
    </w:p>
    <w:p>
      <w:pPr>
        <w:spacing w:after="0" w:line="176" w:lineRule="exact"/>
        <w:rPr>
          <w:rFonts w:ascii="Times New Roman" w:cs="Times New Roman" w:eastAsia="Times New Roman" w:hAnsi="Times New Roman"/>
          <w:sz w:val="22"/>
          <w:szCs w:val="22"/>
          <w:color w:val="auto"/>
        </w:rPr>
      </w:pPr>
    </w:p>
    <w:p>
      <w:pPr>
        <w:ind w:left="640" w:right="380" w:firstLine="568"/>
        <w:spacing w:after="0" w:line="259" w:lineRule="auto"/>
        <w:tabs>
          <w:tab w:leader="none" w:pos="166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Voting Rights. </w:t>
      </w:r>
      <w:r>
        <w:rPr>
          <w:rFonts w:ascii="Times New Roman" w:cs="Times New Roman" w:eastAsia="Times New Roman" w:hAnsi="Times New Roman"/>
          <w:sz w:val="22"/>
          <w:szCs w:val="22"/>
          <w:color w:val="auto"/>
        </w:rPr>
        <w:t>The Participant shall have no voting rights or any other rights as a shareholder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respect to the RSUs unless and until the Participant becomes the record owner of the Shares underlying such RSUs.</w:t>
      </w:r>
    </w:p>
    <w:p>
      <w:pPr>
        <w:spacing w:after="0" w:line="206" w:lineRule="exact"/>
        <w:rPr>
          <w:rFonts w:ascii="Times New Roman" w:cs="Times New Roman" w:eastAsia="Times New Roman" w:hAnsi="Times New Roman"/>
          <w:sz w:val="22"/>
          <w:szCs w:val="22"/>
          <w:color w:val="auto"/>
        </w:rPr>
      </w:pPr>
    </w:p>
    <w:p>
      <w:pPr>
        <w:ind w:left="640" w:right="120" w:firstLine="568"/>
        <w:spacing w:after="0" w:line="275" w:lineRule="auto"/>
        <w:tabs>
          <w:tab w:leader="none" w:pos="165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Cash Dividends. </w:t>
      </w:r>
      <w:r>
        <w:rPr>
          <w:rFonts w:ascii="Times New Roman" w:cs="Times New Roman" w:eastAsia="Times New Roman" w:hAnsi="Times New Roman"/>
          <w:sz w:val="22"/>
          <w:szCs w:val="22"/>
          <w:color w:val="auto"/>
        </w:rPr>
        <w:t>If a cash dividend is paid on Shares during the period commencing on the Grant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ending on the date on which the</w:t>
      </w:r>
    </w:p>
    <w:p>
      <w:pPr>
        <w:spacing w:after="0" w:line="200" w:lineRule="exact"/>
        <w:rPr>
          <w:sz w:val="20"/>
          <w:szCs w:val="20"/>
          <w:color w:val="auto"/>
        </w:rPr>
      </w:pPr>
    </w:p>
    <w:p>
      <w:pPr>
        <w:spacing w:after="0" w:line="34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640"/>
          </w:cols>
          <w:pgMar w:left="740" w:top="1418" w:right="519" w:bottom="1440" w:gutter="0" w:footer="0" w:header="0"/>
        </w:sectPr>
      </w:pPr>
    </w:p>
    <w:bookmarkStart w:id="34" w:name="page35"/>
    <w:bookmarkEnd w:id="34"/>
    <w:p>
      <w:pPr>
        <w:ind w:right="20"/>
        <w:spacing w:after="0" w:line="251" w:lineRule="auto"/>
        <w:rPr>
          <w:sz w:val="20"/>
          <w:szCs w:val="20"/>
          <w:color w:val="auto"/>
        </w:rPr>
      </w:pPr>
      <w:r>
        <w:rPr>
          <w:rFonts w:ascii="Times New Roman" w:cs="Times New Roman" w:eastAsia="Times New Roman" w:hAnsi="Times New Roman"/>
          <w:sz w:val="22"/>
          <w:szCs w:val="22"/>
          <w:color w:val="auto"/>
        </w:rPr>
        <w:t>Shares underlying the RSUs are distributed to the Participant pursuant to Section 3(d), then as of each dividend payment date, the Participant shall be credited with cash per RSU equal to the per Share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(without interest) at the same time as the RSUs to which they relate are settled.</w:t>
      </w:r>
    </w:p>
    <w:p>
      <w:pPr>
        <w:spacing w:after="0" w:line="218" w:lineRule="exact"/>
        <w:rPr>
          <w:sz w:val="20"/>
          <w:szCs w:val="20"/>
          <w:color w:val="auto"/>
        </w:rPr>
      </w:pPr>
    </w:p>
    <w:p>
      <w:pPr>
        <w:ind w:right="40" w:firstLine="568"/>
        <w:spacing w:after="0" w:line="260" w:lineRule="auto"/>
        <w:tabs>
          <w:tab w:leader="none" w:pos="102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Distribution of Shares. </w:t>
      </w:r>
      <w:r>
        <w:rPr>
          <w:rFonts w:ascii="Times New Roman" w:cs="Times New Roman" w:eastAsia="Times New Roman" w:hAnsi="Times New Roman"/>
          <w:sz w:val="21"/>
          <w:szCs w:val="21"/>
          <w:color w:val="auto"/>
        </w:rPr>
        <w:t>Subject to the provisions of this Agreement, upon the vesting of any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RSUs on the applicable Vesting Date or the Participant’s Termination of Service due to death, the Company shall settle and deliver to the Participant, as soon as reasonably practicable after such applicable Vesting Date (or in the case of the Participant’s Termination of Service due to death, such Termination of Service, as applicable), (i) one Share for each such RSU plus (ii) such cash attributable to dividends to which the Participant has become entitled under Section 3(c); provided that such settlement shall be made no later than the 15th day of the third calendar month following the applicable Vesting Date (or, in the case of the Participant’s Termination of Service due to death, the 15th day of the third calendar month following the date of the Participant’s Termination of Service due to death). Upon such delivery, such Shares shall be fully assignable, alienable, saleable and transferable by the Participant; provided that any such assignment, alienation, sale, transfer or other alienation with respect to such Shares shall be in accordance with applicable securities laws and any applicable Company policy.</w:t>
      </w:r>
    </w:p>
    <w:p>
      <w:pPr>
        <w:spacing w:after="0" w:line="213" w:lineRule="exact"/>
        <w:rPr>
          <w:rFonts w:ascii="Times New Roman" w:cs="Times New Roman" w:eastAsia="Times New Roman" w:hAnsi="Times New Roman"/>
          <w:sz w:val="21"/>
          <w:szCs w:val="21"/>
          <w:color w:val="auto"/>
        </w:rPr>
      </w:pPr>
    </w:p>
    <w:p>
      <w:pPr>
        <w:ind w:firstLine="568"/>
        <w:spacing w:after="0" w:line="248" w:lineRule="auto"/>
        <w:tabs>
          <w:tab w:leader="none" w:pos="101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Adjustment in Capitalization. </w:t>
      </w:r>
      <w:r>
        <w:rPr>
          <w:rFonts w:ascii="Times New Roman" w:cs="Times New Roman" w:eastAsia="Times New Roman" w:hAnsi="Times New Roman"/>
          <w:sz w:val="22"/>
          <w:szCs w:val="22"/>
          <w:color w:val="auto"/>
        </w:rPr>
        <w:t>In the event that, as a result of any dividend (other than ordinary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 In no event shall the Committee adjust the terms of this Agreement or the RSUs in a manner which would cause the RSUs to be subject to the provisions of Section 409A or 457A of the Code.</w:t>
      </w:r>
    </w:p>
    <w:p>
      <w:pPr>
        <w:spacing w:after="0" w:line="211" w:lineRule="exact"/>
        <w:rPr>
          <w:rFonts w:ascii="Times New Roman" w:cs="Times New Roman" w:eastAsia="Times New Roman" w:hAnsi="Times New Roman"/>
          <w:sz w:val="22"/>
          <w:szCs w:val="22"/>
          <w:color w:val="auto"/>
        </w:rPr>
      </w:pPr>
    </w:p>
    <w:p>
      <w:pPr>
        <w:ind w:firstLine="568"/>
        <w:spacing w:after="0" w:line="299" w:lineRule="auto"/>
        <w:tabs>
          <w:tab w:leader="none" w:pos="99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Restrictions on Transferability. </w:t>
      </w:r>
      <w:r>
        <w:rPr>
          <w:rFonts w:ascii="Times New Roman" w:cs="Times New Roman" w:eastAsia="Times New Roman" w:hAnsi="Times New Roman"/>
          <w:sz w:val="21"/>
          <w:szCs w:val="21"/>
          <w:color w:val="auto"/>
        </w:rPr>
        <w:t>Except as may be permitted by the Committee, neither this Award nor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right under this Award shall be assignable, alienable, saleable or transferable by the Participant otherwise than</w:t>
      </w:r>
    </w:p>
    <w:p>
      <w:pPr>
        <w:spacing w:after="0" w:line="200" w:lineRule="exact"/>
        <w:rPr>
          <w:sz w:val="20"/>
          <w:szCs w:val="20"/>
          <w:color w:val="auto"/>
        </w:rPr>
      </w:pPr>
    </w:p>
    <w:p>
      <w:pPr>
        <w:spacing w:after="0" w:line="3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880"/>
          </w:cols>
          <w:pgMar w:left="1380" w:top="1341" w:right="639" w:bottom="1440" w:gutter="0" w:footer="0" w:header="0"/>
        </w:sectPr>
      </w:pPr>
    </w:p>
    <w:bookmarkStart w:id="35" w:name="page36"/>
    <w:bookmarkEnd w:id="35"/>
    <w:p>
      <w:pPr>
        <w:jc w:val="both"/>
        <w:ind w:left="640" w:right="100"/>
        <w:spacing w:after="0" w:line="263" w:lineRule="auto"/>
        <w:rPr>
          <w:sz w:val="20"/>
          <w:szCs w:val="20"/>
          <w:color w:val="auto"/>
        </w:rPr>
      </w:pPr>
      <w:r>
        <w:rPr>
          <w:rFonts w:ascii="Times New Roman" w:cs="Times New Roman" w:eastAsia="Times New Roman" w:hAnsi="Times New Roman"/>
          <w:sz w:val="22"/>
          <w:szCs w:val="22"/>
          <w:color w:val="auto"/>
        </w:rPr>
        <w:t>by will or pursuant to the laws of descent and distribution or to a designated Beneficiary. This provision shall not apply to any portion of this Award for which Shares have been fully distributed and shall not preclude forfeiture of any portion of this Award in accordance with the terms herein.</w:t>
      </w:r>
    </w:p>
    <w:p>
      <w:pPr>
        <w:spacing w:after="0" w:line="190" w:lineRule="exact"/>
        <w:rPr>
          <w:sz w:val="20"/>
          <w:szCs w:val="20"/>
          <w:color w:val="auto"/>
        </w:rPr>
      </w:pPr>
    </w:p>
    <w:p>
      <w:pPr>
        <w:ind w:left="640" w:right="60" w:firstLine="568"/>
        <w:spacing w:after="0" w:line="258" w:lineRule="auto"/>
        <w:tabs>
          <w:tab w:leader="none" w:pos="166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Continued Service. </w:t>
      </w:r>
      <w:r>
        <w:rPr>
          <w:rFonts w:ascii="Times New Roman" w:cs="Times New Roman" w:eastAsia="Times New Roman" w:hAnsi="Times New Roman"/>
          <w:sz w:val="22"/>
          <w:szCs w:val="22"/>
          <w:color w:val="auto"/>
        </w:rPr>
        <w:t>The grant of an Award shall not be construed as giving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to be retained in the employ of, or to continue to provide services to, the Company or any of its Affiliates. The receipt of any Award under the Plan is not intended to confer any rights on the receiving Participant except as set forth in the applicable Agreement.</w:t>
      </w:r>
    </w:p>
    <w:p>
      <w:pPr>
        <w:spacing w:after="0" w:line="194" w:lineRule="exact"/>
        <w:rPr>
          <w:rFonts w:ascii="Times New Roman" w:cs="Times New Roman" w:eastAsia="Times New Roman" w:hAnsi="Times New Roman"/>
          <w:sz w:val="22"/>
          <w:szCs w:val="22"/>
          <w:color w:val="auto"/>
        </w:rPr>
      </w:pPr>
    </w:p>
    <w:p>
      <w:pPr>
        <w:ind w:left="640" w:right="280" w:firstLine="568"/>
        <w:spacing w:after="0" w:line="259" w:lineRule="auto"/>
        <w:tabs>
          <w:tab w:leader="none" w:pos="166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Future Awards. </w:t>
      </w:r>
      <w:r>
        <w:rPr>
          <w:rFonts w:ascii="Times New Roman" w:cs="Times New Roman" w:eastAsia="Times New Roman" w:hAnsi="Times New Roman"/>
          <w:sz w:val="22"/>
          <w:szCs w:val="22"/>
          <w:color w:val="auto"/>
        </w:rPr>
        <w:t>Any Award granted under the Plan shall be a one-time Award that does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constitute a promise of future grants. The Company, in its sole discretion, maintains the right to make available future grants under the Plan.</w:t>
      </w:r>
    </w:p>
    <w:p>
      <w:pPr>
        <w:spacing w:after="0" w:line="206" w:lineRule="exact"/>
        <w:rPr>
          <w:rFonts w:ascii="Times New Roman" w:cs="Times New Roman" w:eastAsia="Times New Roman" w:hAnsi="Times New Roman"/>
          <w:sz w:val="22"/>
          <w:szCs w:val="22"/>
          <w:color w:val="auto"/>
        </w:rPr>
      </w:pPr>
    </w:p>
    <w:p>
      <w:pPr>
        <w:ind w:right="460" w:firstLine="682"/>
        <w:spacing w:after="0" w:line="258" w:lineRule="auto"/>
        <w:tabs>
          <w:tab w:leader="none" w:pos="105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Service</w:t>
      </w:r>
      <w:r>
        <w:rPr>
          <w:rFonts w:ascii="Times New Roman" w:cs="Times New Roman" w:eastAsia="Times New Roman" w:hAnsi="Times New Roman"/>
          <w:sz w:val="22"/>
          <w:szCs w:val="22"/>
          <w:color w:val="auto"/>
        </w:rPr>
        <w:t>. Except as otherwise provided in Section 5, in the event of the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of Service for any reason, prior to the date on which the Award otherwise becomes vested, the unvested portion of the Award shall immediately be forfeited by the Participant and become the property of the Company, without any payment or consideration being due to the Participant.</w:t>
      </w:r>
    </w:p>
    <w:p>
      <w:pPr>
        <w:spacing w:after="0" w:line="194" w:lineRule="exact"/>
        <w:rPr>
          <w:rFonts w:ascii="Times New Roman" w:cs="Times New Roman" w:eastAsia="Times New Roman" w:hAnsi="Times New Roman"/>
          <w:sz w:val="22"/>
          <w:szCs w:val="22"/>
          <w:color w:val="auto"/>
        </w:rPr>
      </w:pPr>
    </w:p>
    <w:p>
      <w:pPr>
        <w:ind w:right="60" w:firstLine="681"/>
        <w:spacing w:after="0" w:line="258" w:lineRule="auto"/>
        <w:tabs>
          <w:tab w:leader="none" w:pos="105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Upon Termination due to Death, Retirement or Enhanced Retirement</w:t>
      </w:r>
      <w:r>
        <w:rPr>
          <w:rFonts w:ascii="Times New Roman" w:cs="Times New Roman" w:eastAsia="Times New Roman" w:hAnsi="Times New Roman"/>
          <w:sz w:val="22"/>
          <w:szCs w:val="22"/>
          <w:color w:val="auto"/>
        </w:rPr>
        <w:t>. Notwithstanding the foregoing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any other provisions of the Plan to the contrary, in the event of the Participant’s Termination of Service due to the Participant’s death, Retirement (as defined below) or Enhanced Retirement (as defined below), a pro rata portion of the Award may vest or be eligible to vest following such Termination of Service as follows:</w:t>
      </w:r>
    </w:p>
    <w:p>
      <w:pPr>
        <w:spacing w:after="0" w:line="198" w:lineRule="exact"/>
        <w:rPr>
          <w:rFonts w:ascii="Times New Roman" w:cs="Times New Roman" w:eastAsia="Times New Roman" w:hAnsi="Times New Roman"/>
          <w:sz w:val="22"/>
          <w:szCs w:val="22"/>
          <w:color w:val="auto"/>
        </w:rPr>
      </w:pPr>
    </w:p>
    <w:p>
      <w:pPr>
        <w:ind w:left="1660" w:hanging="452"/>
        <w:spacing w:after="0"/>
        <w:tabs>
          <w:tab w:leader="none" w:pos="16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200" w:right="80" w:firstLine="494"/>
        <w:spacing w:after="0" w:line="271" w:lineRule="auto"/>
        <w:tabs>
          <w:tab w:leader="none" w:pos="2106"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death prior to the first anniversary of the Grant Date, no portion of the Award shall vest.</w:t>
      </w:r>
    </w:p>
    <w:p>
      <w:pPr>
        <w:spacing w:after="0" w:line="157" w:lineRule="exact"/>
        <w:rPr>
          <w:rFonts w:ascii="Times New Roman" w:cs="Times New Roman" w:eastAsia="Times New Roman" w:hAnsi="Times New Roman"/>
          <w:sz w:val="22"/>
          <w:szCs w:val="22"/>
          <w:color w:val="auto"/>
        </w:rPr>
      </w:pPr>
    </w:p>
    <w:p>
      <w:pPr>
        <w:ind w:left="1200" w:firstLine="494"/>
        <w:spacing w:after="0" w:line="254" w:lineRule="auto"/>
        <w:tabs>
          <w:tab w:leader="none" w:pos="2166"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death following the first anniversary of the Grant Date and prior to the second anniversary of the Grant Date, as of the Participant’s Termination of Service the Participant shall vest in a number of RSUs equal to the result obtained by adding (A) the number of RSUs equal to the product of (1) the RSUs that would have vested in the Second Vesting Period had the Participant’s Termination of Service not occurred multiplied by (2) a fraction, the numerator of which is the number of full calendar months the Participant has been employed from the Grant Date through the date of termination (the “Service Months”) (for clarity and for all purposes as used in this Agreement, “full calendar months” means each full calendar</w:t>
      </w:r>
    </w:p>
    <w:p>
      <w:pPr>
        <w:spacing w:after="0" w:line="200" w:lineRule="exact"/>
        <w:rPr>
          <w:sz w:val="20"/>
          <w:szCs w:val="20"/>
          <w:color w:val="auto"/>
        </w:rPr>
      </w:pPr>
    </w:p>
    <w:p>
      <w:pPr>
        <w:spacing w:after="0" w:line="3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20"/>
          </w:cols>
          <w:pgMar w:left="740" w:top="1341" w:right="639" w:bottom="1440" w:gutter="0" w:footer="0" w:header="0"/>
        </w:sectPr>
      </w:pPr>
    </w:p>
    <w:bookmarkStart w:id="36" w:name="page37"/>
    <w:bookmarkEnd w:id="36"/>
    <w:p>
      <w:pPr>
        <w:spacing w:after="0" w:line="117" w:lineRule="exact"/>
        <w:rPr>
          <w:sz w:val="20"/>
          <w:szCs w:val="20"/>
          <w:color w:val="auto"/>
        </w:rPr>
      </w:pPr>
    </w:p>
    <w:p>
      <w:pPr>
        <w:ind w:left="500" w:right="380"/>
        <w:spacing w:after="0" w:line="271" w:lineRule="auto"/>
        <w:rPr>
          <w:sz w:val="20"/>
          <w:szCs w:val="20"/>
          <w:color w:val="auto"/>
        </w:rPr>
      </w:pPr>
      <w:r>
        <w:rPr>
          <w:rFonts w:ascii="Times New Roman" w:cs="Times New Roman" w:eastAsia="Times New Roman" w:hAnsi="Times New Roman"/>
          <w:sz w:val="22"/>
          <w:szCs w:val="22"/>
          <w:color w:val="auto"/>
        </w:rPr>
        <w:t>month after the Grant Date that ends on the numbered day immediately prior to the numbered day of the Grant Date) and the denominator of which is 24.</w:t>
      </w:r>
    </w:p>
    <w:p>
      <w:pPr>
        <w:spacing w:after="0" w:line="158" w:lineRule="exact"/>
        <w:rPr>
          <w:sz w:val="20"/>
          <w:szCs w:val="20"/>
          <w:color w:val="auto"/>
        </w:rPr>
      </w:pPr>
    </w:p>
    <w:p>
      <w:pPr>
        <w:ind w:left="500" w:firstLine="494"/>
        <w:spacing w:after="0" w:line="261" w:lineRule="auto"/>
        <w:tabs>
          <w:tab w:leader="none" w:pos="152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that vest upon the Participant’s Termination of Service pursuant to this Section 5(a) shall be distributed to the Participant pursuant to Section 3(d), and any RSUs that do not vest upon the Participant’s Termination of Service pursuant to this Section 5(a) shall be forfeited as of such Termination of Service.</w:t>
      </w:r>
    </w:p>
    <w:p>
      <w:pPr>
        <w:spacing w:after="0" w:line="168" w:lineRule="exact"/>
        <w:rPr>
          <w:rFonts w:ascii="Times New Roman" w:cs="Times New Roman" w:eastAsia="Times New Roman" w:hAnsi="Times New Roman"/>
          <w:sz w:val="22"/>
          <w:szCs w:val="22"/>
          <w:color w:val="auto"/>
        </w:rPr>
      </w:pPr>
    </w:p>
    <w:p>
      <w:pPr>
        <w:ind w:left="500" w:right="260" w:firstLine="494"/>
        <w:spacing w:after="0" w:line="271" w:lineRule="auto"/>
        <w:tabs>
          <w:tab w:leader="none" w:pos="151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98"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2022: none of such RSUs would vest.</w:t>
      </w:r>
    </w:p>
    <w:p>
      <w:pPr>
        <w:spacing w:after="0" w:line="246"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2023:</w:t>
      </w:r>
    </w:p>
    <w:p>
      <w:pPr>
        <w:spacing w:after="0" w:line="246" w:lineRule="exact"/>
        <w:rPr>
          <w:rFonts w:ascii="Times New Roman" w:cs="Times New Roman" w:eastAsia="Times New Roman" w:hAnsi="Times New Roman"/>
          <w:sz w:val="22"/>
          <w:szCs w:val="22"/>
          <w:color w:val="auto"/>
        </w:rPr>
      </w:pPr>
    </w:p>
    <w:p>
      <w:pPr>
        <w:ind w:left="2440" w:hanging="474"/>
        <w:spacing w:after="0"/>
        <w:tabs>
          <w:tab w:leader="none" w:pos="2440" w:val="left"/>
        </w:tabs>
        <w:numPr>
          <w:ilvl w:val="3"/>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600 RSUs would have already vested on February 10, 2023; and</w:t>
      </w:r>
    </w:p>
    <w:p>
      <w:pPr>
        <w:spacing w:after="0" w:line="260" w:lineRule="exact"/>
        <w:rPr>
          <w:rFonts w:ascii="Times New Roman" w:cs="Times New Roman" w:eastAsia="Times New Roman" w:hAnsi="Times New Roman"/>
          <w:sz w:val="22"/>
          <w:szCs w:val="22"/>
          <w:color w:val="auto"/>
        </w:rPr>
      </w:pPr>
    </w:p>
    <w:p>
      <w:pPr>
        <w:ind w:left="1480" w:right="300" w:firstLine="486"/>
        <w:spacing w:after="0" w:line="257" w:lineRule="auto"/>
        <w:tabs>
          <w:tab w:leader="none" w:pos="2434" w:val="left"/>
        </w:tabs>
        <w:numPr>
          <w:ilvl w:val="3"/>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600 unvested RSUs, 450 RSUs would vest at the time of death, which is the sum of the 450 RSUs that would vest related to the Second Vesting Period (600 x (18 months/24 months) = 450).</w:t>
      </w:r>
    </w:p>
    <w:p>
      <w:pPr>
        <w:spacing w:after="0" w:line="199" w:lineRule="exact"/>
        <w:rPr>
          <w:rFonts w:ascii="Times New Roman" w:cs="Times New Roman" w:eastAsia="Times New Roman" w:hAnsi="Times New Roman"/>
          <w:sz w:val="22"/>
          <w:szCs w:val="22"/>
          <w:color w:val="auto"/>
        </w:rPr>
      </w:pPr>
    </w:p>
    <w:p>
      <w:pPr>
        <w:ind w:left="980" w:hanging="472"/>
        <w:spacing w:after="0"/>
        <w:tabs>
          <w:tab w:leader="none" w:pos="9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19" w:lineRule="exact"/>
        <w:rPr>
          <w:rFonts w:ascii="Times New Roman" w:cs="Times New Roman" w:eastAsia="Times New Roman" w:hAnsi="Times New Roman"/>
          <w:sz w:val="22"/>
          <w:szCs w:val="22"/>
          <w:color w:val="auto"/>
        </w:rPr>
      </w:pPr>
    </w:p>
    <w:p>
      <w:pPr>
        <w:ind w:left="500" w:right="160" w:firstLine="494"/>
        <w:spacing w:after="0" w:line="263" w:lineRule="auto"/>
        <w:tabs>
          <w:tab w:leader="none" w:pos="140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Retirement prior to the first anniversary of the Grant Date, no portion of the Award shall vest and the Award shall be forfeited pursuant to Section 4 of this Agreement.</w:t>
      </w:r>
    </w:p>
    <w:p>
      <w:pPr>
        <w:spacing w:after="0" w:line="167" w:lineRule="exact"/>
        <w:rPr>
          <w:rFonts w:ascii="Times New Roman" w:cs="Times New Roman" w:eastAsia="Times New Roman" w:hAnsi="Times New Roman"/>
          <w:sz w:val="22"/>
          <w:szCs w:val="22"/>
          <w:color w:val="auto"/>
        </w:rPr>
      </w:pPr>
    </w:p>
    <w:p>
      <w:pPr>
        <w:ind w:left="500" w:right="20" w:firstLine="494"/>
        <w:spacing w:after="0" w:line="252" w:lineRule="auto"/>
        <w:tabs>
          <w:tab w:leader="none" w:pos="146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Retirement following the first anniversary of the Grant Date, a pro rata portion of the Award with respect to the applicable Vesting Period in which the Termination of Service occurs will vest on the first scheduled Vesting Date following such Termination of Service, which portion will equal (A) the number of RSUs that would have vested in the applicable Vesting Period in which the Termination of Service occurred had such Termination of Service not occurred, multiplied by (B) a fraction, the numerator of which is the number of full calendar months the Participant has been employed in the applicable Vesting Period through the date of termination, and the denominator of which is 12, subject to the Participant’s compliance with the Restrictive Covenant Agreement (as defined below), through such Vesting Date. For the avoidance of doubt, if the Participant violates the</w:t>
      </w:r>
    </w:p>
    <w:p>
      <w:pPr>
        <w:spacing w:after="0" w:line="200" w:lineRule="exact"/>
        <w:rPr>
          <w:sz w:val="20"/>
          <w:szCs w:val="20"/>
          <w:color w:val="auto"/>
        </w:rPr>
      </w:pPr>
    </w:p>
    <w:p>
      <w:pPr>
        <w:spacing w:after="0" w:line="3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900"/>
          </w:cols>
          <w:pgMar w:left="1440" w:top="1440" w:right="559" w:bottom="1440" w:gutter="0" w:footer="0" w:header="0"/>
        </w:sectPr>
      </w:pPr>
    </w:p>
    <w:bookmarkStart w:id="37" w:name="page38"/>
    <w:bookmarkEnd w:id="37"/>
    <w:p>
      <w:pPr>
        <w:spacing w:after="0" w:line="117" w:lineRule="exact"/>
        <w:rPr>
          <w:sz w:val="20"/>
          <w:szCs w:val="20"/>
          <w:color w:val="auto"/>
        </w:rPr>
      </w:pPr>
    </w:p>
    <w:p>
      <w:pPr>
        <w:ind w:left="500" w:right="220"/>
        <w:spacing w:after="0" w:line="271" w:lineRule="auto"/>
        <w:rPr>
          <w:sz w:val="20"/>
          <w:szCs w:val="20"/>
          <w:color w:val="auto"/>
        </w:rPr>
      </w:pPr>
      <w:r>
        <w:rPr>
          <w:rFonts w:ascii="Times New Roman" w:cs="Times New Roman" w:eastAsia="Times New Roman" w:hAnsi="Times New Roman"/>
          <w:sz w:val="22"/>
          <w:szCs w:val="22"/>
          <w:color w:val="auto"/>
        </w:rPr>
        <w:t>Restrictive Covenant Agreement, the Participant shall forfeit all outstanding, unvested RSUs as of the date of such violation.</w:t>
      </w:r>
    </w:p>
    <w:p>
      <w:pPr>
        <w:spacing w:after="0" w:line="158" w:lineRule="exact"/>
        <w:rPr>
          <w:sz w:val="20"/>
          <w:szCs w:val="20"/>
          <w:color w:val="auto"/>
        </w:rPr>
      </w:pPr>
    </w:p>
    <w:p>
      <w:pPr>
        <w:ind w:left="500" w:right="20" w:firstLine="494"/>
        <w:spacing w:after="0" w:line="263" w:lineRule="auto"/>
        <w:tabs>
          <w:tab w:leader="none" w:pos="151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RSUs that vest following the Participant’s Termination of Service pursuant to this Section 5(b) shall be distributed to the Participant pursuant to Section 3(d) and any RSUs that do not vest pursuant to this Section 5(b) shall be forfeited.</w:t>
      </w:r>
    </w:p>
    <w:p>
      <w:pPr>
        <w:spacing w:after="0" w:line="163" w:lineRule="exact"/>
        <w:rPr>
          <w:rFonts w:ascii="Times New Roman" w:cs="Times New Roman" w:eastAsia="Times New Roman" w:hAnsi="Times New Roman"/>
          <w:sz w:val="22"/>
          <w:szCs w:val="22"/>
          <w:color w:val="auto"/>
        </w:rPr>
      </w:pPr>
    </w:p>
    <w:p>
      <w:pPr>
        <w:ind w:left="500" w:right="200" w:firstLine="494"/>
        <w:spacing w:after="0" w:line="257" w:lineRule="auto"/>
        <w:tabs>
          <w:tab w:leader="none" w:pos="151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a Participant’s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xml:space="preserve"> means, with respect to any Participant, such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160" w:lineRule="exact"/>
        <w:rPr>
          <w:rFonts w:ascii="Times New Roman" w:cs="Times New Roman" w:eastAsia="Times New Roman" w:hAnsi="Times New Roman"/>
          <w:sz w:val="22"/>
          <w:szCs w:val="22"/>
          <w:color w:val="auto"/>
        </w:rPr>
      </w:pPr>
    </w:p>
    <w:p>
      <w:pPr>
        <w:ind w:left="500" w:right="360" w:firstLine="494"/>
        <w:spacing w:after="0" w:line="284" w:lineRule="auto"/>
        <w:tabs>
          <w:tab w:leader="none" w:pos="145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84"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2022: none of such RSUs would</w:t>
      </w:r>
    </w:p>
    <w:p>
      <w:pPr>
        <w:spacing w:after="0" w:line="27" w:lineRule="exact"/>
        <w:rPr>
          <w:rFonts w:ascii="Times New Roman" w:cs="Times New Roman" w:eastAsia="Times New Roman" w:hAnsi="Times New Roman"/>
          <w:sz w:val="22"/>
          <w:szCs w:val="22"/>
          <w:color w:val="auto"/>
        </w:rPr>
      </w:pPr>
    </w:p>
    <w:p>
      <w:pPr>
        <w:ind w:left="1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w:t>
      </w:r>
    </w:p>
    <w:p>
      <w:pPr>
        <w:spacing w:after="0" w:line="222"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2023:</w:t>
      </w:r>
    </w:p>
    <w:p>
      <w:pPr>
        <w:spacing w:after="0" w:line="246" w:lineRule="exact"/>
        <w:rPr>
          <w:rFonts w:ascii="Times New Roman" w:cs="Times New Roman" w:eastAsia="Times New Roman" w:hAnsi="Times New Roman"/>
          <w:sz w:val="22"/>
          <w:szCs w:val="22"/>
          <w:color w:val="auto"/>
        </w:rPr>
      </w:pPr>
    </w:p>
    <w:p>
      <w:pPr>
        <w:ind w:left="2440" w:hanging="474"/>
        <w:spacing w:after="0"/>
        <w:tabs>
          <w:tab w:leader="none" w:pos="2440" w:val="left"/>
        </w:tabs>
        <w:numPr>
          <w:ilvl w:val="3"/>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600 RSUs would have already vested on February 10, 2023; and</w:t>
      </w:r>
    </w:p>
    <w:p>
      <w:pPr>
        <w:spacing w:after="0" w:line="260" w:lineRule="exact"/>
        <w:rPr>
          <w:rFonts w:ascii="Times New Roman" w:cs="Times New Roman" w:eastAsia="Times New Roman" w:hAnsi="Times New Roman"/>
          <w:sz w:val="22"/>
          <w:szCs w:val="22"/>
          <w:color w:val="auto"/>
        </w:rPr>
      </w:pPr>
    </w:p>
    <w:p>
      <w:pPr>
        <w:ind w:left="1480" w:right="420" w:firstLine="486"/>
        <w:spacing w:after="0" w:line="271" w:lineRule="auto"/>
        <w:tabs>
          <w:tab w:leader="none" w:pos="2434" w:val="left"/>
        </w:tabs>
        <w:numPr>
          <w:ilvl w:val="3"/>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600 unvested RSUs, 300 RSUs would vest on February 10, 2024 (600 x (6 months/12 months) = 300).</w:t>
      </w:r>
    </w:p>
    <w:p>
      <w:pPr>
        <w:spacing w:after="0" w:line="184" w:lineRule="exact"/>
        <w:rPr>
          <w:rFonts w:ascii="Times New Roman" w:cs="Times New Roman" w:eastAsia="Times New Roman" w:hAnsi="Times New Roman"/>
          <w:sz w:val="22"/>
          <w:szCs w:val="22"/>
          <w:color w:val="auto"/>
        </w:rPr>
      </w:pPr>
    </w:p>
    <w:p>
      <w:pPr>
        <w:ind w:left="960" w:hanging="452"/>
        <w:spacing w:after="0"/>
        <w:tabs>
          <w:tab w:leader="none" w:pos="9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Enhanced Retirement.</w:t>
      </w:r>
    </w:p>
    <w:p>
      <w:pPr>
        <w:spacing w:after="0" w:line="219" w:lineRule="exact"/>
        <w:rPr>
          <w:rFonts w:ascii="Times New Roman" w:cs="Times New Roman" w:eastAsia="Times New Roman" w:hAnsi="Times New Roman"/>
          <w:sz w:val="22"/>
          <w:szCs w:val="22"/>
          <w:color w:val="auto"/>
        </w:rPr>
      </w:pPr>
    </w:p>
    <w:p>
      <w:pPr>
        <w:ind w:left="500" w:firstLine="494"/>
        <w:spacing w:after="0" w:line="254" w:lineRule="auto"/>
        <w:tabs>
          <w:tab w:leader="none" w:pos="140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Enhanced Retirement on or after the first anniversary of the Grant Date, the RSUs shall remain outstanding and shall vest on each regularly scheduled Vesting Date following such Termination of Service as if the Participant had remained continuously employed or providing services to the Company or its Affiliates through each such Vesting Date, subject to the Participant’s continuous compliance with the Extended Non-Compete (as defined below) through each applicable Vesting Date.</w:t>
      </w:r>
    </w:p>
    <w:p>
      <w:pPr>
        <w:spacing w:after="0" w:line="175" w:lineRule="exact"/>
        <w:rPr>
          <w:rFonts w:ascii="Times New Roman" w:cs="Times New Roman" w:eastAsia="Times New Roman" w:hAnsi="Times New Roman"/>
          <w:sz w:val="22"/>
          <w:szCs w:val="22"/>
          <w:color w:val="auto"/>
        </w:rPr>
      </w:pPr>
    </w:p>
    <w:p>
      <w:pPr>
        <w:ind w:left="500" w:right="260" w:firstLine="494"/>
        <w:spacing w:after="0" w:line="284" w:lineRule="auto"/>
        <w:tabs>
          <w:tab w:leader="none" w:pos="146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Enhanced Retirement on or after the six month anniversary of the Grant</w:t>
      </w:r>
    </w:p>
    <w:p>
      <w:pPr>
        <w:spacing w:after="0" w:line="200" w:lineRule="exact"/>
        <w:rPr>
          <w:sz w:val="20"/>
          <w:szCs w:val="20"/>
          <w:color w:val="auto"/>
        </w:rPr>
      </w:pPr>
    </w:p>
    <w:p>
      <w:pPr>
        <w:spacing w:after="0" w:line="34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940"/>
          </w:cols>
          <w:pgMar w:left="1440" w:top="1440" w:right="519" w:bottom="1440" w:gutter="0" w:footer="0" w:header="0"/>
        </w:sectPr>
      </w:pPr>
    </w:p>
    <w:bookmarkStart w:id="38" w:name="page39"/>
    <w:bookmarkEnd w:id="38"/>
    <w:p>
      <w:pPr>
        <w:spacing w:after="0" w:line="117" w:lineRule="exact"/>
        <w:rPr>
          <w:sz w:val="20"/>
          <w:szCs w:val="20"/>
          <w:color w:val="auto"/>
        </w:rPr>
      </w:pPr>
    </w:p>
    <w:p>
      <w:pPr>
        <w:ind w:left="500"/>
        <w:spacing w:after="0" w:line="251" w:lineRule="auto"/>
        <w:rPr>
          <w:sz w:val="20"/>
          <w:szCs w:val="20"/>
          <w:color w:val="auto"/>
        </w:rPr>
      </w:pPr>
      <w:r>
        <w:rPr>
          <w:rFonts w:ascii="Times New Roman" w:cs="Times New Roman" w:eastAsia="Times New Roman" w:hAnsi="Times New Roman"/>
          <w:sz w:val="22"/>
          <w:szCs w:val="22"/>
          <w:color w:val="auto"/>
        </w:rPr>
        <w:t>Date but prior to the first anniversary of the Grant Date, the Participant shall be eligible to vest in a pro rata portion of the Award on each scheduled Vesting Date following the Participant’s Retirement, subject to the Participant’s continuous compliance with the Extended Non-Compete through each applicable Vesting Date, determined as follows: (A) on the first Vesting Date following the Participant’s Termination of Service, the Participant shall vest in the number of RSUs equal to the product obtained by multiplying (1) the number of RSUs that would have vested in the First Vesting Period had the Participant’s Termination of Service not occurred, by (2) a fraction, the numerator of which is the Service Months (defined above as the number of full calendar months the Participant has been employed from the Grant Date through the date of termination) and the denominator of which is 12, and (B) on the second Vesting Date following the Participant’s Termination of Service, the Participant shall vest in the number of RSUs equal to the product obtained by multiplying (1) the number of RSUs that would have vested in the Second Vesting Period had the Participant’s Termination of Service not occurred by (2) a fraction, the numerator of which is the Service Months and the denominator of which is 24. For the avoidance of doubt, if the Participant violates the Extended Non-Compete, the Participant shall forfeit all outstanding, unvested RSUs as of the date of such violation.</w:t>
      </w:r>
    </w:p>
    <w:p>
      <w:pPr>
        <w:spacing w:after="0" w:line="189" w:lineRule="exact"/>
        <w:rPr>
          <w:sz w:val="20"/>
          <w:szCs w:val="20"/>
          <w:color w:val="auto"/>
        </w:rPr>
      </w:pPr>
    </w:p>
    <w:p>
      <w:pPr>
        <w:ind w:left="500" w:right="120" w:firstLine="494"/>
        <w:spacing w:after="0" w:line="263" w:lineRule="auto"/>
        <w:tabs>
          <w:tab w:leader="none" w:pos="151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RSUs that vest following the Participant’s Termination of Service pursuant to this Section 5(c) shall be distributed to the Participant pursuant to Section 3(d) and any RSUs that do not vest under this Section 5(c) shall be forfeited.</w:t>
      </w:r>
    </w:p>
    <w:p>
      <w:pPr>
        <w:spacing w:after="0" w:line="167" w:lineRule="exact"/>
        <w:rPr>
          <w:rFonts w:ascii="Times New Roman" w:cs="Times New Roman" w:eastAsia="Times New Roman" w:hAnsi="Times New Roman"/>
          <w:sz w:val="22"/>
          <w:szCs w:val="22"/>
          <w:color w:val="auto"/>
        </w:rPr>
      </w:pPr>
    </w:p>
    <w:p>
      <w:pPr>
        <w:ind w:left="500" w:right="180" w:firstLine="494"/>
        <w:spacing w:after="0" w:line="263" w:lineRule="auto"/>
        <w:tabs>
          <w:tab w:leader="none" w:pos="151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a Participant’s Termination of Service shall constitute an </w:t>
      </w:r>
      <w:r>
        <w:rPr>
          <w:rFonts w:ascii="Times New Roman" w:cs="Times New Roman" w:eastAsia="Times New Roman" w:hAnsi="Times New Roman"/>
          <w:sz w:val="22"/>
          <w:szCs w:val="22"/>
          <w:b w:val="1"/>
          <w:bCs w:val="1"/>
          <w:color w:val="auto"/>
        </w:rPr>
        <w:t xml:space="preserve">“Enhanced Retirement” </w:t>
      </w:r>
      <w:r>
        <w:rPr>
          <w:rFonts w:ascii="Times New Roman" w:cs="Times New Roman" w:eastAsia="Times New Roman" w:hAnsi="Times New Roman"/>
          <w:sz w:val="22"/>
          <w:szCs w:val="22"/>
          <w:color w:val="auto"/>
        </w:rPr>
        <w:t>if each of the following conditions is met, as determined by the Committee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 discretion:</w:t>
      </w:r>
    </w:p>
    <w:p>
      <w:pPr>
        <w:spacing w:after="0" w:line="194" w:lineRule="exact"/>
        <w:rPr>
          <w:rFonts w:ascii="Times New Roman" w:cs="Times New Roman" w:eastAsia="Times New Roman" w:hAnsi="Times New Roman"/>
          <w:sz w:val="22"/>
          <w:szCs w:val="22"/>
          <w:color w:val="auto"/>
        </w:rPr>
      </w:pPr>
    </w:p>
    <w:p>
      <w:pPr>
        <w:ind w:left="1000" w:right="100" w:firstLine="480"/>
        <w:spacing w:after="0" w:line="251" w:lineRule="auto"/>
        <w:tabs>
          <w:tab w:leader="none" w:pos="200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a voluntary Termination of Service at a time when the Company could not otherwise terminate such Participant’s provision of service for Cause on or after the earliest to occur of: (1) the date on which such Participant attains age 62, (2) the date on which such Participant attains age 55 and has completed 15 years of service with the Company or an Affiliate (or predecessor thereof) or (3) such Participant’s age plus years of service with the Company or an Affiliate (or predecessor thereof) totals at least 75;</w:t>
      </w:r>
    </w:p>
    <w:p>
      <w:pPr>
        <w:spacing w:after="0" w:line="221" w:lineRule="exact"/>
        <w:rPr>
          <w:rFonts w:ascii="Times New Roman" w:cs="Times New Roman" w:eastAsia="Times New Roman" w:hAnsi="Times New Roman"/>
          <w:sz w:val="22"/>
          <w:szCs w:val="22"/>
          <w:color w:val="auto"/>
        </w:rPr>
      </w:pPr>
    </w:p>
    <w:p>
      <w:pPr>
        <w:ind w:left="1000" w:right="260" w:firstLine="480"/>
        <w:spacing w:after="0" w:line="295" w:lineRule="auto"/>
        <w:tabs>
          <w:tab w:leader="none" w:pos="199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Participant’s Termination of Service, the Participant enters into an extended restrictive covenant agreement in the form provided by the Company, which agreement</w:t>
      </w:r>
    </w:p>
    <w:p>
      <w:pPr>
        <w:spacing w:after="0" w:line="200" w:lineRule="exact"/>
        <w:rPr>
          <w:sz w:val="20"/>
          <w:szCs w:val="20"/>
          <w:color w:val="auto"/>
        </w:rPr>
      </w:pPr>
    </w:p>
    <w:p>
      <w:pPr>
        <w:spacing w:after="0" w:line="3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920"/>
          </w:cols>
          <w:pgMar w:left="1440" w:top="1440" w:right="5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22"/>
          <w:szCs w:val="22"/>
          <w:color w:val="auto"/>
        </w:rPr>
        <w:t xml:space="preserve">includes good leaver provisions (such agreement, the </w:t>
      </w:r>
      <w:r>
        <w:rPr>
          <w:rFonts w:ascii="Times New Roman" w:cs="Times New Roman" w:eastAsia="Times New Roman" w:hAnsi="Times New Roman"/>
          <w:sz w:val="22"/>
          <w:szCs w:val="22"/>
          <w:b w:val="1"/>
          <w:bCs w:val="1"/>
          <w:color w:val="auto"/>
        </w:rPr>
        <w:t>“Extended Non-Compete”</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1700" w:firstLine="480"/>
        <w:spacing w:after="0" w:line="257" w:lineRule="auto"/>
        <w:tabs>
          <w:tab w:leader="none" w:pos="2690"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not eligible to receive, and does not receive, any severance payments or benefits in connection with the Participant’s Termination of Service, as determined by the Company in its sole discretion; and</w:t>
      </w:r>
    </w:p>
    <w:p>
      <w:pPr>
        <w:spacing w:after="0" w:line="199" w:lineRule="exact"/>
        <w:rPr>
          <w:rFonts w:ascii="Times New Roman" w:cs="Times New Roman" w:eastAsia="Times New Roman" w:hAnsi="Times New Roman"/>
          <w:sz w:val="22"/>
          <w:szCs w:val="22"/>
          <w:color w:val="auto"/>
        </w:rPr>
      </w:pPr>
    </w:p>
    <w:p>
      <w:pPr>
        <w:ind w:left="1700" w:right="120" w:firstLine="480"/>
        <w:spacing w:after="0" w:line="271" w:lineRule="auto"/>
        <w:tabs>
          <w:tab w:leader="none" w:pos="2702"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at least six (6) months’ advance written notice of the Participant’s retirement.</w:t>
      </w:r>
    </w:p>
    <w:p>
      <w:pPr>
        <w:spacing w:after="0" w:line="157" w:lineRule="exact"/>
        <w:rPr>
          <w:rFonts w:ascii="Times New Roman" w:cs="Times New Roman" w:eastAsia="Times New Roman" w:hAnsi="Times New Roman"/>
          <w:sz w:val="22"/>
          <w:szCs w:val="22"/>
          <w:color w:val="auto"/>
        </w:rPr>
      </w:pPr>
    </w:p>
    <w:p>
      <w:pPr>
        <w:ind w:left="1200" w:right="280" w:firstLine="494"/>
        <w:spacing w:after="0" w:line="284" w:lineRule="auto"/>
        <w:tabs>
          <w:tab w:leader="none" w:pos="215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70" w:lineRule="exact"/>
        <w:rPr>
          <w:rFonts w:ascii="Times New Roman" w:cs="Times New Roman" w:eastAsia="Times New Roman" w:hAnsi="Times New Roman"/>
          <w:sz w:val="22"/>
          <w:szCs w:val="22"/>
          <w:color w:val="auto"/>
        </w:rPr>
      </w:pPr>
    </w:p>
    <w:p>
      <w:pPr>
        <w:ind w:left="1700" w:right="420" w:firstLine="480"/>
        <w:spacing w:after="0" w:line="271" w:lineRule="auto"/>
        <w:tabs>
          <w:tab w:leader="none" w:pos="2698"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prior to August 10, 2022: none of such RSUs would vest.</w:t>
      </w:r>
    </w:p>
    <w:p>
      <w:pPr>
        <w:spacing w:after="0" w:line="198" w:lineRule="exact"/>
        <w:rPr>
          <w:rFonts w:ascii="Times New Roman" w:cs="Times New Roman" w:eastAsia="Times New Roman" w:hAnsi="Times New Roman"/>
          <w:sz w:val="22"/>
          <w:szCs w:val="22"/>
          <w:color w:val="auto"/>
        </w:rPr>
      </w:pPr>
    </w:p>
    <w:p>
      <w:pPr>
        <w:ind w:left="2680" w:hanging="500"/>
        <w:spacing w:after="0"/>
        <w:tabs>
          <w:tab w:leader="none" w:pos="268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on August 20, 2022:</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3"/>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February 10, 2023, 300 RSUs would vest (600 x 6 months / 12 months = 300); and</w:t>
      </w:r>
    </w:p>
    <w:p>
      <w:pPr>
        <w:spacing w:after="0" w:line="258" w:lineRule="exact"/>
        <w:rPr>
          <w:rFonts w:ascii="Times New Roman" w:cs="Times New Roman" w:eastAsia="Times New Roman" w:hAnsi="Times New Roman"/>
          <w:sz w:val="21"/>
          <w:szCs w:val="21"/>
          <w:color w:val="auto"/>
        </w:rPr>
      </w:pPr>
    </w:p>
    <w:p>
      <w:pPr>
        <w:ind w:left="3140" w:hanging="474"/>
        <w:spacing w:after="0"/>
        <w:tabs>
          <w:tab w:leader="none" w:pos="3140" w:val="left"/>
        </w:tabs>
        <w:numPr>
          <w:ilvl w:val="3"/>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2024, 150 RSUs would vest (600 x 6 months / 24 months = 150).</w:t>
      </w:r>
    </w:p>
    <w:p>
      <w:pPr>
        <w:spacing w:after="0" w:line="260" w:lineRule="exact"/>
        <w:rPr>
          <w:rFonts w:ascii="Times New Roman" w:cs="Times New Roman" w:eastAsia="Times New Roman" w:hAnsi="Times New Roman"/>
          <w:sz w:val="22"/>
          <w:szCs w:val="22"/>
          <w:color w:val="auto"/>
        </w:rPr>
      </w:pPr>
    </w:p>
    <w:p>
      <w:pPr>
        <w:ind w:left="2680" w:hanging="500"/>
        <w:spacing w:after="0"/>
        <w:tabs>
          <w:tab w:leader="none" w:pos="268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on or after February 10, 2023:</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3"/>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600 RSUs would have vested on February 10, 2023; and</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3"/>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2024, 600 RSUs would vest.</w:t>
      </w:r>
    </w:p>
    <w:p>
      <w:pPr>
        <w:spacing w:after="0" w:line="283" w:lineRule="exact"/>
        <w:rPr>
          <w:rFonts w:ascii="Times New Roman" w:cs="Times New Roman" w:eastAsia="Times New Roman" w:hAnsi="Times New Roman"/>
          <w:sz w:val="22"/>
          <w:szCs w:val="22"/>
          <w:color w:val="auto"/>
        </w:rPr>
      </w:pPr>
    </w:p>
    <w:p>
      <w:pPr>
        <w:ind w:right="140" w:firstLine="682"/>
        <w:spacing w:after="0" w:line="250" w:lineRule="auto"/>
        <w:tabs>
          <w:tab w:leader="none" w:pos="105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Notwithstanding any provision of this Agreement to the contrary, in the event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Change in Control, subject to the Participant’s execution and non-revocation of a customary release of claims in favor of the Company and its Affiliates prior to such Change in Control, any unvested RSUs that are outstanding as of immediately prior to such Change in Control shall immediately become fully vested and non-forfeitable and the Shares underlying such vested RSUs shall be distributed to the Participant upon such Change in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any RSUs to which Section 19 of the Plan applies because such RSUs constitute “deferred compensation” (as defined in Section 409A and 457A of the Code), if the event that constitutes such Change in Control does not also constitute a change in the ownership or effective control of the Company, or in the ownership of a substantial portion of the Company’s assets (in either case, as defined in Section 409A and 457A of the Code),</w:t>
      </w:r>
    </w:p>
    <w:p>
      <w:pPr>
        <w:spacing w:after="0" w:line="200" w:lineRule="exact"/>
        <w:rPr>
          <w:sz w:val="20"/>
          <w:szCs w:val="20"/>
          <w:color w:val="auto"/>
        </w:rPr>
      </w:pPr>
    </w:p>
    <w:p>
      <w:pPr>
        <w:spacing w:after="0" w:line="38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560"/>
          </w:cols>
          <w:pgMar w:left="740" w:top="1337" w:right="599" w:bottom="1440" w:gutter="0" w:footer="0" w:header="0"/>
        </w:sectPr>
      </w:pPr>
    </w:p>
    <w:bookmarkStart w:id="40" w:name="page41"/>
    <w:bookmarkEnd w:id="40"/>
    <w:p>
      <w:pPr>
        <w:ind w:right="180"/>
        <w:spacing w:after="0" w:line="256" w:lineRule="auto"/>
        <w:rPr>
          <w:sz w:val="20"/>
          <w:szCs w:val="20"/>
          <w:color w:val="auto"/>
        </w:rPr>
      </w:pPr>
      <w:r>
        <w:rPr>
          <w:rFonts w:ascii="Times New Roman" w:cs="Times New Roman" w:eastAsia="Times New Roman" w:hAnsi="Times New Roman"/>
          <w:sz w:val="22"/>
          <w:szCs w:val="22"/>
          <w:color w:val="auto"/>
        </w:rPr>
        <w:t>such amount shall not be distributed on such Change in Control but instead shall vest as of the date of such Change in Control and shall be paid on the applicable regularly-scheduled Vesting Date(s) set forth in this Agreement pursuant to Section 3(d), except to the extent that earlier distribution would not result in the Participant incurring any additional tax, penalty, interest or other expense under Section 409A and 457A of the Code.</w:t>
      </w:r>
    </w:p>
    <w:p>
      <w:pPr>
        <w:spacing w:after="0" w:line="199" w:lineRule="exact"/>
        <w:rPr>
          <w:sz w:val="20"/>
          <w:szCs w:val="20"/>
          <w:color w:val="auto"/>
        </w:rPr>
      </w:pPr>
    </w:p>
    <w:p>
      <w:pPr>
        <w:ind w:left="1060" w:hanging="378"/>
        <w:spacing w:after="0"/>
        <w:tabs>
          <w:tab w:leader="none" w:pos="10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Liability; Withholding Requirements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640" w:firstLine="568"/>
        <w:spacing w:after="0" w:line="256" w:lineRule="auto"/>
        <w:tabs>
          <w:tab w:leader="none" w:pos="165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be solely responsible for any applicable taxes (including, without limitation, income, payroll (such as FICA) and excise taxes) and penalties, and any interest that accrues thereon, that the Participant incurs in connection with any taxable event arising in connection with the RSUs granted hereunder and any related dividend distribution.</w:t>
      </w:r>
    </w:p>
    <w:p>
      <w:pPr>
        <w:spacing w:after="0" w:line="203" w:lineRule="exact"/>
        <w:rPr>
          <w:rFonts w:ascii="Times New Roman" w:cs="Times New Roman" w:eastAsia="Times New Roman" w:hAnsi="Times New Roman"/>
          <w:sz w:val="22"/>
          <w:szCs w:val="22"/>
          <w:color w:val="auto"/>
        </w:rPr>
      </w:pPr>
    </w:p>
    <w:p>
      <w:pPr>
        <w:ind w:left="640" w:right="20" w:firstLine="568"/>
        <w:spacing w:after="0" w:line="250" w:lineRule="auto"/>
        <w:tabs>
          <w:tab w:leader="none" w:pos="166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hereby authorizes the Company to withhold from payroll or other amounts payable to Participant (including dividend amounts accrued under Section 3(c)) any sums required to satisfy such withholding tax obligations, and otherwise agrees to satisfy such obligations in accordance with the provisions of Section 16(e) of the Plan. The Participant further authorizes and consents to the Company, or its respective agents, that all withholding tax obligations may be satisfied by having the Company or its agent withhold a number of RSUs or Shares issuable under the RSUs that have a fair market value equal to the then-outstanding amount of such withholding tax obligations, unless, only with respect to the settlement of Shares, the Participant elects prior to the settlement date such other permitted method or combination of methods to satisfy such withholding tax obligations.</w:t>
      </w:r>
    </w:p>
    <w:p>
      <w:pPr>
        <w:spacing w:after="0" w:line="202" w:lineRule="exact"/>
        <w:rPr>
          <w:rFonts w:ascii="Times New Roman" w:cs="Times New Roman" w:eastAsia="Times New Roman" w:hAnsi="Times New Roman"/>
          <w:sz w:val="22"/>
          <w:szCs w:val="22"/>
          <w:color w:val="auto"/>
        </w:rPr>
      </w:pPr>
    </w:p>
    <w:p>
      <w:pPr>
        <w:ind w:right="60" w:firstLine="682"/>
        <w:spacing w:after="0" w:line="252" w:lineRule="auto"/>
        <w:tabs>
          <w:tab w:leader="none" w:pos="105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 Salary, Pensionable Earnings or Base Pay</w:t>
      </w:r>
      <w:r>
        <w:rPr>
          <w:rFonts w:ascii="Times New Roman" w:cs="Times New Roman" w:eastAsia="Times New Roman" w:hAnsi="Times New Roman"/>
          <w:sz w:val="22"/>
          <w:szCs w:val="22"/>
          <w:color w:val="auto"/>
        </w:rPr>
        <w:t>. The Participant acknowledges that the Award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in or deemed to be a part of (a) 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215" w:lineRule="exact"/>
        <w:rPr>
          <w:rFonts w:ascii="Times New Roman" w:cs="Times New Roman" w:eastAsia="Times New Roman" w:hAnsi="Times New Roman"/>
          <w:sz w:val="22"/>
          <w:szCs w:val="22"/>
          <w:color w:val="auto"/>
        </w:rPr>
      </w:pPr>
    </w:p>
    <w:p>
      <w:pPr>
        <w:ind w:right="20" w:firstLine="682"/>
        <w:spacing w:after="0" w:line="250" w:lineRule="auto"/>
        <w:tabs>
          <w:tab w:leader="none" w:pos="105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Whistleblower Protection</w:t>
      </w:r>
      <w:r>
        <w:rPr>
          <w:rFonts w:ascii="Times New Roman" w:cs="Times New Roman" w:eastAsia="Times New Roman" w:hAnsi="Times New Roman"/>
          <w:sz w:val="22"/>
          <w:szCs w:val="22"/>
          <w:color w:val="auto"/>
        </w:rPr>
        <w:t>. The Participant has the right under federal law to certain protections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cooperating with or reporting legal violations to the SEC or its Office of the Whistleblower, as well as certain other governmental entities and self- regulatory organizations. As such, nothing in this Agreement or otherwise is intended to prohibit the Participant from disclosing this Agreement to, or from cooperating with or reporting violations to, the SEC or any such governmental entity or self-regulatory organization, and the Participant may do so without notifying the Company. The Company may not retaliate against the Participant for any of these activities, and nothing in this Agreement or otherwise requires the Participant to waive any monetary award or</w:t>
      </w:r>
    </w:p>
    <w:p>
      <w:pPr>
        <w:spacing w:after="0" w:line="200" w:lineRule="exact"/>
        <w:rPr>
          <w:sz w:val="20"/>
          <w:szCs w:val="20"/>
          <w:color w:val="auto"/>
        </w:rPr>
      </w:pPr>
    </w:p>
    <w:p>
      <w:pPr>
        <w:spacing w:after="0" w:line="38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560"/>
          </w:cols>
          <w:pgMar w:left="740" w:top="1381" w:right="599" w:bottom="1440" w:gutter="0" w:footer="0" w:header="0"/>
        </w:sectPr>
      </w:pPr>
    </w:p>
    <w:bookmarkStart w:id="41" w:name="page42"/>
    <w:bookmarkEnd w:id="41"/>
    <w:p>
      <w:pPr>
        <w:ind w:right="760"/>
        <w:spacing w:after="0" w:line="271" w:lineRule="auto"/>
        <w:rPr>
          <w:sz w:val="20"/>
          <w:szCs w:val="20"/>
          <w:color w:val="auto"/>
        </w:rPr>
      </w:pPr>
      <w:r>
        <w:rPr>
          <w:rFonts w:ascii="Times New Roman" w:cs="Times New Roman" w:eastAsia="Times New Roman" w:hAnsi="Times New Roman"/>
          <w:sz w:val="22"/>
          <w:szCs w:val="22"/>
          <w:color w:val="auto"/>
        </w:rPr>
        <w:t>other payment that the Participant might become entitled to from the SEC or any such governmental entity or self-regulatory organization.</w:t>
      </w:r>
    </w:p>
    <w:p>
      <w:pPr>
        <w:spacing w:after="0" w:line="262" w:lineRule="exact"/>
        <w:rPr>
          <w:sz w:val="20"/>
          <w:szCs w:val="20"/>
          <w:color w:val="auto"/>
        </w:rPr>
      </w:pPr>
    </w:p>
    <w:p>
      <w:pPr>
        <w:ind w:right="420" w:firstLine="574"/>
        <w:spacing w:after="0" w:line="299" w:lineRule="auto"/>
        <w:tabs>
          <w:tab w:leader="none" w:pos="105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 The Company’s obligations under this Agreement is conditioned on the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signing a Restrictive Covenant Agreement in the form of Schedule A (the “</w:t>
      </w:r>
      <w:r>
        <w:rPr>
          <w:rFonts w:ascii="Times New Roman" w:cs="Times New Roman" w:eastAsia="Times New Roman" w:hAnsi="Times New Roman"/>
          <w:sz w:val="21"/>
          <w:szCs w:val="21"/>
          <w:b w:val="1"/>
          <w:bCs w:val="1"/>
          <w:color w:val="auto"/>
        </w:rPr>
        <w:t>Restrictive Covenant Agreement</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ind w:right="520" w:firstLine="574"/>
        <w:spacing w:after="0" w:line="256" w:lineRule="auto"/>
        <w:tabs>
          <w:tab w:leader="none" w:pos="105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Recoupment/Clawback</w:t>
      </w:r>
      <w:r>
        <w:rPr>
          <w:rFonts w:ascii="Times New Roman" w:cs="Times New Roman" w:eastAsia="Times New Roman" w:hAnsi="Times New Roman"/>
          <w:sz w:val="22"/>
          <w:szCs w:val="22"/>
          <w:color w:val="auto"/>
        </w:rPr>
        <w:t>. This Award (including any amounts or benefits arising from this Award)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recoupment or “clawback” as may be</w:t>
      </w:r>
    </w:p>
    <w:p>
      <w:pPr>
        <w:spacing w:after="0" w:line="1" w:lineRule="exact"/>
        <w:rPr>
          <w:rFonts w:ascii="Times New Roman" w:cs="Times New Roman" w:eastAsia="Times New Roman" w:hAnsi="Times New Roman"/>
          <w:sz w:val="22"/>
          <w:szCs w:val="22"/>
          <w:color w:val="auto"/>
        </w:rPr>
      </w:pPr>
    </w:p>
    <w:p>
      <w:pPr>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by applicable law, stock exchange rules or by any applicable Company policy or arrangement the Company has in place from time to time.</w:t>
      </w:r>
    </w:p>
    <w:p>
      <w:pPr>
        <w:spacing w:after="0" w:line="218" w:lineRule="exact"/>
        <w:rPr>
          <w:rFonts w:ascii="Times New Roman" w:cs="Times New Roman" w:eastAsia="Times New Roman" w:hAnsi="Times New Roman"/>
          <w:sz w:val="22"/>
          <w:szCs w:val="22"/>
          <w:color w:val="auto"/>
        </w:rPr>
      </w:pPr>
    </w:p>
    <w:p>
      <w:pPr>
        <w:ind w:right="40" w:firstLine="574"/>
        <w:spacing w:after="0" w:line="265" w:lineRule="auto"/>
        <w:tabs>
          <w:tab w:leader="none" w:pos="105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References</w:t>
      </w:r>
      <w:r>
        <w:rPr>
          <w:rFonts w:ascii="Times New Roman" w:cs="Times New Roman" w:eastAsia="Times New Roman" w:hAnsi="Times New Roman"/>
          <w:sz w:val="22"/>
          <w:szCs w:val="22"/>
          <w:color w:val="auto"/>
        </w:rPr>
        <w:t>. References herein to rights and obligations of the Participant shall apply, where appropriate,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legal representative or estate without regard to whether specific reference to such legal representative or estate is contained in a particular provision of this Agreement.</w:t>
      </w:r>
    </w:p>
    <w:p>
      <w:pPr>
        <w:spacing w:after="0" w:line="188" w:lineRule="exact"/>
        <w:rPr>
          <w:rFonts w:ascii="Times New Roman" w:cs="Times New Roman" w:eastAsia="Times New Roman" w:hAnsi="Times New Roman"/>
          <w:sz w:val="22"/>
          <w:szCs w:val="22"/>
          <w:color w:val="auto"/>
        </w:rPr>
      </w:pPr>
    </w:p>
    <w:p>
      <w:pPr>
        <w:ind w:left="1060" w:hanging="486"/>
        <w:spacing w:after="0"/>
        <w:tabs>
          <w:tab w:leader="none" w:pos="10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640" w:right="460" w:firstLine="568"/>
        <w:spacing w:after="0" w:line="274" w:lineRule="auto"/>
        <w:tabs>
          <w:tab w:leader="none" w:pos="1654"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Notices. </w:t>
      </w:r>
      <w:r>
        <w:rPr>
          <w:rFonts w:ascii="Times New Roman" w:cs="Times New Roman" w:eastAsia="Times New Roman" w:hAnsi="Times New Roman"/>
          <w:sz w:val="21"/>
          <w:szCs w:val="21"/>
          <w:color w:val="auto"/>
        </w:rPr>
        <w:t>Any notice required or permitted to be given under this Agreement shall be in writing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Reynolds Consumer Products Inc. 1900 W. Field Court</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Lake Forest, Illinois 60045 Attention: Valerie Miller Richards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Valerie.Miller@ReynoldsBrands.com</w:t>
      </w: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Participant:</w:t>
      </w:r>
    </w:p>
    <w:p>
      <w:pPr>
        <w:spacing w:after="0" w:line="260" w:lineRule="exact"/>
        <w:rPr>
          <w:sz w:val="20"/>
          <w:szCs w:val="20"/>
          <w:color w:val="auto"/>
        </w:rPr>
      </w:pPr>
    </w:p>
    <w:p>
      <w:pPr>
        <w:ind w:left="1300" w:right="300"/>
        <w:spacing w:after="0" w:line="257" w:lineRule="auto"/>
        <w:rPr>
          <w:sz w:val="20"/>
          <w:szCs w:val="20"/>
          <w:color w:val="auto"/>
        </w:rPr>
      </w:pPr>
      <w:r>
        <w:rPr>
          <w:rFonts w:ascii="Times New Roman" w:cs="Times New Roman" w:eastAsia="Times New Roman" w:hAnsi="Times New Roman"/>
          <w:sz w:val="22"/>
          <w:szCs w:val="22"/>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344" w:lineRule="exact"/>
        <w:rPr>
          <w:sz w:val="20"/>
          <w:szCs w:val="20"/>
          <w:color w:val="auto"/>
        </w:rPr>
      </w:pPr>
    </w:p>
    <w:p>
      <w:pPr>
        <w:ind w:left="640" w:right="100" w:firstLine="730"/>
        <w:spacing w:after="0" w:line="253" w:lineRule="auto"/>
        <w:tabs>
          <w:tab w:leader="none" w:pos="18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Entire Agreement. </w:t>
      </w:r>
      <w:r>
        <w:rPr>
          <w:rFonts w:ascii="Times New Roman" w:cs="Times New Roman" w:eastAsia="Times New Roman" w:hAnsi="Times New Roman"/>
          <w:sz w:val="22"/>
          <w:szCs w:val="22"/>
          <w:color w:val="auto"/>
        </w:rPr>
        <w:t>This Agreement, the Plan and any other agreements, schedules, exhibits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referred to herein or therein constitute the entire agreement and understanding between the parties in respect of the subject matter hereof and supersede all prior and contemporaneous arrangements, agreements and understandings, both oral and written, whether in</w:t>
      </w:r>
    </w:p>
    <w:p>
      <w:pPr>
        <w:spacing w:after="0" w:line="200" w:lineRule="exact"/>
        <w:rPr>
          <w:sz w:val="20"/>
          <w:szCs w:val="20"/>
          <w:color w:val="auto"/>
        </w:rPr>
      </w:pPr>
    </w:p>
    <w:p>
      <w:pPr>
        <w:spacing w:after="0" w:line="38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640"/>
          </w:cols>
          <w:pgMar w:left="740" w:top="1341" w:right="519" w:bottom="1440" w:gutter="0" w:footer="0" w:header="0"/>
        </w:sectPr>
      </w:pPr>
    </w:p>
    <w:bookmarkStart w:id="42" w:name="page43"/>
    <w:bookmarkEnd w:id="42"/>
    <w:p>
      <w:pPr>
        <w:ind w:right="80"/>
        <w:spacing w:after="0" w:line="250" w:lineRule="auto"/>
        <w:rPr>
          <w:sz w:val="20"/>
          <w:szCs w:val="20"/>
          <w:color w:val="auto"/>
        </w:rPr>
      </w:pPr>
      <w:r>
        <w:rPr>
          <w:rFonts w:ascii="Times New Roman" w:cs="Times New Roman" w:eastAsia="Times New Roman" w:hAnsi="Times New Roman"/>
          <w:sz w:val="22"/>
          <w:szCs w:val="22"/>
          <w:color w:val="auto"/>
        </w:rPr>
        <w:t>term sheets, presentations or otherwise, between the parties with respect to the subject matter hereof, provided that the restrictions set forth in this Agreement are in addition to, not in lieu of, any other obligation and/or restriction that the Participant may have with respect to the Company or any of its Affiliates, whether by operation of law, contract, or otherwise, including, without limitation, any non- solicitation obligations contained in an employment agreement, consulting agreement or other similar agreement entered into by and between the Participant and the Company or one of its Affiliates, which shall survive the termination of any such agreements, and be enforceable independently of such other agreements.</w:t>
      </w:r>
    </w:p>
    <w:p>
      <w:pPr>
        <w:spacing w:after="0" w:line="352" w:lineRule="exact"/>
        <w:rPr>
          <w:sz w:val="20"/>
          <w:szCs w:val="20"/>
          <w:color w:val="auto"/>
        </w:rPr>
      </w:pPr>
    </w:p>
    <w:p>
      <w:pPr>
        <w:ind w:firstLine="730"/>
        <w:spacing w:after="0" w:line="251" w:lineRule="auto"/>
        <w:tabs>
          <w:tab w:leader="none" w:pos="117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Sections 409A and 457A of the Code. </w:t>
      </w:r>
      <w:r>
        <w:rPr>
          <w:rFonts w:ascii="Times New Roman" w:cs="Times New Roman" w:eastAsia="Times New Roman" w:hAnsi="Times New Roman"/>
          <w:sz w:val="22"/>
          <w:szCs w:val="22"/>
          <w:color w:val="auto"/>
        </w:rPr>
        <w:t>For the avoidance of doubt, to the extent that this Award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Section 409A and/or Section 457A of the Code, the Award is intended to comply with the requirements of Sections 409A and 457A of the Code, and the provisions of the Award shall be interpreted in a manner that satisfies the requirements of Sections 409A and 457A of the Code. Section 19 of the Plan is hereby incorporated by reference.</w:t>
      </w:r>
    </w:p>
    <w:p>
      <w:pPr>
        <w:spacing w:after="0" w:line="351" w:lineRule="exact"/>
        <w:rPr>
          <w:rFonts w:ascii="Times New Roman" w:cs="Times New Roman" w:eastAsia="Times New Roman" w:hAnsi="Times New Roman"/>
          <w:sz w:val="22"/>
          <w:szCs w:val="22"/>
          <w:color w:val="auto"/>
        </w:rPr>
      </w:pPr>
    </w:p>
    <w:p>
      <w:pPr>
        <w:ind w:right="20" w:firstLine="730"/>
        <w:spacing w:after="0" w:line="252" w:lineRule="auto"/>
        <w:tabs>
          <w:tab w:leader="none" w:pos="11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or 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336" w:lineRule="exact"/>
        <w:rPr>
          <w:rFonts w:ascii="Times New Roman" w:cs="Times New Roman" w:eastAsia="Times New Roman" w:hAnsi="Times New Roman"/>
          <w:sz w:val="22"/>
          <w:szCs w:val="22"/>
          <w:color w:val="auto"/>
        </w:rPr>
      </w:pPr>
    </w:p>
    <w:p>
      <w:pPr>
        <w:ind w:firstLine="730"/>
        <w:spacing w:after="0" w:line="249" w:lineRule="auto"/>
        <w:tabs>
          <w:tab w:leader="none" w:pos="117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 Waiver. </w:t>
      </w:r>
      <w:r>
        <w:rPr>
          <w:rFonts w:ascii="Times New Roman" w:cs="Times New Roman" w:eastAsia="Times New Roman" w:hAnsi="Times New Roman"/>
          <w:sz w:val="22"/>
          <w:szCs w:val="22"/>
          <w:color w:val="auto"/>
        </w:rPr>
        <w:t>No amendment or modification of any provision of this Agreement that has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adverse effect on the Participant shall be effective unless signed in writing by or on behalf of the Company and the Participant; provided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357" w:lineRule="exact"/>
        <w:rPr>
          <w:rFonts w:ascii="Times New Roman" w:cs="Times New Roman" w:eastAsia="Times New Roman" w:hAnsi="Times New Roman"/>
          <w:sz w:val="22"/>
          <w:szCs w:val="22"/>
          <w:color w:val="auto"/>
        </w:rPr>
      </w:pPr>
    </w:p>
    <w:p>
      <w:pPr>
        <w:ind w:right="60" w:firstLine="730"/>
        <w:spacing w:after="0" w:line="275" w:lineRule="auto"/>
        <w:tabs>
          <w:tab w:leader="none" w:pos="115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w:t>
      </w:r>
      <w:r>
        <w:rPr>
          <w:rFonts w:ascii="Times New Roman" w:cs="Times New Roman" w:eastAsia="Times New Roman" w:hAnsi="Times New Roman"/>
          <w:sz w:val="22"/>
          <w:szCs w:val="22"/>
          <w:color w:val="auto"/>
        </w:rPr>
        <w:t>. Neither this Agreement nor any right, remedy, obligation or liability arising hereunder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reason hereof shall be assignable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000"/>
          </w:cols>
          <w:pgMar w:left="1380" w:top="1408" w:right="519" w:bottom="1440" w:gutter="0" w:footer="0" w:header="0"/>
        </w:sectPr>
      </w:pPr>
    </w:p>
    <w:bookmarkStart w:id="43" w:name="page44"/>
    <w:bookmarkEnd w:id="43"/>
    <w:p>
      <w:pPr>
        <w:jc w:val="both"/>
        <w:ind w:left="-60" w:right="220" w:firstLine="730"/>
        <w:spacing w:after="0" w:line="269" w:lineRule="auto"/>
        <w:tabs>
          <w:tab w:leader="none" w:pos="1128"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Successors and Assigns; No Third-Party Beneficiaries. </w:t>
      </w:r>
      <w:r>
        <w:rPr>
          <w:rFonts w:ascii="Times New Roman" w:cs="Times New Roman" w:eastAsia="Times New Roman" w:hAnsi="Times New Roman"/>
          <w:sz w:val="21"/>
          <w:szCs w:val="21"/>
          <w:color w:val="auto"/>
        </w:rPr>
        <w:t>This Agreement shall inure to the benefit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be binding upon the Company 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pacing w:after="0" w:line="320" w:lineRule="exact"/>
        <w:rPr>
          <w:rFonts w:ascii="Times New Roman" w:cs="Times New Roman" w:eastAsia="Times New Roman" w:hAnsi="Times New Roman"/>
          <w:sz w:val="21"/>
          <w:szCs w:val="21"/>
          <w:color w:val="auto"/>
        </w:rPr>
      </w:pPr>
    </w:p>
    <w:p>
      <w:pPr>
        <w:ind w:left="-60" w:right="80" w:firstLine="730"/>
        <w:spacing w:after="0" w:line="252" w:lineRule="auto"/>
        <w:tabs>
          <w:tab w:leader="none" w:pos="112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Governing Law; Waiver of Jury Trial. </w:t>
      </w:r>
      <w:r>
        <w:rPr>
          <w:rFonts w:ascii="Times New Roman" w:cs="Times New Roman" w:eastAsia="Times New Roman" w:hAnsi="Times New Roman"/>
          <w:sz w:val="22"/>
          <w:szCs w:val="22"/>
          <w:color w:val="auto"/>
        </w:rPr>
        <w:t>This Agreement shall be governed by the laws of the State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Delaware, without application of the 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350" w:lineRule="exact"/>
        <w:rPr>
          <w:rFonts w:ascii="Times New Roman" w:cs="Times New Roman" w:eastAsia="Times New Roman" w:hAnsi="Times New Roman"/>
          <w:sz w:val="22"/>
          <w:szCs w:val="22"/>
          <w:color w:val="auto"/>
        </w:rPr>
      </w:pPr>
    </w:p>
    <w:p>
      <w:pPr>
        <w:ind w:left="-60" w:firstLine="730"/>
        <w:spacing w:after="0" w:line="247" w:lineRule="auto"/>
        <w:tabs>
          <w:tab w:leader="none" w:pos="108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Dispute Resolution. </w:t>
      </w:r>
      <w:r>
        <w:rPr>
          <w:rFonts w:ascii="Times New Roman" w:cs="Times New Roman" w:eastAsia="Times New Roman" w:hAnsi="Times New Roman"/>
          <w:sz w:val="22"/>
          <w:szCs w:val="22"/>
          <w:color w:val="auto"/>
        </w:rPr>
        <w:t>Any dispute or claim arising out of, under or in connection with the Plan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Agreement shall be submitted to arbitration in Delaware and shall be conducted in accordance with the rules of, but not necessarily under the auspices of,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rules in force when the notice of arbitration is submitted. The arbitration shall be conducted before an arbitration tribunal comprised of one individual, mutually selected by the Company and the Participant, such selection to be made within 30 calendar days after notice of arbitration has been given. In the event the parties are unable to agree in such time, AAA will provide a list of three available arbitrators and an arbitrator will be selected from such three- 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351" w:lineRule="exact"/>
        <w:rPr>
          <w:rFonts w:ascii="Times New Roman" w:cs="Times New Roman" w:eastAsia="Times New Roman" w:hAnsi="Times New Roman"/>
          <w:sz w:val="22"/>
          <w:szCs w:val="22"/>
          <w:color w:val="auto"/>
        </w:rPr>
      </w:pPr>
    </w:p>
    <w:p>
      <w:pPr>
        <w:ind w:left="-60" w:right="100" w:firstLine="730"/>
        <w:spacing w:after="0" w:line="269" w:lineRule="auto"/>
        <w:tabs>
          <w:tab w:leader="none" w:pos="108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Participant Undertaking; Acceptance. </w:t>
      </w:r>
      <w:r>
        <w:rPr>
          <w:rFonts w:ascii="Times New Roman" w:cs="Times New Roman" w:eastAsia="Times New Roman" w:hAnsi="Times New Roman"/>
          <w:sz w:val="21"/>
          <w:szCs w:val="21"/>
          <w:color w:val="auto"/>
        </w:rPr>
        <w:t>The Participant agrees to take whatever additional action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execute whatever additional 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w:t>
      </w:r>
    </w:p>
    <w:p>
      <w:pPr>
        <w:spacing w:after="0" w:line="200" w:lineRule="exact"/>
        <w:rPr>
          <w:sz w:val="20"/>
          <w:szCs w:val="20"/>
          <w:color w:val="auto"/>
        </w:rPr>
      </w:pPr>
    </w:p>
    <w:p>
      <w:pPr>
        <w:spacing w:after="0" w:line="3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9940"/>
          </w:cols>
          <w:pgMar w:left="1440" w:top="1404" w:right="519" w:bottom="1440" w:gutter="0" w:footer="0" w:header="0"/>
        </w:sectPr>
      </w:pPr>
    </w:p>
    <w:bookmarkStart w:id="44" w:name="page45"/>
    <w:bookmarkEnd w:id="44"/>
    <w:p>
      <w:pPr>
        <w:ind w:right="820"/>
        <w:spacing w:after="0" w:line="271" w:lineRule="auto"/>
        <w:rPr>
          <w:sz w:val="20"/>
          <w:szCs w:val="20"/>
          <w:color w:val="auto"/>
        </w:rPr>
      </w:pPr>
      <w:r>
        <w:rPr>
          <w:rFonts w:ascii="Times New Roman" w:cs="Times New Roman" w:eastAsia="Times New Roman" w:hAnsi="Times New Roman"/>
          <w:sz w:val="22"/>
          <w:szCs w:val="22"/>
          <w:color w:val="auto"/>
        </w:rPr>
        <w:t>thereto are set forth in the Plan. The Participant has read carefully, and understands, the provisions of this Agreement and the Plan.</w:t>
      </w:r>
    </w:p>
    <w:p>
      <w:pPr>
        <w:spacing w:after="0" w:line="19" w:lineRule="exact"/>
        <w:rPr>
          <w:sz w:val="20"/>
          <w:szCs w:val="20"/>
          <w:color w:val="auto"/>
        </w:rPr>
      </w:pPr>
    </w:p>
    <w:p>
      <w:pPr>
        <w:ind w:firstLine="730"/>
        <w:spacing w:after="0" w:line="275" w:lineRule="auto"/>
        <w:tabs>
          <w:tab w:leader="none" w:pos="118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Captions. </w:t>
      </w:r>
      <w:r>
        <w:rPr>
          <w:rFonts w:ascii="Times New Roman" w:cs="Times New Roman" w:eastAsia="Times New Roman" w:hAnsi="Times New Roman"/>
          <w:sz w:val="22"/>
          <w:szCs w:val="22"/>
          <w:color w:val="auto"/>
        </w:rPr>
        <w:t>Captions provided herein are for convenience only and shall not affect the scope, meaning,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intent or interpretation of the provisions of this Award Agreement.</w:t>
      </w:r>
    </w:p>
    <w:p>
      <w:pPr>
        <w:spacing w:after="0" w:line="311" w:lineRule="exact"/>
        <w:rPr>
          <w:rFonts w:ascii="Times New Roman" w:cs="Times New Roman" w:eastAsia="Times New Roman" w:hAnsi="Times New Roman"/>
          <w:sz w:val="22"/>
          <w:szCs w:val="22"/>
          <w:color w:val="auto"/>
        </w:rPr>
      </w:pPr>
    </w:p>
    <w:p>
      <w:pPr>
        <w:ind w:right="220" w:firstLine="730"/>
        <w:spacing w:after="0" w:line="275" w:lineRule="auto"/>
        <w:tabs>
          <w:tab w:leader="none" w:pos="11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Counterparts. </w:t>
      </w:r>
      <w:r>
        <w:rPr>
          <w:rFonts w:ascii="Times New Roman" w:cs="Times New Roman" w:eastAsia="Times New Roman" w:hAnsi="Times New Roman"/>
          <w:sz w:val="22"/>
          <w:szCs w:val="22"/>
          <w:color w:val="auto"/>
        </w:rPr>
        <w:t>This Agreement may be executed in two counterparts, each of which shall constitute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one and the same instrument.</w:t>
      </w:r>
    </w:p>
    <w:p>
      <w:pPr>
        <w:spacing w:after="0" w:line="19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9940"/>
          </w:cols>
          <w:pgMar w:left="1380" w:top="1408" w:right="579"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00" w:lineRule="exact"/>
        <w:rPr>
          <w:sz w:val="20"/>
          <w:szCs w:val="20"/>
          <w:color w:val="auto"/>
        </w:rPr>
      </w:pPr>
    </w:p>
    <w:p>
      <w:pPr>
        <w:spacing w:after="0" w:line="3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REYNOLDS CONSUMER PRODUCTS</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INC.</w:t>
      </w:r>
    </w:p>
    <w:p>
      <w:pPr>
        <w:spacing w:after="0" w:line="1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27940</wp:posOffset>
            </wp:positionV>
            <wp:extent cx="24771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Scott E. Huckins</w:t>
      </w:r>
    </w:p>
    <w:p>
      <w:pPr>
        <w:spacing w:after="0" w:line="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ectPr>
          <w:pgSz w:w="11900" w:h="16838" w:orient="portrait"/>
          <w:cols w:equalWidth="0" w:num="1">
            <w:col w:w="10240"/>
          </w:cols>
          <w:pgMar w:left="420" w:top="1408" w:right="1239" w:bottom="1440" w:gutter="0" w:footer="0" w:header="0"/>
        </w:sectPr>
      </w:pPr>
    </w:p>
    <w:bookmarkStart w:id="46" w:name="page47"/>
    <w:bookmarkEnd w:id="46"/>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%%FIRST_NAME_MIDDLE_NAME_LAST_NAME%-%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ectPr>
          <w:pgSz w:w="11900" w:h="16838" w:orient="portrait"/>
          <w:cols w:equalWidth="0" w:num="2">
            <w:col w:w="320" w:space="260"/>
            <w:col w:w="9459"/>
          </w:cols>
          <w:pgMar w:left="420" w:top="1188"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Address: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%%ADDRESS_LINE_1%-%</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%%ADDRESS_LINE_2%-%</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%%CITY_STATE_ZIPCODE%-%</w:t>
      </w:r>
    </w:p>
    <w:p>
      <w:pPr>
        <w:sectPr>
          <w:pgSz w:w="11900" w:h="16838" w:orient="portrait"/>
          <w:cols w:equalWidth="0" w:num="1">
            <w:col w:w="10039"/>
          </w:cols>
          <w:pgMar w:left="420" w:top="1188" w:right="1440"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NOTICE OF RESTRICTED STOCK UNIT AWARD</w:t>
      </w:r>
    </w:p>
    <w:p>
      <w:pPr>
        <w:spacing w:after="0" w:line="1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%%OPTION_DATE,'Month DD, YYYY'%-%</w:t>
      </w:r>
    </w:p>
    <w:p>
      <w:pPr>
        <w:spacing w:after="0" w:line="243" w:lineRule="exact"/>
        <w:rPr>
          <w:sz w:val="20"/>
          <w:szCs w:val="20"/>
          <w:color w:val="auto"/>
        </w:rPr>
      </w:pPr>
    </w:p>
    <w:p>
      <w:pPr>
        <w:ind w:left="100" w:right="260"/>
        <w:spacing w:after="0" w:line="252" w:lineRule="auto"/>
        <w:rPr>
          <w:sz w:val="20"/>
          <w:szCs w:val="20"/>
          <w:color w:val="auto"/>
        </w:rPr>
      </w:pPr>
      <w:r>
        <w:rPr>
          <w:rFonts w:ascii="Times New Roman" w:cs="Times New Roman" w:eastAsia="Times New Roman" w:hAnsi="Times New Roman"/>
          <w:sz w:val="22"/>
          <w:szCs w:val="22"/>
          <w:color w:val="auto"/>
        </w:rPr>
        <w:t>Reynolds Consumer Products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granted the Participant, effective as of the Grant Date (as set forth below), a Restricted Stock Unit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under the Reynolds Consumer Products Inc. Equity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Award is subject to the terms and conditions set forth in this award grant letter (this “</w:t>
      </w:r>
      <w:r>
        <w:rPr>
          <w:rFonts w:ascii="Times New Roman" w:cs="Times New Roman" w:eastAsia="Times New Roman" w:hAnsi="Times New Roman"/>
          <w:sz w:val="22"/>
          <w:szCs w:val="22"/>
          <w:b w:val="1"/>
          <w:bCs w:val="1"/>
          <w:color w:val="auto"/>
        </w:rPr>
        <w:t>Grant Letter</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all exhibits and appendices thereto)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together with this Grant Letter,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ind w:left="100" w:right="240"/>
        <w:spacing w:after="0" w:line="263" w:lineRule="auto"/>
        <w:rPr>
          <w:sz w:val="20"/>
          <w:szCs w:val="20"/>
          <w:color w:val="auto"/>
        </w:rPr>
      </w:pPr>
      <w:r>
        <w:rPr>
          <w:rFonts w:ascii="Times New Roman" w:cs="Times New Roman" w:eastAsia="Times New Roman" w:hAnsi="Times New Roman"/>
          <w:sz w:val="22"/>
          <w:szCs w:val="22"/>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ectPr>
          <w:pgSz w:w="11900" w:h="16838" w:orient="portrait"/>
          <w:cols w:equalWidth="0" w:num="1">
            <w:col w:w="10920"/>
          </w:cols>
          <w:pgMar w:left="64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Number Restricted Stock Units: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22"/>
          <w:szCs w:val="22"/>
          <w:b w:val="1"/>
          <w:bCs w:val="1"/>
          <w:color w:val="auto"/>
        </w:rPr>
        <w:t>AWARD TERMS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%%FIRST_NAME_LAST_NAME%-%</w:t>
      </w:r>
    </w:p>
    <w:p>
      <w:pPr>
        <w:spacing w:after="0" w:line="44" w:lineRule="exact"/>
        <w:rPr>
          <w:sz w:val="20"/>
          <w:szCs w:val="20"/>
          <w:color w:val="auto"/>
        </w:rPr>
      </w:pPr>
    </w:p>
    <w:p>
      <w:pPr>
        <w:ind w:right="2640"/>
        <w:spacing w:after="0" w:line="268" w:lineRule="auto"/>
        <w:rPr>
          <w:sz w:val="20"/>
          <w:szCs w:val="20"/>
          <w:color w:val="auto"/>
        </w:rPr>
      </w:pPr>
      <w:r>
        <w:rPr>
          <w:rFonts w:ascii="Times New Roman" w:cs="Times New Roman" w:eastAsia="Times New Roman" w:hAnsi="Times New Roman"/>
          <w:sz w:val="22"/>
          <w:szCs w:val="22"/>
          <w:color w:val="auto"/>
        </w:rPr>
        <w:t>%%TOTAL_SHARES_GRANTED,'999,999,999'%-% Shares</w:t>
      </w:r>
    </w:p>
    <w:p>
      <w:pPr>
        <w:spacing w:after="0" w:line="2" w:lineRule="exact"/>
        <w:rPr>
          <w:sz w:val="20"/>
          <w:szCs w:val="20"/>
          <w:color w:val="auto"/>
        </w:rPr>
      </w:pPr>
    </w:p>
    <w:p>
      <w:pPr>
        <w:ind w:right="3360"/>
        <w:spacing w:after="0" w:line="268" w:lineRule="auto"/>
        <w:rPr>
          <w:sz w:val="20"/>
          <w:szCs w:val="20"/>
          <w:color w:val="auto"/>
        </w:rPr>
      </w:pPr>
      <w:r>
        <w:rPr>
          <w:rFonts w:ascii="Times New Roman" w:cs="Times New Roman" w:eastAsia="Times New Roman" w:hAnsi="Times New Roman"/>
          <w:sz w:val="22"/>
          <w:szCs w:val="22"/>
          <w:color w:val="auto"/>
        </w:rPr>
        <w:t>%%OPTION_DATE,'Month DD, YYYY'%-%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620"/>
        <w:spacing w:after="0" w:line="263" w:lineRule="auto"/>
        <w:rPr>
          <w:sz w:val="20"/>
          <w:szCs w:val="20"/>
          <w:color w:val="auto"/>
        </w:rPr>
      </w:pPr>
      <w:r>
        <w:rPr>
          <w:rFonts w:ascii="Times New Roman" w:cs="Times New Roman" w:eastAsia="Times New Roman" w:hAnsi="Times New Roman"/>
          <w:sz w:val="21"/>
          <w:szCs w:val="21"/>
          <w:color w:val="auto"/>
        </w:rPr>
        <w:t>Subject to the terms and conditions of the Award Agreement, the Restricted Stock Units shall vest ratably on each of the first two anniversaries of the Grant Date (each, a scheduled “</w:t>
      </w:r>
      <w:r>
        <w:rPr>
          <w:rFonts w:ascii="Times New Roman" w:cs="Times New Roman" w:eastAsia="Times New Roman" w:hAnsi="Times New Roman"/>
          <w:sz w:val="21"/>
          <w:szCs w:val="21"/>
          <w:b w:val="1"/>
          <w:bCs w:val="1"/>
          <w:color w:val="auto"/>
        </w:rPr>
        <w:t>Vesting Date</w:t>
      </w:r>
      <w:r>
        <w:rPr>
          <w:rFonts w:ascii="Times New Roman" w:cs="Times New Roman" w:eastAsia="Times New Roman" w:hAnsi="Times New Roman"/>
          <w:sz w:val="21"/>
          <w:szCs w:val="21"/>
          <w:color w:val="auto"/>
        </w:rPr>
        <w:t>”, and each such one-year period, a “</w:t>
      </w:r>
      <w:r>
        <w:rPr>
          <w:rFonts w:ascii="Times New Roman" w:cs="Times New Roman" w:eastAsia="Times New Roman" w:hAnsi="Times New Roman"/>
          <w:sz w:val="21"/>
          <w:szCs w:val="21"/>
          <w:b w:val="1"/>
          <w:bCs w:val="1"/>
          <w:color w:val="auto"/>
        </w:rPr>
        <w:t>Vesting Period,</w:t>
      </w:r>
      <w:r>
        <w:rPr>
          <w:rFonts w:ascii="Times New Roman" w:cs="Times New Roman" w:eastAsia="Times New Roman" w:hAnsi="Times New Roman"/>
          <w:sz w:val="21"/>
          <w:szCs w:val="21"/>
          <w:color w:val="auto"/>
        </w:rPr>
        <w:t>” it being understood that the Vesting Period ending on the first anniversary of the Grant Date shall be further referred to as the “</w:t>
      </w:r>
      <w:r>
        <w:rPr>
          <w:rFonts w:ascii="Times New Roman" w:cs="Times New Roman" w:eastAsia="Times New Roman" w:hAnsi="Times New Roman"/>
          <w:sz w:val="21"/>
          <w:szCs w:val="21"/>
          <w:b w:val="1"/>
          <w:bCs w:val="1"/>
          <w:color w:val="auto"/>
        </w:rPr>
        <w:t>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Vesting Period,</w:t>
      </w:r>
      <w:r>
        <w:rPr>
          <w:rFonts w:ascii="Times New Roman" w:cs="Times New Roman" w:eastAsia="Times New Roman" w:hAnsi="Times New Roman"/>
          <w:sz w:val="21"/>
          <w:szCs w:val="21"/>
          <w:color w:val="auto"/>
        </w:rPr>
        <w:t>” and the Vesting Period ending on the second anniversary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Grant Date shall be further referred to as the “</w:t>
      </w:r>
      <w:r>
        <w:rPr>
          <w:rFonts w:ascii="Times New Roman" w:cs="Times New Roman" w:eastAsia="Times New Roman" w:hAnsi="Times New Roman"/>
          <w:sz w:val="21"/>
          <w:szCs w:val="21"/>
          <w:b w:val="1"/>
          <w:bCs w:val="1"/>
          <w:color w:val="auto"/>
        </w:rPr>
        <w:t>Second Vesting Period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2960" w:space="540"/>
            <w:col w:w="7420"/>
          </w:cols>
          <w:pgMar w:left="640" w:top="104" w:right="339" w:bottom="1440" w:gutter="0" w:footer="0" w:header="0"/>
          <w:type w:val="continuous"/>
        </w:sectPr>
      </w:pPr>
    </w:p>
    <w:p>
      <w:pPr>
        <w:spacing w:after="0" w:line="202" w:lineRule="exact"/>
        <w:rPr>
          <w:sz w:val="20"/>
          <w:szCs w:val="20"/>
          <w:color w:val="auto"/>
        </w:rPr>
      </w:pPr>
    </w:p>
    <w:p>
      <w:pPr>
        <w:ind w:left="100" w:right="1100"/>
        <w:spacing w:after="0" w:line="257" w:lineRule="auto"/>
        <w:rPr>
          <w:sz w:val="20"/>
          <w:szCs w:val="20"/>
          <w:color w:val="auto"/>
        </w:rPr>
      </w:pPr>
      <w:r>
        <w:rPr>
          <w:rFonts w:ascii="Times New Roman" w:cs="Times New Roman" w:eastAsia="Times New Roman" w:hAnsi="Times New Roman"/>
          <w:sz w:val="22"/>
          <w:szCs w:val="22"/>
          <w:color w:val="auto"/>
        </w:rPr>
        <w:t>Please review this Agreement and let us know if you have any questions about this Agreement, the Award or the Plan. You are advised to consult with your own tax advisors in respect of any tax consequences arising in connection with this Award.</w:t>
      </w:r>
    </w:p>
    <w:p>
      <w:pPr>
        <w:spacing w:after="0" w:line="213" w:lineRule="exact"/>
        <w:rPr>
          <w:sz w:val="20"/>
          <w:szCs w:val="20"/>
          <w:color w:val="auto"/>
        </w:rPr>
      </w:pPr>
    </w:p>
    <w:p>
      <w:pPr>
        <w:ind w:left="100" w:right="1060"/>
        <w:spacing w:after="0" w:line="271" w:lineRule="auto"/>
        <w:rPr>
          <w:sz w:val="20"/>
          <w:szCs w:val="20"/>
          <w:color w:val="auto"/>
        </w:rPr>
      </w:pPr>
      <w:r>
        <w:rPr>
          <w:rFonts w:ascii="Times New Roman" w:cs="Times New Roman" w:eastAsia="Times New Roman" w:hAnsi="Times New Roman"/>
          <w:sz w:val="22"/>
          <w:szCs w:val="22"/>
          <w:color w:val="auto"/>
        </w:rPr>
        <w:t xml:space="preserve">If you have questions please contact Valerie Miller Richards, the Company’s Executive Vice President of Human Resources, via email at </w:t>
      </w:r>
      <w:r>
        <w:rPr>
          <w:rFonts w:ascii="Times New Roman" w:cs="Times New Roman" w:eastAsia="Times New Roman" w:hAnsi="Times New Roman"/>
          <w:sz w:val="22"/>
          <w:szCs w:val="22"/>
          <w:u w:val="single" w:color="auto"/>
          <w:color w:val="0000FF"/>
        </w:rPr>
        <w:t>Valerie.Miller@ReynoldsBrands.com</w:t>
      </w:r>
      <w:r>
        <w:rPr>
          <w:rFonts w:ascii="Times New Roman" w:cs="Times New Roman" w:eastAsia="Times New Roman" w:hAnsi="Times New Roman"/>
          <w:sz w:val="22"/>
          <w:szCs w:val="22"/>
          <w:color w:val="auto"/>
        </w:rPr>
        <w:t>.</w:t>
      </w:r>
    </w:p>
    <w:p>
      <w:pPr>
        <w:sectPr>
          <w:pgSz w:w="11900" w:h="16838" w:orient="portrait"/>
          <w:cols w:equalWidth="0" w:num="1">
            <w:col w:w="10920"/>
          </w:cols>
          <w:pgMar w:left="640" w:top="104"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1"/>
          <w:szCs w:val="21"/>
          <w:color w:val="auto"/>
        </w:rPr>
        <w:t>Otherwise, please provide your signature, address and the date for this Agreement where indicated below.</w:t>
      </w:r>
    </w:p>
    <w:p>
      <w:pPr>
        <w:sectPr>
          <w:pgSz w:w="11900" w:h="16838" w:orient="portrait"/>
          <w:cols w:equalWidth="0" w:num="1">
            <w:col w:w="9719"/>
          </w:cols>
          <w:pgMar w:left="740" w:top="1192"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3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19" w:lineRule="exact"/>
        <w:rPr>
          <w:sz w:val="20"/>
          <w:szCs w:val="20"/>
          <w:color w:val="auto"/>
        </w:rPr>
      </w:pPr>
    </w:p>
    <w:p>
      <w:pPr>
        <w:ind w:right="440" w:firstLine="648"/>
        <w:spacing w:after="0" w:line="259" w:lineRule="auto"/>
        <w:rPr>
          <w:sz w:val="20"/>
          <w:szCs w:val="20"/>
          <w:color w:val="auto"/>
        </w:rPr>
      </w:pPr>
      <w:r>
        <w:rPr>
          <w:rFonts w:ascii="Times New Roman" w:cs="Times New Roman" w:eastAsia="Times New Roman" w:hAnsi="Times New Roman"/>
          <w:sz w:val="22"/>
          <w:szCs w:val="22"/>
          <w:color w:val="auto"/>
        </w:rPr>
        <w:t>This Restricted Stock Unit Award Agreement (together with all exhibits and appendices hereto, this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the date of the Grant Letter, is by and between the Company, and the individual listed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Letter as the Participant.</w:t>
      </w:r>
    </w:p>
    <w:p>
      <w:pPr>
        <w:spacing w:after="0" w:line="211"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hereby grants the Award to the Participant under the Plan, and the Participant hereby accepts the Award, in each case, subject to the terms and conditions of the Plan and this Agreement; and</w:t>
      </w:r>
    </w:p>
    <w:p>
      <w:pPr>
        <w:spacing w:after="0" w:line="198" w:lineRule="exact"/>
        <w:rPr>
          <w:sz w:val="20"/>
          <w:szCs w:val="20"/>
          <w:color w:val="auto"/>
        </w:rPr>
      </w:pPr>
    </w:p>
    <w:p>
      <w:pPr>
        <w:ind w:right="100" w:firstLine="648"/>
        <w:spacing w:after="0" w:line="295" w:lineRule="auto"/>
        <w:rPr>
          <w:sz w:val="20"/>
          <w:szCs w:val="20"/>
          <w:color w:val="auto"/>
        </w:rPr>
      </w:pPr>
      <w:r>
        <w:rPr>
          <w:rFonts w:ascii="Times New Roman" w:cs="Times New Roman" w:eastAsia="Times New Roman" w:hAnsi="Times New Roman"/>
          <w:sz w:val="21"/>
          <w:szCs w:val="21"/>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76"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parties hereto agree as follows.</w:t>
      </w:r>
    </w:p>
    <w:p>
      <w:pPr>
        <w:spacing w:after="0" w:line="194" w:lineRule="exact"/>
        <w:rPr>
          <w:sz w:val="20"/>
          <w:szCs w:val="20"/>
          <w:color w:val="auto"/>
        </w:rPr>
      </w:pPr>
    </w:p>
    <w:p>
      <w:pPr>
        <w:jc w:val="both"/>
        <w:ind w:right="380" w:firstLine="682"/>
        <w:spacing w:after="0" w:line="258" w:lineRule="auto"/>
        <w:tabs>
          <w:tab w:leader="none" w:pos="105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of Award</w:t>
      </w:r>
      <w:r>
        <w:rPr>
          <w:rFonts w:ascii="Times New Roman" w:cs="Times New Roman" w:eastAsia="Times New Roman" w:hAnsi="Times New Roman"/>
          <w:sz w:val="22"/>
          <w:szCs w:val="22"/>
          <w:color w:val="auto"/>
        </w:rPr>
        <w:t>. The Company hereby grants to the Participant on the Grant Date the aggregate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as set forth in the Grant Letter, subject to the terms and conditions of the Plan and this Agreement. This Award is granted under the Plan, the provisions of which are incorporated herein by reference and made a part of this Agreement.</w:t>
      </w:r>
    </w:p>
    <w:p>
      <w:pPr>
        <w:spacing w:after="0" w:line="208" w:lineRule="exact"/>
        <w:rPr>
          <w:rFonts w:ascii="Times New Roman" w:cs="Times New Roman" w:eastAsia="Times New Roman" w:hAnsi="Times New Roman"/>
          <w:sz w:val="22"/>
          <w:szCs w:val="22"/>
          <w:color w:val="auto"/>
        </w:rPr>
      </w:pPr>
    </w:p>
    <w:p>
      <w:pPr>
        <w:ind w:right="100" w:firstLine="682"/>
        <w:spacing w:after="0" w:line="275" w:lineRule="auto"/>
        <w:tabs>
          <w:tab w:leader="none" w:pos="107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RSUs</w:t>
      </w:r>
      <w:r>
        <w:rPr>
          <w:rFonts w:ascii="Times New Roman" w:cs="Times New Roman" w:eastAsia="Times New Roman" w:hAnsi="Times New Roman"/>
          <w:sz w:val="22"/>
          <w:szCs w:val="22"/>
          <w:color w:val="auto"/>
        </w:rPr>
        <w:t>. Each RSU shall represent the right to receive one Share upon the vesting of such RSU,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determined in accordance with and subject to the terms of this Agreement and the Plan.</w:t>
      </w:r>
    </w:p>
    <w:p>
      <w:pPr>
        <w:spacing w:after="0" w:line="189" w:lineRule="exact"/>
        <w:rPr>
          <w:rFonts w:ascii="Times New Roman" w:cs="Times New Roman" w:eastAsia="Times New Roman" w:hAnsi="Times New Roman"/>
          <w:sz w:val="22"/>
          <w:szCs w:val="22"/>
          <w:color w:val="auto"/>
        </w:rPr>
      </w:pPr>
    </w:p>
    <w:p>
      <w:pPr>
        <w:ind w:right="940" w:firstLine="682"/>
        <w:spacing w:after="0" w:line="275" w:lineRule="auto"/>
        <w:tabs>
          <w:tab w:leader="none" w:pos="105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and Conditions</w:t>
      </w:r>
      <w:r>
        <w:rPr>
          <w:rFonts w:ascii="Times New Roman" w:cs="Times New Roman" w:eastAsia="Times New Roman" w:hAnsi="Times New Roman"/>
          <w:sz w:val="22"/>
          <w:szCs w:val="22"/>
          <w:color w:val="auto"/>
        </w:rPr>
        <w:t>. It is understood and agreed that the Award evidenced hereby is subject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following terms and conditions:</w:t>
      </w:r>
    </w:p>
    <w:p>
      <w:pPr>
        <w:spacing w:after="0" w:line="189" w:lineRule="exact"/>
        <w:rPr>
          <w:rFonts w:ascii="Times New Roman" w:cs="Times New Roman" w:eastAsia="Times New Roman" w:hAnsi="Times New Roman"/>
          <w:sz w:val="22"/>
          <w:szCs w:val="22"/>
          <w:color w:val="auto"/>
        </w:rPr>
      </w:pPr>
    </w:p>
    <w:p>
      <w:pPr>
        <w:ind w:left="640" w:right="240" w:firstLine="568"/>
        <w:spacing w:after="0" w:line="275" w:lineRule="auto"/>
        <w:tabs>
          <w:tab w:leader="none" w:pos="165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of Award</w:t>
      </w:r>
      <w:r>
        <w:rPr>
          <w:rFonts w:ascii="Times New Roman" w:cs="Times New Roman" w:eastAsia="Times New Roman" w:hAnsi="Times New Roman"/>
          <w:sz w:val="22"/>
          <w:szCs w:val="22"/>
          <w:color w:val="auto"/>
        </w:rPr>
        <w:t>. Subject to Sections 4, 5, 6 and 11, the Award shall vest and become non-forfeitable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vesting schedule set forth in the Grant Letter.</w:t>
      </w:r>
    </w:p>
    <w:p>
      <w:pPr>
        <w:spacing w:after="0" w:line="189" w:lineRule="exact"/>
        <w:rPr>
          <w:rFonts w:ascii="Times New Roman" w:cs="Times New Roman" w:eastAsia="Times New Roman" w:hAnsi="Times New Roman"/>
          <w:sz w:val="22"/>
          <w:szCs w:val="22"/>
          <w:color w:val="auto"/>
        </w:rPr>
      </w:pPr>
    </w:p>
    <w:p>
      <w:pPr>
        <w:ind w:left="640" w:right="380" w:firstLine="568"/>
        <w:spacing w:after="0" w:line="259" w:lineRule="auto"/>
        <w:tabs>
          <w:tab w:leader="none" w:pos="166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 Rights</w:t>
      </w:r>
      <w:r>
        <w:rPr>
          <w:rFonts w:ascii="Times New Roman" w:cs="Times New Roman" w:eastAsia="Times New Roman" w:hAnsi="Times New Roman"/>
          <w:sz w:val="22"/>
          <w:szCs w:val="22"/>
          <w:color w:val="auto"/>
        </w:rPr>
        <w:t>. The Participant shall have no voting rights or any other rights as a shareholder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respect to the RSUs unless and until the Participant becomes the record owner of the Shares underlying such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640"/>
          </w:cols>
          <w:pgMar w:left="740" w:top="1418" w:right="519" w:bottom="1440" w:gutter="0" w:footer="0" w:header="0"/>
        </w:sectPr>
      </w:pPr>
    </w:p>
    <w:bookmarkStart w:id="50" w:name="page51"/>
    <w:bookmarkEnd w:id="50"/>
    <w:p>
      <w:pPr>
        <w:ind w:left="-60" w:firstLine="568"/>
        <w:spacing w:after="0" w:line="250" w:lineRule="auto"/>
        <w:tabs>
          <w:tab w:leader="none" w:pos="95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w:t>
      </w:r>
      <w:r>
        <w:rPr>
          <w:rFonts w:ascii="Times New Roman" w:cs="Times New Roman" w:eastAsia="Times New Roman" w:hAnsi="Times New Roman"/>
          <w:sz w:val="22"/>
          <w:szCs w:val="22"/>
          <w:color w:val="auto"/>
        </w:rPr>
        <w:t>. If a cash dividend is paid on Shares during the period commencing on the Grant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ending on the date on which the Shares underlying the RSUs are distributed to the Participant pursuant to Section 3(d), then as of each dividend payment date, the Participant shall be credited with cash per RSU equal to the per Share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(without interest) at the same time as the RSUs to which they relate are settled.</w:t>
      </w:r>
    </w:p>
    <w:p>
      <w:pPr>
        <w:spacing w:after="0" w:line="220" w:lineRule="exact"/>
        <w:rPr>
          <w:rFonts w:ascii="Times New Roman" w:cs="Times New Roman" w:eastAsia="Times New Roman" w:hAnsi="Times New Roman"/>
          <w:sz w:val="22"/>
          <w:szCs w:val="22"/>
          <w:color w:val="auto"/>
        </w:rPr>
      </w:pPr>
    </w:p>
    <w:p>
      <w:pPr>
        <w:ind w:left="-60" w:right="40" w:firstLine="568"/>
        <w:spacing w:after="0" w:line="260" w:lineRule="auto"/>
        <w:tabs>
          <w:tab w:leader="none" w:pos="96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Distribution of Shares. </w:t>
      </w:r>
      <w:r>
        <w:rPr>
          <w:rFonts w:ascii="Times New Roman" w:cs="Times New Roman" w:eastAsia="Times New Roman" w:hAnsi="Times New Roman"/>
          <w:sz w:val="21"/>
          <w:szCs w:val="21"/>
          <w:color w:val="auto"/>
        </w:rPr>
        <w:t>Subject to the provisions of this Agreement, upon the vesting of any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RSUs on the applicable Vesting Date or the Participant’s Termination of Service due to death, the Company shall settle and deliver to the Participant, as soon as reasonably practicable after such applicable Vesting Date (or in the case of the Participant’s Termination of Service due to death, such Termination of Service, as applicable), (i) one Share for each such RSU plus (ii) such cash attributable to dividends to which the Participant has become entitled under Section 3(c); provided that such settlement shall be made no later than the 15th day of the third calendar month following the applicable Vesting Date (or, in the case of the Participant’s Termination of Service due to death, the 15th day of the third calendar month following the date of the Participant’s Termination of Service due to death). Upon such delivery, such Shares shall be fully assignable, alienable, saleable and transferable by the Participant; provided that any such assignment, alienation, sale, transfer or other alienation with respect to such Shares shall be in accordance with applicable securities laws and any applicable Company policy.</w:t>
      </w:r>
    </w:p>
    <w:p>
      <w:pPr>
        <w:spacing w:after="0" w:line="213" w:lineRule="exact"/>
        <w:rPr>
          <w:rFonts w:ascii="Times New Roman" w:cs="Times New Roman" w:eastAsia="Times New Roman" w:hAnsi="Times New Roman"/>
          <w:sz w:val="21"/>
          <w:szCs w:val="21"/>
          <w:color w:val="auto"/>
        </w:rPr>
      </w:pPr>
    </w:p>
    <w:p>
      <w:pPr>
        <w:ind w:left="-60" w:firstLine="568"/>
        <w:spacing w:after="0" w:line="248" w:lineRule="auto"/>
        <w:tabs>
          <w:tab w:leader="none" w:pos="95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Adjustment in Capitalization. </w:t>
      </w:r>
      <w:r>
        <w:rPr>
          <w:rFonts w:ascii="Times New Roman" w:cs="Times New Roman" w:eastAsia="Times New Roman" w:hAnsi="Times New Roman"/>
          <w:sz w:val="22"/>
          <w:szCs w:val="22"/>
          <w:color w:val="auto"/>
        </w:rPr>
        <w:t>In the event that, as a result of any dividend (other than ordinary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 In no event shall the Committee adjust the terms of this Agreement or the RSUs in a manner which would cause the RSUs to be subject to the provisions of Section 409A or 457A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820"/>
          </w:cols>
          <w:pgMar w:left="1440" w:top="1337" w:right="639" w:bottom="1440" w:gutter="0" w:footer="0" w:header="0"/>
        </w:sectPr>
      </w:pPr>
    </w:p>
    <w:bookmarkStart w:id="51" w:name="page52"/>
    <w:bookmarkEnd w:id="51"/>
    <w:p>
      <w:pPr>
        <w:ind w:left="640" w:firstLine="568"/>
        <w:spacing w:after="0" w:line="254" w:lineRule="auto"/>
        <w:tabs>
          <w:tab w:leader="none" w:pos="163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Restrictions on Transferability. </w:t>
      </w:r>
      <w:r>
        <w:rPr>
          <w:rFonts w:ascii="Times New Roman" w:cs="Times New Roman" w:eastAsia="Times New Roman" w:hAnsi="Times New Roman"/>
          <w:sz w:val="22"/>
          <w:szCs w:val="22"/>
          <w:color w:val="auto"/>
        </w:rPr>
        <w:t>Except as may be permitted by the Committee, neither this Award nor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right under this Award shall be assignable, alienable, saleable or transferable by the Participant otherwise than by will or pursuant to the laws of descent and distribution or to a designated Beneficiary. This provision shall not apply to any portion of this Award for which Shares have been fully distributed and shall not preclude forfeiture of any portion of this Award in accordance with the terms herein.</w:t>
      </w:r>
    </w:p>
    <w:p>
      <w:pPr>
        <w:spacing w:after="0" w:line="200" w:lineRule="exact"/>
        <w:rPr>
          <w:rFonts w:ascii="Times New Roman" w:cs="Times New Roman" w:eastAsia="Times New Roman" w:hAnsi="Times New Roman"/>
          <w:sz w:val="22"/>
          <w:szCs w:val="22"/>
          <w:color w:val="auto"/>
        </w:rPr>
      </w:pPr>
    </w:p>
    <w:p>
      <w:pPr>
        <w:ind w:left="640" w:right="60" w:firstLine="568"/>
        <w:spacing w:after="0" w:line="258" w:lineRule="auto"/>
        <w:tabs>
          <w:tab w:leader="none" w:pos="166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Continued Service. </w:t>
      </w:r>
      <w:r>
        <w:rPr>
          <w:rFonts w:ascii="Times New Roman" w:cs="Times New Roman" w:eastAsia="Times New Roman" w:hAnsi="Times New Roman"/>
          <w:sz w:val="22"/>
          <w:szCs w:val="22"/>
          <w:color w:val="auto"/>
        </w:rPr>
        <w:t>The grant of an Award shall not be construed as giving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to be retained in the employ of, or to continue to provide services to, the Company or any of its Affiliates. The receipt of any Award under the Plan is not intended to confer any rights on the receiving Participant except as set forth in the applicable Agreement.</w:t>
      </w:r>
    </w:p>
    <w:p>
      <w:pPr>
        <w:spacing w:after="0" w:line="194" w:lineRule="exact"/>
        <w:rPr>
          <w:rFonts w:ascii="Times New Roman" w:cs="Times New Roman" w:eastAsia="Times New Roman" w:hAnsi="Times New Roman"/>
          <w:sz w:val="22"/>
          <w:szCs w:val="22"/>
          <w:color w:val="auto"/>
        </w:rPr>
      </w:pPr>
    </w:p>
    <w:p>
      <w:pPr>
        <w:ind w:left="640" w:right="280" w:firstLine="568"/>
        <w:spacing w:after="0" w:line="265" w:lineRule="auto"/>
        <w:tabs>
          <w:tab w:leader="none" w:pos="166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Future Awards. </w:t>
      </w:r>
      <w:r>
        <w:rPr>
          <w:rFonts w:ascii="Times New Roman" w:cs="Times New Roman" w:eastAsia="Times New Roman" w:hAnsi="Times New Roman"/>
          <w:sz w:val="22"/>
          <w:szCs w:val="22"/>
          <w:color w:val="auto"/>
        </w:rPr>
        <w:t>Any Award granted under the Plan shall be a one-time Award that does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constitute a promise of future grants. The Company, in its sole discretion, maintains the right to make available future grants under the Plan.</w:t>
      </w:r>
    </w:p>
    <w:p>
      <w:pPr>
        <w:spacing w:after="0" w:line="188" w:lineRule="exact"/>
        <w:rPr>
          <w:rFonts w:ascii="Times New Roman" w:cs="Times New Roman" w:eastAsia="Times New Roman" w:hAnsi="Times New Roman"/>
          <w:sz w:val="22"/>
          <w:szCs w:val="22"/>
          <w:color w:val="auto"/>
        </w:rPr>
      </w:pPr>
    </w:p>
    <w:p>
      <w:pPr>
        <w:ind w:right="460" w:firstLine="682"/>
        <w:spacing w:after="0" w:line="258" w:lineRule="auto"/>
        <w:tabs>
          <w:tab w:leader="none" w:pos="105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Service</w:t>
      </w:r>
      <w:r>
        <w:rPr>
          <w:rFonts w:ascii="Times New Roman" w:cs="Times New Roman" w:eastAsia="Times New Roman" w:hAnsi="Times New Roman"/>
          <w:sz w:val="22"/>
          <w:szCs w:val="22"/>
          <w:color w:val="auto"/>
        </w:rPr>
        <w:t>. Except as otherwise provided in Section 5, in the event of the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of Service for any reason, prior to the date on which the Award otherwise becomes vested, the unvested portion of the Award shall immediately be forfeited by the Participant and become the property of the Company, without any payment or consideration being due to the Participant.</w:t>
      </w:r>
    </w:p>
    <w:p>
      <w:pPr>
        <w:spacing w:after="0" w:line="208" w:lineRule="exact"/>
        <w:rPr>
          <w:rFonts w:ascii="Times New Roman" w:cs="Times New Roman" w:eastAsia="Times New Roman" w:hAnsi="Times New Roman"/>
          <w:sz w:val="22"/>
          <w:szCs w:val="22"/>
          <w:color w:val="auto"/>
        </w:rPr>
      </w:pPr>
    </w:p>
    <w:p>
      <w:pPr>
        <w:ind w:right="60" w:firstLine="681"/>
        <w:spacing w:after="0" w:line="253" w:lineRule="auto"/>
        <w:tabs>
          <w:tab w:leader="none" w:pos="105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Upon Termination due to Death, Retirement or Enhanced Retirement</w:t>
      </w:r>
      <w:r>
        <w:rPr>
          <w:rFonts w:ascii="Times New Roman" w:cs="Times New Roman" w:eastAsia="Times New Roman" w:hAnsi="Times New Roman"/>
          <w:sz w:val="22"/>
          <w:szCs w:val="22"/>
          <w:color w:val="auto"/>
        </w:rPr>
        <w:t>. Notwithstanding the foregoing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any other provisions of the Plan to the contrary, in the event of the Participant’s Termination of Service due to the Participant’s death, Retirement (as defined below) or Enhanced Retirement (as defined below), a pro rata portion of the Award may vest or be eligible to vest following such Termination of Service as follows:</w:t>
      </w:r>
    </w:p>
    <w:p>
      <w:pPr>
        <w:spacing w:after="0" w:line="219" w:lineRule="exact"/>
        <w:rPr>
          <w:rFonts w:ascii="Times New Roman" w:cs="Times New Roman" w:eastAsia="Times New Roman" w:hAnsi="Times New Roman"/>
          <w:sz w:val="22"/>
          <w:szCs w:val="22"/>
          <w:color w:val="auto"/>
        </w:rPr>
      </w:pPr>
    </w:p>
    <w:p>
      <w:pPr>
        <w:ind w:left="1660" w:hanging="452"/>
        <w:spacing w:after="0"/>
        <w:tabs>
          <w:tab w:leader="none" w:pos="16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06" w:lineRule="exact"/>
        <w:rPr>
          <w:rFonts w:ascii="Times New Roman" w:cs="Times New Roman" w:eastAsia="Times New Roman" w:hAnsi="Times New Roman"/>
          <w:sz w:val="22"/>
          <w:szCs w:val="22"/>
          <w:color w:val="auto"/>
        </w:rPr>
      </w:pPr>
    </w:p>
    <w:p>
      <w:pPr>
        <w:ind w:left="1200" w:right="80" w:firstLine="494"/>
        <w:spacing w:after="0" w:line="284" w:lineRule="auto"/>
        <w:tabs>
          <w:tab w:leader="none" w:pos="2106"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death prior to the first anniversary of the Grant Date, no portion of the Award shall vest.</w:t>
      </w:r>
    </w:p>
    <w:p>
      <w:pPr>
        <w:spacing w:after="0" w:line="143" w:lineRule="exact"/>
        <w:rPr>
          <w:rFonts w:ascii="Times New Roman" w:cs="Times New Roman" w:eastAsia="Times New Roman" w:hAnsi="Times New Roman"/>
          <w:sz w:val="22"/>
          <w:szCs w:val="22"/>
          <w:color w:val="auto"/>
        </w:rPr>
      </w:pPr>
    </w:p>
    <w:p>
      <w:pPr>
        <w:ind w:left="1200" w:right="20" w:firstLine="494"/>
        <w:spacing w:after="0" w:line="254" w:lineRule="auto"/>
        <w:tabs>
          <w:tab w:leader="none" w:pos="2166"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death following the first anniversary of the Grant Date and prior to the second anniversary of the Grant Date, as of the Participant’s Termination of Service the Participant shall vest in a number of RSUs equal to the result obtained by adding (A) the number of RSUs equal to the product of (1) the RSUs that would have vested in the Second Vesting Period had the Participant’s Termination of Service not occurred multiplied by (2) a fraction, the numerator of which is the number of full calendar</w:t>
      </w:r>
    </w:p>
    <w:p>
      <w:pPr>
        <w:spacing w:after="0" w:line="200" w:lineRule="exact"/>
        <w:rPr>
          <w:sz w:val="20"/>
          <w:szCs w:val="20"/>
          <w:color w:val="auto"/>
        </w:rPr>
      </w:pPr>
    </w:p>
    <w:p>
      <w:pPr>
        <w:spacing w:after="0" w:line="3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20"/>
          </w:cols>
          <w:pgMar w:left="740" w:top="1337" w:right="639" w:bottom="1440" w:gutter="0" w:footer="0" w:header="0"/>
        </w:sectPr>
      </w:pPr>
    </w:p>
    <w:bookmarkStart w:id="52" w:name="page53"/>
    <w:bookmarkEnd w:id="52"/>
    <w:p>
      <w:pPr>
        <w:spacing w:after="0" w:line="113" w:lineRule="exact"/>
        <w:rPr>
          <w:sz w:val="20"/>
          <w:szCs w:val="20"/>
          <w:color w:val="auto"/>
        </w:rPr>
      </w:pPr>
    </w:p>
    <w:p>
      <w:pPr>
        <w:ind w:left="500"/>
        <w:spacing w:after="0" w:line="258" w:lineRule="auto"/>
        <w:rPr>
          <w:sz w:val="20"/>
          <w:szCs w:val="20"/>
          <w:color w:val="auto"/>
        </w:rPr>
      </w:pPr>
      <w:r>
        <w:rPr>
          <w:rFonts w:ascii="Times New Roman" w:cs="Times New Roman" w:eastAsia="Times New Roman" w:hAnsi="Times New Roman"/>
          <w:sz w:val="22"/>
          <w:szCs w:val="22"/>
          <w:color w:val="auto"/>
        </w:rPr>
        <w:t>months the Participant has been employed from the Grant Date through the date of termination (the “</w:t>
      </w:r>
      <w:r>
        <w:rPr>
          <w:rFonts w:ascii="Times New Roman" w:cs="Times New Roman" w:eastAsia="Times New Roman" w:hAnsi="Times New Roman"/>
          <w:sz w:val="22"/>
          <w:szCs w:val="22"/>
          <w:b w:val="1"/>
          <w:bCs w:val="1"/>
          <w:color w:val="auto"/>
        </w:rPr>
        <w:t>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Months</w:t>
      </w:r>
      <w:r>
        <w:rPr>
          <w:rFonts w:ascii="Times New Roman" w:cs="Times New Roman" w:eastAsia="Times New Roman" w:hAnsi="Times New Roman"/>
          <w:sz w:val="22"/>
          <w:szCs w:val="22"/>
          <w:color w:val="auto"/>
        </w:rPr>
        <w:t>”) (for clarity and for all purposes as used in this Agreement, “full calendar months” means each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calendar month after the Grant Date that ends on the numbered day immediately prior to the numbered day of the Grant Date) and the denominator of which is 24.</w:t>
      </w:r>
    </w:p>
    <w:p>
      <w:pPr>
        <w:spacing w:after="0" w:line="172" w:lineRule="exact"/>
        <w:rPr>
          <w:sz w:val="20"/>
          <w:szCs w:val="20"/>
          <w:color w:val="auto"/>
        </w:rPr>
      </w:pPr>
    </w:p>
    <w:p>
      <w:pPr>
        <w:ind w:left="500" w:right="20" w:firstLine="494"/>
        <w:spacing w:after="0" w:line="261" w:lineRule="auto"/>
        <w:tabs>
          <w:tab w:leader="none" w:pos="152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that vest upon the Participant’s Termination of Service pursuant to this Section 5(a) shall be distributed to the Participant pursuant to Section 3(d), and any RSUs that do not vest upon the Participant’s Termination of Service pursuant to this Section 5(a) shall be forfeited as of such Termination of Service.</w:t>
      </w:r>
    </w:p>
    <w:p>
      <w:pPr>
        <w:spacing w:after="0" w:line="168" w:lineRule="exact"/>
        <w:rPr>
          <w:rFonts w:ascii="Times New Roman" w:cs="Times New Roman" w:eastAsia="Times New Roman" w:hAnsi="Times New Roman"/>
          <w:sz w:val="22"/>
          <w:szCs w:val="22"/>
          <w:color w:val="auto"/>
        </w:rPr>
      </w:pPr>
    </w:p>
    <w:p>
      <w:pPr>
        <w:ind w:left="500" w:right="280" w:firstLine="494"/>
        <w:spacing w:after="0" w:line="271" w:lineRule="auto"/>
        <w:tabs>
          <w:tab w:leader="none" w:pos="151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98"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2022: none of such RSUs would vest.</w:t>
      </w:r>
    </w:p>
    <w:p>
      <w:pPr>
        <w:spacing w:after="0" w:line="246"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2023:</w:t>
      </w:r>
    </w:p>
    <w:p>
      <w:pPr>
        <w:spacing w:after="0" w:line="246" w:lineRule="exact"/>
        <w:rPr>
          <w:rFonts w:ascii="Times New Roman" w:cs="Times New Roman" w:eastAsia="Times New Roman" w:hAnsi="Times New Roman"/>
          <w:sz w:val="22"/>
          <w:szCs w:val="22"/>
          <w:color w:val="auto"/>
        </w:rPr>
      </w:pPr>
    </w:p>
    <w:p>
      <w:pPr>
        <w:ind w:left="2440" w:hanging="474"/>
        <w:spacing w:after="0"/>
        <w:tabs>
          <w:tab w:leader="none" w:pos="2440" w:val="left"/>
        </w:tabs>
        <w:numPr>
          <w:ilvl w:val="3"/>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600 RSUs would have already vested on February 10, 2023; and</w:t>
      </w:r>
    </w:p>
    <w:p>
      <w:pPr>
        <w:spacing w:after="0" w:line="260" w:lineRule="exact"/>
        <w:rPr>
          <w:rFonts w:ascii="Times New Roman" w:cs="Times New Roman" w:eastAsia="Times New Roman" w:hAnsi="Times New Roman"/>
          <w:sz w:val="22"/>
          <w:szCs w:val="22"/>
          <w:color w:val="auto"/>
        </w:rPr>
      </w:pPr>
    </w:p>
    <w:p>
      <w:pPr>
        <w:ind w:left="1480" w:right="320" w:firstLine="486"/>
        <w:spacing w:after="0" w:line="257" w:lineRule="auto"/>
        <w:tabs>
          <w:tab w:leader="none" w:pos="2434" w:val="left"/>
        </w:tabs>
        <w:numPr>
          <w:ilvl w:val="3"/>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600 unvested RSUs, 450 RSUs would vest at the time of death, which is the sum of the 450 RSUs that would vest related to the Second Vesting Period (600 x (18 months/24 months) = 450.</w:t>
      </w:r>
    </w:p>
    <w:p>
      <w:pPr>
        <w:spacing w:after="0" w:line="199" w:lineRule="exact"/>
        <w:rPr>
          <w:rFonts w:ascii="Times New Roman" w:cs="Times New Roman" w:eastAsia="Times New Roman" w:hAnsi="Times New Roman"/>
          <w:sz w:val="22"/>
          <w:szCs w:val="22"/>
          <w:color w:val="auto"/>
        </w:rPr>
      </w:pPr>
    </w:p>
    <w:p>
      <w:pPr>
        <w:ind w:left="980" w:hanging="472"/>
        <w:spacing w:after="0"/>
        <w:tabs>
          <w:tab w:leader="none" w:pos="9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19" w:lineRule="exact"/>
        <w:rPr>
          <w:rFonts w:ascii="Times New Roman" w:cs="Times New Roman" w:eastAsia="Times New Roman" w:hAnsi="Times New Roman"/>
          <w:sz w:val="22"/>
          <w:szCs w:val="22"/>
          <w:color w:val="auto"/>
        </w:rPr>
      </w:pPr>
    </w:p>
    <w:p>
      <w:pPr>
        <w:ind w:left="500" w:right="180" w:firstLine="494"/>
        <w:spacing w:after="0" w:line="263" w:lineRule="auto"/>
        <w:tabs>
          <w:tab w:leader="none" w:pos="140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Retirement prior to the first anniversary of the Grant Date, no portion of the Award shall vest and the Award shall be forfeited pursuant to Section 4 of this Agreement.</w:t>
      </w:r>
    </w:p>
    <w:p>
      <w:pPr>
        <w:spacing w:after="0" w:line="167" w:lineRule="exact"/>
        <w:rPr>
          <w:rFonts w:ascii="Times New Roman" w:cs="Times New Roman" w:eastAsia="Times New Roman" w:hAnsi="Times New Roman"/>
          <w:sz w:val="22"/>
          <w:szCs w:val="22"/>
          <w:color w:val="auto"/>
        </w:rPr>
      </w:pPr>
    </w:p>
    <w:p>
      <w:pPr>
        <w:ind w:left="500" w:right="40" w:firstLine="494"/>
        <w:spacing w:after="0" w:line="268" w:lineRule="auto"/>
        <w:tabs>
          <w:tab w:leader="none" w:pos="146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Participant’s Termination of Service due to Retirement following the first anniversary of the Grant Date, a pro rata portion of the Award with respect to the applicable Vesting Period in which the Termination of Service occurs will vest on the first scheduled Vesting Date following such Termination of Service, which portion will equal (A) the number of RSUs that would have vested in the applicable Vesting Period in which the Termination of Service occurred had such Termination of Service not occurred, multiplied by (B) a fraction, the numerator of which is the number of full calendar months the Participant has been employed in the applicable Vesting Period through the date of termination,</w:t>
      </w:r>
    </w:p>
    <w:p>
      <w:pPr>
        <w:spacing w:after="0" w:line="200" w:lineRule="exact"/>
        <w:rPr>
          <w:sz w:val="20"/>
          <w:szCs w:val="20"/>
          <w:color w:val="auto"/>
        </w:rPr>
      </w:pPr>
    </w:p>
    <w:p>
      <w:pPr>
        <w:spacing w:after="0" w:line="3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920"/>
          </w:cols>
          <w:pgMar w:left="1440" w:top="1440" w:right="539" w:bottom="1440" w:gutter="0" w:footer="0" w:header="0"/>
        </w:sectPr>
      </w:pPr>
    </w:p>
    <w:bookmarkStart w:id="53" w:name="page54"/>
    <w:bookmarkEnd w:id="53"/>
    <w:p>
      <w:pPr>
        <w:spacing w:after="0" w:line="117" w:lineRule="exact"/>
        <w:rPr>
          <w:sz w:val="20"/>
          <w:szCs w:val="20"/>
          <w:color w:val="auto"/>
        </w:rPr>
      </w:pPr>
    </w:p>
    <w:p>
      <w:pPr>
        <w:ind w:left="500" w:right="140"/>
        <w:spacing w:after="0" w:line="256" w:lineRule="auto"/>
        <w:rPr>
          <w:sz w:val="20"/>
          <w:szCs w:val="20"/>
          <w:color w:val="auto"/>
        </w:rPr>
      </w:pPr>
      <w:r>
        <w:rPr>
          <w:rFonts w:ascii="Times New Roman" w:cs="Times New Roman" w:eastAsia="Times New Roman" w:hAnsi="Times New Roman"/>
          <w:sz w:val="22"/>
          <w:szCs w:val="22"/>
          <w:color w:val="auto"/>
        </w:rPr>
        <w:t>and the denominator of which is 12, subject to the Participant’s compliance with the Restrictive Covenant Agreement (as defined below), through such Vesting Date. For the avoidance of doubt, if the Participant violates the Restrictive Covenant Agreement, the Participant shall forfeit all outstanding, unvested RSUs as of the date of such violation.</w:t>
      </w:r>
    </w:p>
    <w:p>
      <w:pPr>
        <w:spacing w:after="0" w:line="176" w:lineRule="exact"/>
        <w:rPr>
          <w:sz w:val="20"/>
          <w:szCs w:val="20"/>
          <w:color w:val="auto"/>
        </w:rPr>
      </w:pPr>
    </w:p>
    <w:p>
      <w:pPr>
        <w:ind w:left="500" w:right="20" w:firstLine="494"/>
        <w:spacing w:after="0" w:line="263" w:lineRule="auto"/>
        <w:tabs>
          <w:tab w:leader="none" w:pos="151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RSUs that vest following the Participant’s Termination of Service pursuant to this Section 5(b) shall be distributed to the Participant pursuant to Section 3(d) and any RSUs that do not vest pursuant to this Section 5(b) shall be forfeited.</w:t>
      </w:r>
    </w:p>
    <w:p>
      <w:pPr>
        <w:spacing w:after="0" w:line="163" w:lineRule="exact"/>
        <w:rPr>
          <w:rFonts w:ascii="Times New Roman" w:cs="Times New Roman" w:eastAsia="Times New Roman" w:hAnsi="Times New Roman"/>
          <w:sz w:val="22"/>
          <w:szCs w:val="22"/>
          <w:color w:val="auto"/>
        </w:rPr>
      </w:pPr>
    </w:p>
    <w:p>
      <w:pPr>
        <w:ind w:left="500" w:right="200" w:firstLine="494"/>
        <w:spacing w:after="0" w:line="257" w:lineRule="auto"/>
        <w:tabs>
          <w:tab w:leader="none" w:pos="151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with respect to any Participant, such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174" w:lineRule="exact"/>
        <w:rPr>
          <w:rFonts w:ascii="Times New Roman" w:cs="Times New Roman" w:eastAsia="Times New Roman" w:hAnsi="Times New Roman"/>
          <w:sz w:val="22"/>
          <w:szCs w:val="22"/>
          <w:color w:val="auto"/>
        </w:rPr>
      </w:pPr>
    </w:p>
    <w:p>
      <w:pPr>
        <w:ind w:left="500" w:right="360" w:firstLine="494"/>
        <w:spacing w:after="0" w:line="271" w:lineRule="auto"/>
        <w:tabs>
          <w:tab w:leader="none" w:pos="145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98"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2022: none of such RSUs would</w:t>
      </w:r>
    </w:p>
    <w:p>
      <w:pPr>
        <w:spacing w:after="0" w:line="27" w:lineRule="exact"/>
        <w:rPr>
          <w:rFonts w:ascii="Times New Roman" w:cs="Times New Roman" w:eastAsia="Times New Roman" w:hAnsi="Times New Roman"/>
          <w:sz w:val="22"/>
          <w:szCs w:val="22"/>
          <w:color w:val="auto"/>
        </w:rPr>
      </w:pPr>
    </w:p>
    <w:p>
      <w:pPr>
        <w:ind w:left="1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w:t>
      </w:r>
    </w:p>
    <w:p>
      <w:pPr>
        <w:spacing w:after="0" w:line="222"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2023:</w:t>
      </w:r>
    </w:p>
    <w:p>
      <w:pPr>
        <w:spacing w:after="0" w:line="246" w:lineRule="exact"/>
        <w:rPr>
          <w:rFonts w:ascii="Times New Roman" w:cs="Times New Roman" w:eastAsia="Times New Roman" w:hAnsi="Times New Roman"/>
          <w:sz w:val="22"/>
          <w:szCs w:val="22"/>
          <w:color w:val="auto"/>
        </w:rPr>
      </w:pPr>
    </w:p>
    <w:p>
      <w:pPr>
        <w:ind w:left="2440" w:hanging="474"/>
        <w:spacing w:after="0"/>
        <w:tabs>
          <w:tab w:leader="none" w:pos="2440" w:val="left"/>
        </w:tabs>
        <w:numPr>
          <w:ilvl w:val="3"/>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600 RSUs would have already vested on February 10, 2023; and</w:t>
      </w:r>
    </w:p>
    <w:p>
      <w:pPr>
        <w:spacing w:after="0" w:line="260" w:lineRule="exact"/>
        <w:rPr>
          <w:rFonts w:ascii="Times New Roman" w:cs="Times New Roman" w:eastAsia="Times New Roman" w:hAnsi="Times New Roman"/>
          <w:sz w:val="22"/>
          <w:szCs w:val="22"/>
          <w:color w:val="auto"/>
        </w:rPr>
      </w:pPr>
    </w:p>
    <w:p>
      <w:pPr>
        <w:ind w:left="1480" w:right="420" w:firstLine="486"/>
        <w:spacing w:after="0" w:line="271" w:lineRule="auto"/>
        <w:tabs>
          <w:tab w:leader="none" w:pos="2434" w:val="left"/>
        </w:tabs>
        <w:numPr>
          <w:ilvl w:val="3"/>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600 unvested RSUs, 300 RSUs would vest on February 10, 2024 (600 x (6 months/12 months) = 300).</w:t>
      </w:r>
    </w:p>
    <w:p>
      <w:pPr>
        <w:spacing w:after="0" w:line="184" w:lineRule="exact"/>
        <w:rPr>
          <w:rFonts w:ascii="Times New Roman" w:cs="Times New Roman" w:eastAsia="Times New Roman" w:hAnsi="Times New Roman"/>
          <w:sz w:val="22"/>
          <w:szCs w:val="22"/>
          <w:color w:val="auto"/>
        </w:rPr>
      </w:pPr>
    </w:p>
    <w:p>
      <w:pPr>
        <w:ind w:left="960" w:hanging="452"/>
        <w:spacing w:after="0"/>
        <w:tabs>
          <w:tab w:leader="none" w:pos="9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Enhanced Retirement.</w:t>
      </w:r>
    </w:p>
    <w:p>
      <w:pPr>
        <w:spacing w:after="0" w:line="219" w:lineRule="exact"/>
        <w:rPr>
          <w:rFonts w:ascii="Times New Roman" w:cs="Times New Roman" w:eastAsia="Times New Roman" w:hAnsi="Times New Roman"/>
          <w:sz w:val="22"/>
          <w:szCs w:val="22"/>
          <w:color w:val="auto"/>
        </w:rPr>
      </w:pPr>
    </w:p>
    <w:p>
      <w:pPr>
        <w:ind w:left="500" w:firstLine="494"/>
        <w:spacing w:after="0" w:line="254" w:lineRule="auto"/>
        <w:tabs>
          <w:tab w:leader="none" w:pos="140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Enhanced Retirement on or after the first anniversary of the Grant Date, the RSUs shall remain outstanding and shall vest on each regularly scheduled Vesting Date following such Termination of Service as if the Participant had remained continuously employed or providing services to the Company or its Affiliates through each such Vesting Date, subject to the Participant’s continuous compliance with the Extended Non-Compete (as defined below) through each applicable Vesting Date.</w:t>
      </w: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940"/>
          </w:cols>
          <w:pgMar w:left="1440" w:top="1440" w:right="519" w:bottom="1440" w:gutter="0" w:footer="0" w:header="0"/>
        </w:sectPr>
      </w:pPr>
    </w:p>
    <w:bookmarkStart w:id="54" w:name="page55"/>
    <w:bookmarkEnd w:id="54"/>
    <w:p>
      <w:pPr>
        <w:spacing w:after="0" w:line="117" w:lineRule="exact"/>
        <w:rPr>
          <w:sz w:val="20"/>
          <w:szCs w:val="20"/>
          <w:color w:val="auto"/>
        </w:rPr>
      </w:pPr>
    </w:p>
    <w:p>
      <w:pPr>
        <w:ind w:left="500" w:firstLine="494"/>
        <w:spacing w:after="0" w:line="251" w:lineRule="auto"/>
        <w:tabs>
          <w:tab w:leader="none" w:pos="146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Enhanced Retirement on or after the six month anniversary of the Grant Date but prior to the first anniversary of the Grant Date, the Participant shall be eligible to vest in a pro rata portion of the Award on each scheduled Vesting Date following the Participant’s Retirement, subject to the Participant’s continuous compliance with the Extended Non-Compete through each applicable Vesting Date, determined as follows: (A) on the first Vesting Date following the Participant’s Termination of Service, the Participant shall vest in the number of RSUs equal to the product obtained by multiplying (1) the number of RSUs that would have vested in the First Vesting Period had the Participant’s Termination of Service not occurred, by (2) a fraction, the numerator of which is the Service Months (defined above as the number of full calendar months the Participant has been employed from the Grant Date through the date of termination) and the denominator of which is 12, and (B) on the second Vesting Date following the Participant’s Termination of Service, the Participant shall vest in the number of RSUs equal to the product obtained by multiplying (1) the number of RSUs that would have vested in the Second Vesting Period had the Participant’s Termination of Service not occurred by (2) a fraction, the numerator of which is the Service Months and the denominator of which is 24. For the avoidance of doubt, if the Participant violates the Extended Non-Compete, the Participant shall forfeit all outstanding, unvested RSUs as of the date of such violation.</w:t>
      </w:r>
    </w:p>
    <w:p>
      <w:pPr>
        <w:spacing w:after="0" w:line="181" w:lineRule="exact"/>
        <w:rPr>
          <w:rFonts w:ascii="Times New Roman" w:cs="Times New Roman" w:eastAsia="Times New Roman" w:hAnsi="Times New Roman"/>
          <w:sz w:val="22"/>
          <w:szCs w:val="22"/>
          <w:color w:val="auto"/>
        </w:rPr>
      </w:pPr>
    </w:p>
    <w:p>
      <w:pPr>
        <w:ind w:left="500" w:right="100" w:firstLine="494"/>
        <w:spacing w:after="0" w:line="263" w:lineRule="auto"/>
        <w:tabs>
          <w:tab w:leader="none" w:pos="151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RSUs that vest following the Participant’s Termination of Service pursuant to this Section 5(c) shall be distributed to the Participant pursuant to Section 3(d) and any RSUs that do not vest under this Section 5(c) shall be forfeited.</w:t>
      </w:r>
    </w:p>
    <w:p>
      <w:pPr>
        <w:spacing w:after="0" w:line="167" w:lineRule="exact"/>
        <w:rPr>
          <w:rFonts w:ascii="Times New Roman" w:cs="Times New Roman" w:eastAsia="Times New Roman" w:hAnsi="Times New Roman"/>
          <w:sz w:val="22"/>
          <w:szCs w:val="22"/>
          <w:color w:val="auto"/>
        </w:rPr>
      </w:pPr>
    </w:p>
    <w:p>
      <w:pPr>
        <w:ind w:left="1520" w:hanging="526"/>
        <w:spacing w:after="0"/>
        <w:tabs>
          <w:tab w:leader="none" w:pos="15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Termination of Service shall constitute an</w:t>
      </w:r>
    </w:p>
    <w:p>
      <w:pPr>
        <w:spacing w:after="0" w:line="29" w:lineRule="exact"/>
        <w:rPr>
          <w:sz w:val="20"/>
          <w:szCs w:val="20"/>
          <w:color w:val="auto"/>
        </w:rPr>
      </w:pPr>
    </w:p>
    <w:p>
      <w:pPr>
        <w:ind w:left="500" w:right="180"/>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Enhanced Retirement</w:t>
      </w:r>
      <w:r>
        <w:rPr>
          <w:rFonts w:ascii="Times New Roman" w:cs="Times New Roman" w:eastAsia="Times New Roman" w:hAnsi="Times New Roman"/>
          <w:sz w:val="22"/>
          <w:szCs w:val="22"/>
          <w:color w:val="auto"/>
        </w:rPr>
        <w:t>” if each of the following conditions is met, as determined by the Committee in its sole discretion:</w:t>
      </w:r>
    </w:p>
    <w:p>
      <w:pPr>
        <w:spacing w:after="0" w:line="2" w:lineRule="exact"/>
        <w:rPr>
          <w:sz w:val="20"/>
          <w:szCs w:val="20"/>
          <w:color w:val="auto"/>
        </w:rPr>
      </w:pPr>
    </w:p>
    <w:p>
      <w:pPr>
        <w:ind w:left="1000" w:right="80" w:firstLine="480"/>
        <w:spacing w:after="0" w:line="249" w:lineRule="auto"/>
        <w:tabs>
          <w:tab w:leader="none" w:pos="200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a voluntary Termination of Service at a time when the Company could not otherwise terminate such Participant’s provision of service for Cause on or after the earliest to occur of: (1) the date on which such Participant attains age 62, (2) the date on which such Participant attains age 55 and has completed 15 years of service with the Company or an Affiliate (or predecessor thereof) or (3) such Participant’s age plus years of service with the Company or an Affiliate (or predecessor thereof) totals at least 75;</w:t>
      </w:r>
    </w:p>
    <w:p>
      <w:pPr>
        <w:spacing w:after="0" w:line="208" w:lineRule="exact"/>
        <w:rPr>
          <w:rFonts w:ascii="Times New Roman" w:cs="Times New Roman" w:eastAsia="Times New Roman" w:hAnsi="Times New Roman"/>
          <w:sz w:val="22"/>
          <w:szCs w:val="22"/>
          <w:color w:val="auto"/>
        </w:rPr>
      </w:pPr>
    </w:p>
    <w:p>
      <w:pPr>
        <w:ind w:left="1000" w:right="240" w:firstLine="480"/>
        <w:spacing w:after="0" w:line="271" w:lineRule="auto"/>
        <w:tabs>
          <w:tab w:leader="none" w:pos="199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Participant’s Termination of Service, the Participant enters into an extended restrictive covenant</w:t>
      </w:r>
    </w:p>
    <w:p>
      <w:pPr>
        <w:spacing w:after="0" w:line="200" w:lineRule="exact"/>
        <w:rPr>
          <w:sz w:val="20"/>
          <w:szCs w:val="20"/>
          <w:color w:val="auto"/>
        </w:rPr>
      </w:pPr>
    </w:p>
    <w:p>
      <w:pPr>
        <w:spacing w:after="0" w:line="3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900"/>
          </w:cols>
          <w:pgMar w:left="1440" w:top="1440" w:right="559" w:bottom="1440" w:gutter="0" w:footer="0" w:header="0"/>
        </w:sectPr>
      </w:pPr>
    </w:p>
    <w:bookmarkStart w:id="55" w:name="page56"/>
    <w:bookmarkEnd w:id="55"/>
    <w:p>
      <w:pPr>
        <w:ind w:left="1700" w:right="280"/>
        <w:spacing w:after="0" w:line="271" w:lineRule="auto"/>
        <w:rPr>
          <w:sz w:val="20"/>
          <w:szCs w:val="20"/>
          <w:color w:val="auto"/>
        </w:rPr>
      </w:pPr>
      <w:r>
        <w:rPr>
          <w:rFonts w:ascii="Times New Roman" w:cs="Times New Roman" w:eastAsia="Times New Roman" w:hAnsi="Times New Roman"/>
          <w:sz w:val="22"/>
          <w:szCs w:val="22"/>
          <w:color w:val="auto"/>
        </w:rPr>
        <w:t>agreement in the form provided by the Company, which agreement includes good leaver provisions (such agreement, the “</w:t>
      </w:r>
      <w:r>
        <w:rPr>
          <w:rFonts w:ascii="Times New Roman" w:cs="Times New Roman" w:eastAsia="Times New Roman" w:hAnsi="Times New Roman"/>
          <w:sz w:val="22"/>
          <w:szCs w:val="22"/>
          <w:b w:val="1"/>
          <w:bCs w:val="1"/>
          <w:color w:val="auto"/>
        </w:rPr>
        <w:t>Extended Non-Compete</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ind w:left="1700" w:firstLine="480"/>
        <w:spacing w:after="0" w:line="257" w:lineRule="auto"/>
        <w:tabs>
          <w:tab w:leader="none" w:pos="2690" w:val="left"/>
        </w:tabs>
        <w:numPr>
          <w:ilvl w:val="3"/>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not eligible to receive, and does not receive, any severance payments or benefits in connection with the Participant’s Termination of Service, as determined by the Company in its sole discretion; and</w:t>
      </w:r>
    </w:p>
    <w:p>
      <w:pPr>
        <w:spacing w:after="0" w:line="199" w:lineRule="exact"/>
        <w:rPr>
          <w:rFonts w:ascii="Times New Roman" w:cs="Times New Roman" w:eastAsia="Times New Roman" w:hAnsi="Times New Roman"/>
          <w:sz w:val="22"/>
          <w:szCs w:val="22"/>
          <w:color w:val="auto"/>
        </w:rPr>
      </w:pPr>
    </w:p>
    <w:p>
      <w:pPr>
        <w:ind w:left="1700" w:right="120" w:firstLine="480"/>
        <w:spacing w:after="0" w:line="284" w:lineRule="auto"/>
        <w:tabs>
          <w:tab w:leader="none" w:pos="2702" w:val="left"/>
        </w:tabs>
        <w:numPr>
          <w:ilvl w:val="3"/>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at least six (6) months’ advance written notice of the Participant’s retirement.</w:t>
      </w:r>
    </w:p>
    <w:p>
      <w:pPr>
        <w:spacing w:after="0" w:line="130" w:lineRule="exact"/>
        <w:rPr>
          <w:rFonts w:ascii="Times New Roman" w:cs="Times New Roman" w:eastAsia="Times New Roman" w:hAnsi="Times New Roman"/>
          <w:sz w:val="22"/>
          <w:szCs w:val="22"/>
          <w:color w:val="auto"/>
        </w:rPr>
      </w:pPr>
    </w:p>
    <w:p>
      <w:pPr>
        <w:ind w:left="1200" w:right="280" w:firstLine="494"/>
        <w:spacing w:after="0" w:line="284" w:lineRule="auto"/>
        <w:tabs>
          <w:tab w:leader="none" w:pos="2150"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70" w:lineRule="exact"/>
        <w:rPr>
          <w:rFonts w:ascii="Times New Roman" w:cs="Times New Roman" w:eastAsia="Times New Roman" w:hAnsi="Times New Roman"/>
          <w:sz w:val="22"/>
          <w:szCs w:val="22"/>
          <w:color w:val="auto"/>
        </w:rPr>
      </w:pPr>
    </w:p>
    <w:p>
      <w:pPr>
        <w:ind w:left="1700" w:right="420" w:firstLine="480"/>
        <w:spacing w:after="0" w:line="284" w:lineRule="auto"/>
        <w:tabs>
          <w:tab w:leader="none" w:pos="2698" w:val="left"/>
        </w:tabs>
        <w:numPr>
          <w:ilvl w:val="3"/>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prior to August 10, 2022: none of such RSUs would vest.</w:t>
      </w:r>
    </w:p>
    <w:p>
      <w:pPr>
        <w:spacing w:after="0" w:line="170" w:lineRule="exact"/>
        <w:rPr>
          <w:rFonts w:ascii="Times New Roman" w:cs="Times New Roman" w:eastAsia="Times New Roman" w:hAnsi="Times New Roman"/>
          <w:sz w:val="22"/>
          <w:szCs w:val="22"/>
          <w:color w:val="auto"/>
        </w:rPr>
      </w:pPr>
    </w:p>
    <w:p>
      <w:pPr>
        <w:ind w:left="2680" w:hanging="500"/>
        <w:spacing w:after="0"/>
        <w:tabs>
          <w:tab w:leader="none" w:pos="2680" w:val="left"/>
        </w:tabs>
        <w:numPr>
          <w:ilvl w:val="3"/>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on August 20, 2022:</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4"/>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February 10, 2023, 300 RSUs would vest (600 x 6 months / 12 months = 300); and</w:t>
      </w:r>
    </w:p>
    <w:p>
      <w:pPr>
        <w:spacing w:after="0" w:line="271" w:lineRule="exact"/>
        <w:rPr>
          <w:rFonts w:ascii="Times New Roman" w:cs="Times New Roman" w:eastAsia="Times New Roman" w:hAnsi="Times New Roman"/>
          <w:sz w:val="21"/>
          <w:szCs w:val="21"/>
          <w:color w:val="auto"/>
        </w:rPr>
      </w:pPr>
    </w:p>
    <w:p>
      <w:pPr>
        <w:ind w:left="3140" w:hanging="474"/>
        <w:spacing w:after="0"/>
        <w:tabs>
          <w:tab w:leader="none" w:pos="3140" w:val="left"/>
        </w:tabs>
        <w:numPr>
          <w:ilvl w:val="4"/>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2024, 150 RSUs would vest (600 x 6 months / 24 months = 150).</w:t>
      </w:r>
    </w:p>
    <w:p>
      <w:pPr>
        <w:spacing w:after="0" w:line="246" w:lineRule="exact"/>
        <w:rPr>
          <w:rFonts w:ascii="Times New Roman" w:cs="Times New Roman" w:eastAsia="Times New Roman" w:hAnsi="Times New Roman"/>
          <w:sz w:val="22"/>
          <w:szCs w:val="22"/>
          <w:color w:val="auto"/>
        </w:rPr>
      </w:pPr>
    </w:p>
    <w:p>
      <w:pPr>
        <w:ind w:left="2680" w:hanging="500"/>
        <w:spacing w:after="0"/>
        <w:tabs>
          <w:tab w:leader="none" w:pos="2680" w:val="left"/>
        </w:tabs>
        <w:numPr>
          <w:ilvl w:val="3"/>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on or after February 10, 2023:</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4"/>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600 RSUs would have vested on February 10, 2023; and</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4"/>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2024, 600 RSUs would vest.</w:t>
      </w:r>
    </w:p>
    <w:p>
      <w:pPr>
        <w:spacing w:after="0" w:line="283" w:lineRule="exact"/>
        <w:rPr>
          <w:rFonts w:ascii="Times New Roman" w:cs="Times New Roman" w:eastAsia="Times New Roman" w:hAnsi="Times New Roman"/>
          <w:sz w:val="22"/>
          <w:szCs w:val="22"/>
          <w:color w:val="auto"/>
        </w:rPr>
      </w:pPr>
    </w:p>
    <w:p>
      <w:pPr>
        <w:ind w:right="700" w:firstLine="682"/>
        <w:spacing w:after="0" w:line="287" w:lineRule="auto"/>
        <w:tabs>
          <w:tab w:leader="none" w:pos="10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Notwithstanding any provision of this Agreement to the contrary, in the event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Change in Control prior to the final Vesting Date:</w:t>
      </w:r>
    </w:p>
    <w:p>
      <w:pPr>
        <w:spacing w:after="0" w:line="208" w:lineRule="exact"/>
        <w:rPr>
          <w:rFonts w:ascii="Times New Roman" w:cs="Times New Roman" w:eastAsia="Times New Roman" w:hAnsi="Times New Roman"/>
          <w:sz w:val="22"/>
          <w:szCs w:val="22"/>
          <w:color w:val="auto"/>
        </w:rPr>
      </w:pPr>
    </w:p>
    <w:p>
      <w:pPr>
        <w:ind w:left="640" w:right="140" w:firstLine="568"/>
        <w:spacing w:after="0" w:line="252" w:lineRule="auto"/>
        <w:tabs>
          <w:tab w:leader="none" w:pos="165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Award is continued, assumed or replaced in connection with the Change in Control and, within twelve (12) months following the effective date of the Change in Control, there is a Termination of Service without Cause or the Participant’s position is materially reduced in renumeration or scope of duties and the Participant voluntarily terminates employment, or</w:t>
      </w:r>
    </w:p>
    <w:p>
      <w:pPr>
        <w:spacing w:after="0" w:line="206" w:lineRule="exact"/>
        <w:rPr>
          <w:rFonts w:ascii="Times New Roman" w:cs="Times New Roman" w:eastAsia="Times New Roman" w:hAnsi="Times New Roman"/>
          <w:sz w:val="22"/>
          <w:szCs w:val="22"/>
          <w:color w:val="auto"/>
        </w:rPr>
      </w:pPr>
    </w:p>
    <w:p>
      <w:pPr>
        <w:ind w:left="1680" w:hanging="472"/>
        <w:spacing w:after="0"/>
        <w:tabs>
          <w:tab w:leader="none" w:pos="16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Award is not continued, assumed or replaced in connection with the Change in Control,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560"/>
          </w:cols>
          <w:pgMar w:left="740" w:top="1341" w:right="599" w:bottom="1440" w:gutter="0" w:footer="0" w:header="0"/>
        </w:sectPr>
      </w:pPr>
    </w:p>
    <w:bookmarkStart w:id="56" w:name="page57"/>
    <w:bookmarkEnd w:id="56"/>
    <w:p>
      <w:pPr>
        <w:spacing w:after="0" w:line="22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2"/>
          <w:szCs w:val="22"/>
          <w:color w:val="auto"/>
        </w:rPr>
        <w:t xml:space="preserve">then, subject to the Participant’s execution and non-revocation of a customary release of claims in favor of the Company and its Affiliates prior to such termination (in the case of (a) above) or Change in Control (in the case of (b) above), any unvested RSUs that are outstanding as of immediately prior to such termination (in the case of (a) above) or Change in Control (in the case of (b) above) shall immediately become fully vested and non-forfeitable and the Shares underlying such vested RSUs shall be distributed to the Participant upon such termination (in the case of (a) above) or Change in Control (in the case of (b)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any RSUs to which Section 19 of the Plan applies because such RSUs constitute “deferred compensation” (as defined in Section 409A and 457A of the Code), the RSUs shall be treated as if (b) above applies and, if the event that constitutes such Change in Control does not also constitute a change in the ownership or effective control of the Company, or in the ownership of a substantial portion of the Company’s assets (in either case, as defined in Section 409A and 457A of the Code), such amount shall not be distributed on such Change in Control but instead shall vest as of the date of such Change in Control and shall be paid on the applicable regularly-scheduled Vesting Date(s) set forth in this Agreement pursuant to Section 3(d), except to the extent that earlier distribution would not result in the Participant incurring any additional tax, penalty, interest or other expense under Section 409A and 457A of the Code.</w:t>
      </w:r>
    </w:p>
    <w:p>
      <w:pPr>
        <w:spacing w:after="0" w:line="29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For purposes of this Section 6, this Award shall be considered assumed or replaced if, in connection with the Change in Control and in a manner consistent with Code Section 409A, either (i) the contractual obligations represented by the Award are expressly assumed by the surviving or successor entity (or its parent) with appropriate adjustments to the number and type of securities subject to the Award that preserves the intrinsic value of the Award existing at the time of the Change in Control, or (ii) the Participant has received a comparable equity-based award that preserves the intrinsic value of the Award existing at the time of the Change in Control and contains terms and conditions that are substantially similar to those of the Award.</w:t>
      </w:r>
    </w:p>
    <w:p>
      <w:pPr>
        <w:spacing w:after="0" w:line="203" w:lineRule="exact"/>
        <w:rPr>
          <w:sz w:val="20"/>
          <w:szCs w:val="20"/>
          <w:color w:val="auto"/>
        </w:rPr>
      </w:pPr>
    </w:p>
    <w:p>
      <w:pPr>
        <w:ind w:left="1060" w:hanging="378"/>
        <w:spacing w:after="0"/>
        <w:tabs>
          <w:tab w:leader="none" w:pos="10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Liability; Withholding Requirements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jc w:val="both"/>
        <w:ind w:left="640" w:firstLine="568"/>
        <w:spacing w:after="0" w:line="256" w:lineRule="auto"/>
        <w:tabs>
          <w:tab w:leader="none" w:pos="165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be solely responsible for any applicable taxes (including, without limitation, income, payroll (such as FICA) and excise taxes) and penalties, and any interest that accrues thereon, that the Participant incurs in connection with any taxable event arising in connection with the RSUs granted hereunder and any related dividend distribution.</w:t>
      </w:r>
    </w:p>
    <w:p>
      <w:pPr>
        <w:spacing w:after="0" w:line="203" w:lineRule="exact"/>
        <w:rPr>
          <w:rFonts w:ascii="Times New Roman" w:cs="Times New Roman" w:eastAsia="Times New Roman" w:hAnsi="Times New Roman"/>
          <w:sz w:val="22"/>
          <w:szCs w:val="22"/>
          <w:color w:val="auto"/>
        </w:rPr>
      </w:pPr>
    </w:p>
    <w:p>
      <w:pPr>
        <w:ind w:left="640" w:right="20" w:firstLine="568"/>
        <w:spacing w:after="0" w:line="253" w:lineRule="auto"/>
        <w:tabs>
          <w:tab w:leader="none" w:pos="166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hereby authorizes the Company to withhold from payroll or other amounts payable to Participant (including dividend amounts accrued under Section 3(c)) any sums required to satisfy such withholding tax obligations, and otherwise agrees to satisfy such obligations in accordance with the provisions of Section 16(e) of the Plan. The Participant further authorizes and consents to the Company, or its respective agents, that all withholding tax</w:t>
      </w:r>
    </w:p>
    <w:p>
      <w:pPr>
        <w:spacing w:after="0" w:line="200" w:lineRule="exact"/>
        <w:rPr>
          <w:sz w:val="20"/>
          <w:szCs w:val="20"/>
          <w:color w:val="auto"/>
        </w:rPr>
      </w:pPr>
    </w:p>
    <w:p>
      <w:pPr>
        <w:spacing w:after="0" w:line="37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560"/>
          </w:cols>
          <w:pgMar w:left="740" w:top="1440" w:right="599" w:bottom="1440" w:gutter="0" w:footer="0" w:header="0"/>
        </w:sectPr>
      </w:pPr>
    </w:p>
    <w:bookmarkStart w:id="57" w:name="page58"/>
    <w:bookmarkEnd w:id="57"/>
    <w:p>
      <w:pPr>
        <w:ind w:left="640" w:right="120"/>
        <w:spacing w:after="0" w:line="256" w:lineRule="auto"/>
        <w:rPr>
          <w:sz w:val="20"/>
          <w:szCs w:val="20"/>
          <w:color w:val="auto"/>
        </w:rPr>
      </w:pPr>
      <w:r>
        <w:rPr>
          <w:rFonts w:ascii="Times New Roman" w:cs="Times New Roman" w:eastAsia="Times New Roman" w:hAnsi="Times New Roman"/>
          <w:sz w:val="22"/>
          <w:szCs w:val="22"/>
          <w:color w:val="auto"/>
        </w:rPr>
        <w:t>obligations may be satisfied by having the Company or its agent withhold a number of RSUs or Shares issuable under the RSUs that have a fair market value equal to the then-outstanding amount of such withholding tax obligations, unless, only with respect to the settlement of Shares, the Participant elects prior to the settlement date such other permitted method or combination of methods to satisfy such withholding tax obligations.</w:t>
      </w:r>
    </w:p>
    <w:p>
      <w:pPr>
        <w:spacing w:after="0" w:line="199" w:lineRule="exact"/>
        <w:rPr>
          <w:sz w:val="20"/>
          <w:szCs w:val="20"/>
          <w:color w:val="auto"/>
        </w:rPr>
      </w:pPr>
    </w:p>
    <w:p>
      <w:pPr>
        <w:ind w:right="100" w:firstLine="682"/>
        <w:spacing w:after="0" w:line="252" w:lineRule="auto"/>
        <w:tabs>
          <w:tab w:leader="none" w:pos="105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 Salary, Pensionable Earnings or Base Pay</w:t>
      </w:r>
      <w:r>
        <w:rPr>
          <w:rFonts w:ascii="Times New Roman" w:cs="Times New Roman" w:eastAsia="Times New Roman" w:hAnsi="Times New Roman"/>
          <w:sz w:val="22"/>
          <w:szCs w:val="22"/>
          <w:color w:val="auto"/>
        </w:rPr>
        <w:t>. The Participant acknowledges that the Award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in or deemed to be a part of (a) 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215" w:lineRule="exact"/>
        <w:rPr>
          <w:rFonts w:ascii="Times New Roman" w:cs="Times New Roman" w:eastAsia="Times New Roman" w:hAnsi="Times New Roman"/>
          <w:sz w:val="22"/>
          <w:szCs w:val="22"/>
          <w:color w:val="auto"/>
        </w:rPr>
      </w:pPr>
    </w:p>
    <w:p>
      <w:pPr>
        <w:ind w:right="60" w:firstLine="682"/>
        <w:spacing w:after="0" w:line="249" w:lineRule="auto"/>
        <w:tabs>
          <w:tab w:leader="none" w:pos="105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Whistleblower Protection</w:t>
      </w:r>
      <w:r>
        <w:rPr>
          <w:rFonts w:ascii="Times New Roman" w:cs="Times New Roman" w:eastAsia="Times New Roman" w:hAnsi="Times New Roman"/>
          <w:sz w:val="22"/>
          <w:szCs w:val="22"/>
          <w:color w:val="auto"/>
        </w:rPr>
        <w:t>. The Participant has the right under federal law to certain protections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cooperating with or reporting legal violations to the SEC or its Office of the Whistleblower, as well as certain other governmental entities and self- regulatory organizations. As such, nothing in this Agreement or otherwise is intended to prohibit the Participant from disclosing this Agreement to, or from cooperating with or reporting violations to, the SEC or any such governmental entity or self-regulatory organization, and the Participant may do so without notifying the Company. The Company may not retaliate against the Participant for any of these activities, and nothing in this Agreement or otherwise requires the Participant to waive any monetary award or other payment that the Participant might become entitled to from the SEC or any such governmental entity or self-regulatory organization.</w:t>
      </w:r>
    </w:p>
    <w:p>
      <w:pPr>
        <w:spacing w:after="0" w:line="276" w:lineRule="exact"/>
        <w:rPr>
          <w:rFonts w:ascii="Times New Roman" w:cs="Times New Roman" w:eastAsia="Times New Roman" w:hAnsi="Times New Roman"/>
          <w:sz w:val="22"/>
          <w:szCs w:val="22"/>
          <w:color w:val="auto"/>
        </w:rPr>
      </w:pPr>
    </w:p>
    <w:p>
      <w:pPr>
        <w:ind w:right="380" w:firstLine="574"/>
        <w:spacing w:after="0" w:line="313" w:lineRule="auto"/>
        <w:tabs>
          <w:tab w:leader="none" w:pos="105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 The Company’s obligations under this Agreement is conditioned on the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signing a Restrictive Covenant Agreement in the form of Schedule A (the “</w:t>
      </w:r>
      <w:r>
        <w:rPr>
          <w:rFonts w:ascii="Times New Roman" w:cs="Times New Roman" w:eastAsia="Times New Roman" w:hAnsi="Times New Roman"/>
          <w:sz w:val="21"/>
          <w:szCs w:val="21"/>
          <w:b w:val="1"/>
          <w:bCs w:val="1"/>
          <w:color w:val="auto"/>
        </w:rPr>
        <w:t>Restrictive Covenant Agreement</w:t>
      </w:r>
      <w:r>
        <w:rPr>
          <w:rFonts w:ascii="Times New Roman" w:cs="Times New Roman" w:eastAsia="Times New Roman" w:hAnsi="Times New Roman"/>
          <w:sz w:val="21"/>
          <w:szCs w:val="21"/>
          <w:color w:val="auto"/>
        </w:rPr>
        <w:t>”).</w:t>
      </w:r>
    </w:p>
    <w:p>
      <w:pPr>
        <w:spacing w:after="0" w:line="139" w:lineRule="exact"/>
        <w:rPr>
          <w:rFonts w:ascii="Times New Roman" w:cs="Times New Roman" w:eastAsia="Times New Roman" w:hAnsi="Times New Roman"/>
          <w:sz w:val="21"/>
          <w:szCs w:val="21"/>
          <w:color w:val="auto"/>
        </w:rPr>
      </w:pPr>
    </w:p>
    <w:p>
      <w:pPr>
        <w:jc w:val="both"/>
        <w:ind w:right="420" w:firstLine="574"/>
        <w:spacing w:after="0" w:line="265" w:lineRule="auto"/>
        <w:tabs>
          <w:tab w:leader="none" w:pos="105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Recoupment/Clawback</w:t>
      </w:r>
      <w:r>
        <w:rPr>
          <w:rFonts w:ascii="Times New Roman" w:cs="Times New Roman" w:eastAsia="Times New Roman" w:hAnsi="Times New Roman"/>
          <w:sz w:val="22"/>
          <w:szCs w:val="22"/>
          <w:color w:val="auto"/>
        </w:rPr>
        <w:t>. This Award (including any amounts or benefits arising from this Award)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recoupment or “clawback” as may be required by applicable law, stock exchange rules or by any applicable Company policy or arrangement the Company has in place from time to time.</w:t>
      </w:r>
    </w:p>
    <w:p>
      <w:pPr>
        <w:spacing w:after="0" w:line="201" w:lineRule="exact"/>
        <w:rPr>
          <w:rFonts w:ascii="Times New Roman" w:cs="Times New Roman" w:eastAsia="Times New Roman" w:hAnsi="Times New Roman"/>
          <w:sz w:val="22"/>
          <w:szCs w:val="22"/>
          <w:color w:val="auto"/>
        </w:rPr>
      </w:pPr>
    </w:p>
    <w:p>
      <w:pPr>
        <w:ind w:firstLine="574"/>
        <w:spacing w:after="0" w:line="259" w:lineRule="auto"/>
        <w:tabs>
          <w:tab w:leader="none" w:pos="105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References</w:t>
      </w:r>
      <w:r>
        <w:rPr>
          <w:rFonts w:ascii="Times New Roman" w:cs="Times New Roman" w:eastAsia="Times New Roman" w:hAnsi="Times New Roman"/>
          <w:sz w:val="22"/>
          <w:szCs w:val="22"/>
          <w:color w:val="auto"/>
        </w:rPr>
        <w:t>. References herein to rights and obligations of the Participant shall apply, where appropriate,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legal representative or estate without regard to whether specific reference to such legal representative or estate is contained in a particular provision of this Agreement.</w:t>
      </w:r>
    </w:p>
    <w:p>
      <w:pPr>
        <w:spacing w:after="0" w:line="206" w:lineRule="exact"/>
        <w:rPr>
          <w:rFonts w:ascii="Times New Roman" w:cs="Times New Roman" w:eastAsia="Times New Roman" w:hAnsi="Times New Roman"/>
          <w:sz w:val="22"/>
          <w:szCs w:val="22"/>
          <w:color w:val="auto"/>
        </w:rPr>
      </w:pPr>
    </w:p>
    <w:p>
      <w:pPr>
        <w:ind w:left="1060" w:hanging="486"/>
        <w:spacing w:after="0"/>
        <w:tabs>
          <w:tab w:leader="none" w:pos="10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600"/>
          </w:cols>
          <w:pgMar w:left="740" w:top="1341" w:right="559" w:bottom="1440" w:gutter="0" w:footer="0" w:header="0"/>
        </w:sectPr>
      </w:pPr>
    </w:p>
    <w:bookmarkStart w:id="58" w:name="page59"/>
    <w:bookmarkEnd w:id="58"/>
    <w:p>
      <w:pPr>
        <w:ind w:left="-60" w:right="360" w:firstLine="568"/>
        <w:spacing w:after="0" w:line="274" w:lineRule="auto"/>
        <w:tabs>
          <w:tab w:leader="none" w:pos="95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 Any notice required or permitted to be given under this Agreement shall be in writing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1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Reynolds Consumer Products Inc. 1900 W. Field Court</w:t>
      </w:r>
    </w:p>
    <w:p>
      <w:pPr>
        <w:spacing w:after="0" w:line="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Lake Forest, Illinois 60045 Attention: Valerie Miller Richards</w:t>
      </w:r>
    </w:p>
    <w:p>
      <w:pPr>
        <w:spacing w:after="0" w:line="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Valerie.Miller@ReynoldsBrands.com</w:t>
      </w:r>
    </w:p>
    <w:p>
      <w:pPr>
        <w:spacing w:after="0" w:line="2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If to the Participant:</w:t>
      </w:r>
    </w:p>
    <w:p>
      <w:pPr>
        <w:spacing w:after="0" w:line="260" w:lineRule="exact"/>
        <w:rPr>
          <w:sz w:val="20"/>
          <w:szCs w:val="20"/>
          <w:color w:val="auto"/>
        </w:rPr>
      </w:pPr>
    </w:p>
    <w:p>
      <w:pPr>
        <w:ind w:left="600" w:right="200"/>
        <w:spacing w:after="0" w:line="257" w:lineRule="auto"/>
        <w:rPr>
          <w:sz w:val="20"/>
          <w:szCs w:val="20"/>
          <w:color w:val="auto"/>
        </w:rPr>
      </w:pPr>
      <w:r>
        <w:rPr>
          <w:rFonts w:ascii="Times New Roman" w:cs="Times New Roman" w:eastAsia="Times New Roman" w:hAnsi="Times New Roman"/>
          <w:sz w:val="22"/>
          <w:szCs w:val="22"/>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263" w:lineRule="exact"/>
        <w:rPr>
          <w:sz w:val="20"/>
          <w:szCs w:val="20"/>
          <w:color w:val="auto"/>
        </w:rPr>
      </w:pPr>
    </w:p>
    <w:p>
      <w:pPr>
        <w:ind w:left="-60" w:firstLine="730"/>
        <w:spacing w:after="0" w:line="262" w:lineRule="auto"/>
        <w:tabs>
          <w:tab w:leader="none" w:pos="112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This Agreement, the Plan and any other agreements, schedules, exhibits and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provided that the restrictions set forth in this Agreement are in addition to, not in lieu of, any other obligation and/or restriction that the Participant may have with respect to the Company or any of its Affiliates, whether by operation of law, contract, or otherwise, including, without limitation, any non-solicitation obligations contained in an employment agreement, consulting agreement or other similar agreement entered into by and between the Participant and the Company or one of its Affiliates, which shall survive the termination of any such agreements, and be enforceable independently of such other agreements.</w:t>
      </w:r>
    </w:p>
    <w:p>
      <w:pPr>
        <w:spacing w:after="0" w:line="212" w:lineRule="exact"/>
        <w:rPr>
          <w:rFonts w:ascii="Times New Roman" w:cs="Times New Roman" w:eastAsia="Times New Roman" w:hAnsi="Times New Roman"/>
          <w:sz w:val="21"/>
          <w:szCs w:val="21"/>
          <w:color w:val="auto"/>
        </w:rPr>
      </w:pPr>
    </w:p>
    <w:p>
      <w:pPr>
        <w:ind w:left="-60" w:right="60" w:firstLine="568"/>
        <w:spacing w:after="0" w:line="254" w:lineRule="auto"/>
        <w:tabs>
          <w:tab w:leader="none" w:pos="95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Sections 409A and 457A of the Code</w:t>
      </w:r>
      <w:r>
        <w:rPr>
          <w:rFonts w:ascii="Times New Roman" w:cs="Times New Roman" w:eastAsia="Times New Roman" w:hAnsi="Times New Roman"/>
          <w:sz w:val="22"/>
          <w:szCs w:val="22"/>
          <w:color w:val="auto"/>
        </w:rPr>
        <w:t>. For the avoidance of doubt, to the extent that this Award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Section 409A and/or Section 457A of the Code, the Award is intended to comply with the requirements of Sections 409A and 457A of the Code, and the provisions of the Award shall be interpreted in a manner that satisfies the requirements of Sections 409A and 457A of the Code. Section 19 of the Plan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9840"/>
          </w:cols>
          <w:pgMar w:left="1440" w:top="1337" w:right="619" w:bottom="1440" w:gutter="0" w:footer="0" w:header="0"/>
        </w:sectPr>
      </w:pPr>
    </w:p>
    <w:bookmarkStart w:id="59" w:name="page60"/>
    <w:bookmarkEnd w:id="59"/>
    <w:p>
      <w:pPr>
        <w:ind w:left="-60" w:right="80" w:firstLine="568"/>
        <w:spacing w:after="0" w:line="252" w:lineRule="auto"/>
        <w:tabs>
          <w:tab w:leader="none" w:pos="96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or 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215" w:lineRule="exact"/>
        <w:rPr>
          <w:rFonts w:ascii="Times New Roman" w:cs="Times New Roman" w:eastAsia="Times New Roman" w:hAnsi="Times New Roman"/>
          <w:sz w:val="22"/>
          <w:szCs w:val="22"/>
          <w:color w:val="auto"/>
        </w:rPr>
      </w:pPr>
    </w:p>
    <w:p>
      <w:pPr>
        <w:ind w:left="-60" w:right="60" w:firstLine="568"/>
        <w:spacing w:after="0" w:line="249" w:lineRule="auto"/>
        <w:tabs>
          <w:tab w:leader="none" w:pos="95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Waiver</w:t>
      </w:r>
      <w:r>
        <w:rPr>
          <w:rFonts w:ascii="Times New Roman" w:cs="Times New Roman" w:eastAsia="Times New Roman" w:hAnsi="Times New Roman"/>
          <w:sz w:val="22"/>
          <w:szCs w:val="22"/>
          <w:color w:val="auto"/>
        </w:rPr>
        <w:t>. No amendment or modification of any provision of this Agreement that has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adverse effect on the Participant shall be effective unless signed in writing by or on behalf of the Company and the Participant; provided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208" w:lineRule="exact"/>
        <w:rPr>
          <w:rFonts w:ascii="Times New Roman" w:cs="Times New Roman" w:eastAsia="Times New Roman" w:hAnsi="Times New Roman"/>
          <w:sz w:val="22"/>
          <w:szCs w:val="22"/>
          <w:color w:val="auto"/>
        </w:rPr>
      </w:pPr>
    </w:p>
    <w:p>
      <w:pPr>
        <w:ind w:left="-60" w:right="140" w:firstLine="568"/>
        <w:spacing w:after="0" w:line="275" w:lineRule="auto"/>
        <w:tabs>
          <w:tab w:leader="none" w:pos="93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w:t>
      </w:r>
      <w:r>
        <w:rPr>
          <w:rFonts w:ascii="Times New Roman" w:cs="Times New Roman" w:eastAsia="Times New Roman" w:hAnsi="Times New Roman"/>
          <w:sz w:val="22"/>
          <w:szCs w:val="22"/>
          <w:color w:val="auto"/>
        </w:rPr>
        <w:t>. Neither this Agreement nor any right, remedy, obligation or liability arising hereunder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reason hereof shall be assignable by the Participant.</w:t>
      </w:r>
    </w:p>
    <w:p>
      <w:pPr>
        <w:spacing w:after="0" w:line="189" w:lineRule="exact"/>
        <w:rPr>
          <w:rFonts w:ascii="Times New Roman" w:cs="Times New Roman" w:eastAsia="Times New Roman" w:hAnsi="Times New Roman"/>
          <w:sz w:val="22"/>
          <w:szCs w:val="22"/>
          <w:color w:val="auto"/>
        </w:rPr>
      </w:pPr>
    </w:p>
    <w:p>
      <w:pPr>
        <w:ind w:left="-60" w:right="140" w:firstLine="568"/>
        <w:spacing w:after="0" w:line="266" w:lineRule="auto"/>
        <w:tabs>
          <w:tab w:leader="none" w:pos="96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Successors and Assigns; No Third-Party Beneficiaries</w:t>
      </w:r>
      <w:r>
        <w:rPr>
          <w:rFonts w:ascii="Times New Roman" w:cs="Times New Roman" w:eastAsia="Times New Roman" w:hAnsi="Times New Roman"/>
          <w:sz w:val="21"/>
          <w:szCs w:val="21"/>
          <w:color w:val="auto"/>
        </w:rPr>
        <w:t>. This Agreement shall inure to the benefit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be binding upon the Company 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pacing w:after="0" w:line="200" w:lineRule="exact"/>
        <w:rPr>
          <w:rFonts w:ascii="Times New Roman" w:cs="Times New Roman" w:eastAsia="Times New Roman" w:hAnsi="Times New Roman"/>
          <w:sz w:val="21"/>
          <w:szCs w:val="21"/>
          <w:color w:val="auto"/>
        </w:rPr>
      </w:pPr>
    </w:p>
    <w:p>
      <w:pPr>
        <w:ind w:left="-60" w:firstLine="568"/>
        <w:spacing w:after="0" w:line="252" w:lineRule="auto"/>
        <w:tabs>
          <w:tab w:leader="none" w:pos="96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 Waiver of Jury Trial</w:t>
      </w:r>
      <w:r>
        <w:rPr>
          <w:rFonts w:ascii="Times New Roman" w:cs="Times New Roman" w:eastAsia="Times New Roman" w:hAnsi="Times New Roman"/>
          <w:sz w:val="22"/>
          <w:szCs w:val="22"/>
          <w:color w:val="auto"/>
        </w:rPr>
        <w:t>. This Agreement shall be governed by the laws of the State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Delaware, without application of the 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201" w:lineRule="exact"/>
        <w:rPr>
          <w:rFonts w:ascii="Times New Roman" w:cs="Times New Roman" w:eastAsia="Times New Roman" w:hAnsi="Times New Roman"/>
          <w:sz w:val="22"/>
          <w:szCs w:val="22"/>
          <w:color w:val="auto"/>
        </w:rPr>
      </w:pPr>
    </w:p>
    <w:p>
      <w:pPr>
        <w:ind w:left="-60" w:right="300" w:firstLine="568"/>
        <w:spacing w:after="0" w:line="259" w:lineRule="auto"/>
        <w:tabs>
          <w:tab w:leader="none" w:pos="9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Dispute Resolution</w:t>
      </w:r>
      <w:r>
        <w:rPr>
          <w:rFonts w:ascii="Times New Roman" w:cs="Times New Roman" w:eastAsia="Times New Roman" w:hAnsi="Times New Roman"/>
          <w:sz w:val="22"/>
          <w:szCs w:val="22"/>
          <w:color w:val="auto"/>
        </w:rPr>
        <w:t>. Any dispute or claim arising out of, under or in connection with the Plan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Agreement shall be submitted to arbitration in Delaware and shall be conducted in accordance with the rules of,</w:t>
      </w:r>
    </w:p>
    <w:p>
      <w:pPr>
        <w:spacing w:after="0" w:line="200" w:lineRule="exact"/>
        <w:rPr>
          <w:sz w:val="20"/>
          <w:szCs w:val="20"/>
          <w:color w:val="auto"/>
        </w:rPr>
      </w:pPr>
    </w:p>
    <w:p>
      <w:pPr>
        <w:spacing w:after="0" w:line="38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9860"/>
          </w:cols>
          <w:pgMar w:left="1440" w:top="1337" w:right="599" w:bottom="1440" w:gutter="0" w:footer="0" w:header="0"/>
        </w:sectPr>
      </w:pPr>
    </w:p>
    <w:bookmarkStart w:id="60" w:name="page61"/>
    <w:bookmarkEnd w:id="60"/>
    <w:p>
      <w:pPr>
        <w:ind w:right="160"/>
        <w:spacing w:after="0" w:line="265" w:lineRule="auto"/>
        <w:rPr>
          <w:sz w:val="20"/>
          <w:szCs w:val="20"/>
          <w:color w:val="auto"/>
        </w:rPr>
      </w:pPr>
      <w:r>
        <w:rPr>
          <w:rFonts w:ascii="Times New Roman" w:cs="Times New Roman" w:eastAsia="Times New Roman" w:hAnsi="Times New Roman"/>
          <w:sz w:val="21"/>
          <w:szCs w:val="21"/>
          <w:color w:val="auto"/>
        </w:rPr>
        <w:t>but not necessarily under the auspices of, the American Arbitration Association (“</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rules in force when the notice of arbitration is submitted. The arbitration shall be conducted before an arbitration tribunal comprised of one individual, mutually selected by the Company and the Participant, such selection to be made within 30 calendar days after notice of arbitration has been given. In the event the parties are unable to agree in such time,</w:t>
      </w:r>
    </w:p>
    <w:p>
      <w:pPr>
        <w:spacing w:after="0" w:line="1" w:lineRule="exact"/>
        <w:rPr>
          <w:sz w:val="20"/>
          <w:szCs w:val="20"/>
          <w:color w:val="auto"/>
        </w:rPr>
      </w:pPr>
    </w:p>
    <w:p>
      <w:pPr>
        <w:ind w:right="20" w:firstLine="10"/>
        <w:spacing w:after="0" w:line="245" w:lineRule="auto"/>
        <w:tabs>
          <w:tab w:leader="none" w:pos="52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provide a list of three available arbitrators and an arbitrator will be selected from such three- 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228" w:lineRule="exact"/>
        <w:rPr>
          <w:rFonts w:ascii="Times New Roman" w:cs="Times New Roman" w:eastAsia="Times New Roman" w:hAnsi="Times New Roman"/>
          <w:sz w:val="22"/>
          <w:szCs w:val="22"/>
          <w:color w:val="auto"/>
        </w:rPr>
      </w:pPr>
    </w:p>
    <w:p>
      <w:pPr>
        <w:ind w:right="20" w:firstLine="568"/>
        <w:spacing w:after="0" w:line="250" w:lineRule="auto"/>
        <w:tabs>
          <w:tab w:leader="none" w:pos="97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Participant Undertaking; Acceptance</w:t>
      </w:r>
      <w:r>
        <w:rPr>
          <w:rFonts w:ascii="Times New Roman" w:cs="Times New Roman" w:eastAsia="Times New Roman" w:hAnsi="Times New Roman"/>
          <w:sz w:val="22"/>
          <w:szCs w:val="22"/>
          <w:color w:val="auto"/>
        </w:rPr>
        <w:t>. The Participant agrees to take whatever additional action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 whatever additional 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207" w:lineRule="exact"/>
        <w:rPr>
          <w:rFonts w:ascii="Times New Roman" w:cs="Times New Roman" w:eastAsia="Times New Roman" w:hAnsi="Times New Roman"/>
          <w:sz w:val="22"/>
          <w:szCs w:val="22"/>
          <w:color w:val="auto"/>
        </w:rPr>
      </w:pPr>
    </w:p>
    <w:p>
      <w:pPr>
        <w:ind w:right="140" w:firstLine="568"/>
        <w:spacing w:after="0" w:line="275" w:lineRule="auto"/>
        <w:tabs>
          <w:tab w:leader="none" w:pos="102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Captions</w:t>
      </w:r>
      <w:r>
        <w:rPr>
          <w:rFonts w:ascii="Times New Roman" w:cs="Times New Roman" w:eastAsia="Times New Roman" w:hAnsi="Times New Roman"/>
          <w:sz w:val="22"/>
          <w:szCs w:val="22"/>
          <w:color w:val="auto"/>
        </w:rPr>
        <w:t>. Captions provided herein are for convenience only and shall not affect the scope, meaning,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intent or interpretation of the provisions of this Award Agreement.</w:t>
      </w:r>
    </w:p>
    <w:p>
      <w:pPr>
        <w:spacing w:after="0" w:line="189" w:lineRule="exact"/>
        <w:rPr>
          <w:rFonts w:ascii="Times New Roman" w:cs="Times New Roman" w:eastAsia="Times New Roman" w:hAnsi="Times New Roman"/>
          <w:sz w:val="22"/>
          <w:szCs w:val="22"/>
          <w:color w:val="auto"/>
        </w:rPr>
      </w:pPr>
    </w:p>
    <w:p>
      <w:pPr>
        <w:ind w:firstLine="568"/>
        <w:spacing w:after="0" w:line="275" w:lineRule="auto"/>
        <w:tabs>
          <w:tab w:leader="none" w:pos="97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Agreement may be executed in two counterparts, each of which shall constitute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same instrument.</w:t>
      </w:r>
    </w:p>
    <w:p>
      <w:pPr>
        <w:spacing w:after="0" w:line="19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9920"/>
          </w:cols>
          <w:pgMar w:left="1380" w:top="1337" w:right="599"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00" w:lineRule="exact"/>
        <w:rPr>
          <w:sz w:val="20"/>
          <w:szCs w:val="20"/>
          <w:color w:val="auto"/>
        </w:rPr>
      </w:pPr>
    </w:p>
    <w:p>
      <w:pPr>
        <w:spacing w:after="0" w:line="3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REYNOLDS CONSUMER PRODUCTS</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INC.</w:t>
      </w:r>
    </w:p>
    <w:p>
      <w:pPr>
        <w:spacing w:after="0" w:line="1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27940</wp:posOffset>
            </wp:positionV>
            <wp:extent cx="24771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Scott E. Huckins</w:t>
      </w:r>
    </w:p>
    <w:p>
      <w:pPr>
        <w:spacing w:after="0" w:line="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ectPr>
          <w:pgSz w:w="11900" w:h="16838" w:orient="portrait"/>
          <w:cols w:equalWidth="0" w:num="1">
            <w:col w:w="10240"/>
          </w:cols>
          <w:pgMar w:left="420" w:top="1408" w:right="1239" w:bottom="1440" w:gutter="0" w:footer="0" w:header="0"/>
        </w:sectPr>
      </w:pPr>
    </w:p>
    <w:bookmarkStart w:id="62" w:name="page63"/>
    <w:bookmarkEnd w:id="6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%%FIRST_NAME_MIDDLE_NAME_LAST_NAME%-%</w:t>
      </w:r>
    </w:p>
    <w:p>
      <w:pPr>
        <w:spacing w:after="0" w:line="188" w:lineRule="exact"/>
        <w:rPr>
          <w:sz w:val="20"/>
          <w:szCs w:val="20"/>
          <w:color w:val="auto"/>
        </w:rPr>
      </w:pPr>
    </w:p>
    <w:p>
      <w:pPr>
        <w:sectPr>
          <w:pgSz w:w="11900" w:h="16838" w:orient="portrait"/>
          <w:cols w:equalWidth="0" w:num="2">
            <w:col w:w="320" w:space="300"/>
            <w:col w:w="9419"/>
          </w:cols>
          <w:pgMar w:left="420" w:top="1192" w:right="1440" w:bottom="1440" w:gutter="0" w:footer="0" w:header="0"/>
        </w:sectPr>
      </w:pPr>
    </w:p>
    <w:p>
      <w:pPr>
        <w:ind w:left="58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Address:</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%%ADDRESS_LINE_1%-%</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%%ADDRESS_LINE_2%-%</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%%CITY_STATE_ZIPCODE%-%</w:t>
      </w:r>
    </w:p>
    <w:p>
      <w:pPr>
        <w:sectPr>
          <w:pgSz w:w="11900" w:h="16838" w:orient="portrait"/>
          <w:cols w:equalWidth="0" w:num="1">
            <w:col w:w="10039"/>
          </w:cols>
          <w:pgMar w:left="420" w:top="1192" w:right="1440" w:bottom="1440" w:gutter="0" w:footer="0" w:header="0"/>
          <w:type w:val="continuous"/>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Huckins, certify that:</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April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Lowe, certify that:</w:t>
      </w:r>
    </w:p>
    <w:p>
      <w:pPr>
        <w:spacing w:after="0" w:line="225"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8020" w:val="left"/>
        </w:tabs>
        <w:rPr>
          <w:sz w:val="20"/>
          <w:szCs w:val="20"/>
          <w:color w:val="auto"/>
        </w:rPr>
      </w:pPr>
      <w:r>
        <w:rPr>
          <w:rFonts w:ascii="Times New Roman" w:cs="Times New Roman" w:eastAsia="Times New Roman" w:hAnsi="Times New Roman"/>
          <w:sz w:val="18"/>
          <w:szCs w:val="18"/>
          <w:color w:val="auto"/>
        </w:rPr>
        <w:t>Date: April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March 31, 2025 as filed with the Securities and Exchange Commission on the date hereof (the “Report”), I, Scott Huckins,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April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March 31, 2025 as filed with the Securities and Exchange Commission on the date hereof (the “Report”), I, Nathan Lowe, Chief Financial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8020" w:val="left"/>
        </w:tabs>
        <w:rPr>
          <w:sz w:val="20"/>
          <w:szCs w:val="20"/>
          <w:color w:val="auto"/>
        </w:rPr>
      </w:pPr>
      <w:r>
        <w:rPr>
          <w:rFonts w:ascii="Times New Roman" w:cs="Times New Roman" w:eastAsia="Times New Roman" w:hAnsi="Times New Roman"/>
          <w:sz w:val="18"/>
          <w:szCs w:val="18"/>
          <w:color w:val="auto"/>
        </w:rPr>
        <w:t>Date: April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x"/>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Letter"/>
      <w:start w:val="2"/>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decimal"/>
      <w:start w:val="1"/>
    </w:lvl>
    <w:lvl w:ilvl="1">
      <w:lvlJc w:val="left"/>
      <w:lvlText w:val="(%2)"/>
      <w:numFmt w:val="lowerLetter"/>
      <w:start w:val="1"/>
    </w:lvl>
  </w:abstractNum>
  <w:abstractNum w:abstractNumId="16">
    <w:nsid w:val="77465F01"/>
    <w:multiLevelType w:val="hybridMultilevel"/>
    <w:lvl w:ilvl="0">
      <w:lvlJc w:val="left"/>
      <w:lvlText w:val="(%1)"/>
      <w:numFmt w:val="lowerLetter"/>
      <w:start w:val="4"/>
    </w:lvl>
  </w:abstractNum>
  <w:abstractNum w:abstractNumId="17">
    <w:nsid w:val="7724C67E"/>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8">
    <w:nsid w:val="5C482A9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
    <w:nsid w:val="2463B9E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20">
    <w:nsid w:val="5E884AD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1">
    <w:nsid w:val="51EAD36B"/>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22">
    <w:nsid w:val="2D51779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3">
    <w:nsid w:val="580BD78F"/>
    <w:multiLevelType w:val="hybridMultilevel"/>
    <w:lvl w:ilvl="0">
      <w:lvlJc w:val="left"/>
      <w:lvlText w:val="(%1)"/>
      <w:numFmt w:val="lowerRoman"/>
      <w:start w:val="3"/>
    </w:lvl>
    <w:lvl w:ilvl="1">
      <w:lvlJc w:val="left"/>
      <w:lvlText w:val="(%2)"/>
      <w:numFmt w:val="upperLetter"/>
      <w:start w:val="1"/>
    </w:lvl>
  </w:abstractNum>
  <w:abstractNum w:abstractNumId="24">
    <w:nsid w:val="153EA43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
    </w:lvl>
    <w:lvl w:ilvl="3">
      <w:lvlJc w:val="left"/>
      <w:lvlText w:val="%4"/>
      <w:numFmt w:val="decimal"/>
      <w:start w:val="1"/>
    </w:lvl>
  </w:abstractNum>
  <w:abstractNum w:abstractNumId="25">
    <w:nsid w:val="3855585C"/>
    <w:multiLevelType w:val="hybridMultilevel"/>
    <w:lvl w:ilvl="0">
      <w:lvlJc w:val="left"/>
      <w:lvlText w:val="%1"/>
      <w:numFmt w:val="decimal"/>
      <w:start w:val="1"/>
    </w:lvl>
    <w:lvl w:ilvl="1">
      <w:lvlJc w:val="left"/>
      <w:lvlText w:val="(%2)"/>
      <w:numFmt w:val="lowerRoman"/>
      <w:start w:val="5"/>
    </w:lvl>
    <w:lvl w:ilvl="2">
      <w:lvlJc w:val="left"/>
      <w:lvlText w:val="(%3)"/>
      <w:numFmt w:val="upperLetter"/>
      <w:start w:val="1"/>
    </w:lvl>
    <w:lvl w:ilvl="3">
      <w:lvlJc w:val="left"/>
      <w:lvlText w:val="(%4)"/>
      <w:numFmt w:val="decimal"/>
      <w:start w:val="1"/>
    </w:lvl>
  </w:abstractNum>
  <w:abstractNum w:abstractNumId="26">
    <w:nsid w:val="70A64E2A"/>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7">
    <w:nsid w:val="6A2342EC"/>
    <w:multiLevelType w:val="hybridMultilevel"/>
    <w:lvl w:ilvl="0">
      <w:lvlJc w:val="left"/>
      <w:lvlText w:val="%1."/>
      <w:numFmt w:val="decimal"/>
      <w:start w:val="7"/>
    </w:lvl>
    <w:lvl w:ilvl="1">
      <w:lvlJc w:val="left"/>
      <w:lvlText w:val="(%2)"/>
      <w:numFmt w:val="lowerLetter"/>
      <w:start w:val="1"/>
    </w:lvl>
  </w:abstractNum>
  <w:abstractNum w:abstractNumId="28">
    <w:nsid w:val="2A487CB0"/>
    <w:multiLevelType w:val="hybridMultilevel"/>
    <w:lvl w:ilvl="0">
      <w:lvlJc w:val="left"/>
      <w:lvlText w:val="%1."/>
      <w:numFmt w:val="decimal"/>
      <w:start w:val="10"/>
    </w:lvl>
    <w:lvl w:ilvl="1">
      <w:lvlJc w:val="left"/>
      <w:lvlText w:val="(%2)"/>
      <w:numFmt w:val="lowerLetter"/>
      <w:start w:val="1"/>
    </w:lvl>
  </w:abstractNum>
  <w:abstractNum w:abstractNumId="29">
    <w:nsid w:val="1D4ED43B"/>
    <w:multiLevelType w:val="hybridMultilevel"/>
    <w:lvl w:ilvl="0">
      <w:lvlJc w:val="left"/>
      <w:lvlText w:val="(%1)"/>
      <w:numFmt w:val="lowerLetter"/>
      <w:start w:val="2"/>
    </w:lvl>
  </w:abstractNum>
  <w:abstractNum w:abstractNumId="30">
    <w:nsid w:val="725A06FB"/>
    <w:multiLevelType w:val="hybridMultilevel"/>
    <w:lvl w:ilvl="0">
      <w:lvlJc w:val="left"/>
      <w:lvlText w:val="(%1)"/>
      <w:numFmt w:val="lowerLetter"/>
      <w:start w:val="3"/>
    </w:lvl>
  </w:abstractNum>
  <w:abstractNum w:abstractNumId="31">
    <w:nsid w:val="2CD89A32"/>
    <w:multiLevelType w:val="hybridMultilevel"/>
    <w:lvl w:ilvl="0">
      <w:lvlJc w:val="left"/>
      <w:lvlText w:val="%1"/>
      <w:numFmt w:val="upperLetter"/>
      <w:start w:val="1"/>
    </w:lvl>
    <w:lvl w:ilvl="1">
      <w:lvlJc w:val="left"/>
      <w:lvlText w:val="(%2)"/>
      <w:numFmt w:val="lowerLetter"/>
      <w:start w:val="7"/>
    </w:lvl>
  </w:abstractNum>
  <w:abstractNum w:abstractNumId="32">
    <w:nsid w:val="57E4CCAF"/>
    <w:multiLevelType w:val="hybridMultilevel"/>
    <w:lvl w:ilvl="0">
      <w:lvlJc w:val="left"/>
      <w:lvlText w:val="(%1)"/>
      <w:numFmt w:val="lowerLetter"/>
      <w:start w:val="11"/>
    </w:lvl>
  </w:abstractNum>
  <w:abstractNum w:abstractNumId="33">
    <w:nsid w:val="7A6D8D3C"/>
    <w:multiLevelType w:val="hybridMultilevel"/>
    <w:lvl w:ilvl="0">
      <w:lvlJc w:val="left"/>
      <w:lvlText w:val="%1."/>
      <w:numFmt w:val="decimal"/>
      <w:start w:val="1"/>
    </w:lvl>
    <w:lvl w:ilvl="1">
      <w:lvlJc w:val="left"/>
      <w:lvlText w:val="(%2)"/>
      <w:numFmt w:val="lowerLetter"/>
      <w:start w:val="1"/>
    </w:lvl>
  </w:abstractNum>
  <w:abstractNum w:abstractNumId="34">
    <w:nsid w:val="4B588F54"/>
    <w:multiLevelType w:val="hybridMultilevel"/>
    <w:lvl w:ilvl="0">
      <w:lvlJc w:val="left"/>
      <w:lvlText w:val="(%1)"/>
      <w:numFmt w:val="lowerLetter"/>
      <w:start w:val="3"/>
    </w:lvl>
  </w:abstractNum>
  <w:abstractNum w:abstractNumId="35">
    <w:nsid w:val="542289E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6">
    <w:nsid w:val="6DE91B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
    <w:nsid w:val="38437FDB"/>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38">
    <w:nsid w:val="7644A45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9">
    <w:nsid w:val="32FFF902"/>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40">
    <w:nsid w:val="684A481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1">
    <w:nsid w:val="579478FE"/>
    <w:multiLevelType w:val="hybridMultilevel"/>
    <w:lvl w:ilvl="0">
      <w:lvlJc w:val="left"/>
      <w:lvlText w:val="(%1)"/>
      <w:numFmt w:val="lowerRoman"/>
      <w:start w:val="2"/>
    </w:lvl>
  </w:abstractNum>
  <w:abstractNum w:abstractNumId="42">
    <w:nsid w:val="749ABB43"/>
    <w:multiLevelType w:val="hybridMultilevel"/>
    <w:lvl w:ilvl="0">
      <w:lvlJc w:val="left"/>
      <w:lvlText w:val="(%1)"/>
      <w:numFmt w:val="upperLetter"/>
      <w:start w:val="1"/>
    </w:lvl>
  </w:abstractNum>
  <w:abstractNum w:abstractNumId="43">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3"/>
    </w:lvl>
    <w:lvl w:ilvl="4">
      <w:lvlJc w:val="left"/>
      <w:lvlText w:val="%5"/>
      <w:numFmt w:val="decimal"/>
      <w:start w:val="1"/>
    </w:lvl>
  </w:abstractNum>
  <w:abstractNum w:abstractNumId="44">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upperLetter"/>
      <w:start w:val="1"/>
    </w:lvl>
    <w:lvl w:ilvl="4">
      <w:lvlJc w:val="left"/>
      <w:lvlText w:val="(%5)"/>
      <w:numFmt w:val="decimal"/>
      <w:start w:val="1"/>
    </w:lvl>
  </w:abstractNum>
  <w:abstractNum w:abstractNumId="45">
    <w:nsid w:val="79A1DEA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decimal"/>
      <w:start w:val="1"/>
    </w:lvl>
  </w:abstractNum>
  <w:abstractNum w:abstractNumId="46">
    <w:nsid w:val="75C6C33A"/>
    <w:multiLevelType w:val="hybridMultilevel"/>
    <w:lvl w:ilvl="0">
      <w:lvlJc w:val="left"/>
      <w:lvlText w:val="%1."/>
      <w:numFmt w:val="decimal"/>
      <w:start w:val="7"/>
    </w:lvl>
    <w:lvl w:ilvl="1">
      <w:lvlJc w:val="left"/>
      <w:lvlText w:val="(%2)"/>
      <w:numFmt w:val="lowerLetter"/>
      <w:start w:val="1"/>
    </w:lvl>
  </w:abstractNum>
  <w:abstractNum w:abstractNumId="47">
    <w:nsid w:val="12E685FB"/>
    <w:multiLevelType w:val="hybridMultilevel"/>
    <w:lvl w:ilvl="0">
      <w:lvlJc w:val="left"/>
      <w:lvlText w:val="%1."/>
      <w:numFmt w:val="decimal"/>
      <w:start w:val="8"/>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1"/>
    </w:lvl>
    <w:lvl w:ilvl="1">
      <w:lvlJc w:val="left"/>
      <w:lvlText w:val="(%2)"/>
      <w:numFmt w:val="lowerLetter"/>
      <w:start w:val="2"/>
    </w:lvl>
  </w:abstractNum>
  <w:abstractNum w:abstractNumId="50">
    <w:nsid w:val="374A3FE6"/>
    <w:multiLevelType w:val="hybridMultilevel"/>
    <w:lvl w:ilvl="0">
      <w:lvlJc w:val="left"/>
      <w:lvlText w:val="(%1)"/>
      <w:numFmt w:val="lowerLetter"/>
      <w:start w:val="3"/>
    </w:lvl>
    <w:lvl w:ilvl="1">
      <w:lvlJc w:val="left"/>
      <w:lvlText w:val="%2"/>
      <w:numFmt w:val="lowerLetter"/>
      <w:start w:val="1"/>
    </w:lvl>
  </w:abstractNum>
  <w:abstractNum w:abstractNumId="51">
    <w:nsid w:val="4F4EF005"/>
    <w:multiLevelType w:val="hybridMultilevel"/>
    <w:lvl w:ilvl="0">
      <w:lvlJc w:val="left"/>
      <w:lvlText w:val="(%1)"/>
      <w:numFmt w:val="lowerLetter"/>
      <w:start w:val="4"/>
    </w:lvl>
  </w:abstractNum>
  <w:abstractNum w:abstractNumId="52">
    <w:nsid w:val="23F9C13C"/>
    <w:multiLevelType w:val="hybridMultilevel"/>
    <w:lvl w:ilvl="0">
      <w:lvlJc w:val="left"/>
      <w:lvlText w:val="%1"/>
      <w:numFmt w:val="upperLetter"/>
      <w:start w:val="53"/>
    </w:lvl>
    <w:lvl w:ilvl="1">
      <w:lvlJc w:val="left"/>
      <w:lvlText w:val="(%2)"/>
      <w:numFmt w:val="lowerLetter"/>
      <w:start w:val="10"/>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47" Type="http://schemas.openxmlformats.org/officeDocument/2006/relationships/hyperlink" Target="https://www.sec.gov/Archives/edgar/data/1786431/000162828024035405/reyn-2024630x10qxexx33.htm" TargetMode="External"/><Relationship Id="rId48" Type="http://schemas.openxmlformats.org/officeDocument/2006/relationships/hyperlink" Target="https://www.sec.gov/Archives/edgar/data/0001786431/000119312520024304/d874780dex32.htm" TargetMode="External"/><Relationship Id="rId49" Type="http://schemas.openxmlformats.org/officeDocument/2006/relationships/hyperlink" Target="https://www.sec.gov/Archives/edgar/data/1786431/00016282802500980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2025-04-30T08:23:15Z</dcterms:created>
  <dcterms:modified xsi:type="dcterms:W3CDTF">2025-04-30T08:23:15Z</dcterms:modified>
</cp:coreProperties>
</file>