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left="1180" w:right="162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215265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REYNOLDS CONSUMER PRODUCTS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1080" w:type="dxa"/>
            <w:vAlign w:val="bottom"/>
          </w:tcPr>
          <w:p>
            <w:pPr>
              <w:spacing w:after="0"/>
              <w:rPr>
                <w:sz w:val="18"/>
                <w:szCs w:val="18"/>
                <w:color w:val="auto"/>
              </w:rPr>
            </w:pPr>
          </w:p>
        </w:tc>
        <w:tc>
          <w:tcPr>
            <w:tcW w:w="3560" w:type="dxa"/>
            <w:vAlign w:val="bottom"/>
            <w:gridSpan w:val="2"/>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45-3464426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40" w:type="dxa"/>
            <w:vAlign w:val="bottom"/>
            <w:gridSpan w:val="3"/>
          </w:tcPr>
          <w:p>
            <w:pPr>
              <w:jc w:val="center"/>
              <w:ind w:right="1250"/>
              <w:spacing w:after="0"/>
              <w:rPr>
                <w:sz w:val="20"/>
                <w:szCs w:val="20"/>
                <w:color w:val="auto"/>
              </w:rPr>
            </w:pPr>
            <w:r>
              <w:rPr>
                <w:rFonts w:ascii="Arial" w:cs="Arial" w:eastAsia="Arial" w:hAnsi="Arial"/>
                <w:sz w:val="14"/>
                <w:szCs w:val="14"/>
                <w:b w:val="1"/>
                <w:bCs w:val="1"/>
                <w:color w:val="auto"/>
                <w:w w:val="93"/>
              </w:rPr>
              <w:t>(State of incorporation or organization)</w:t>
            </w:r>
          </w:p>
        </w:tc>
        <w:tc>
          <w:tcPr>
            <w:tcW w:w="3800" w:type="dxa"/>
            <w:vAlign w:val="bottom"/>
            <w:gridSpan w:val="3"/>
          </w:tcPr>
          <w:p>
            <w:pPr>
              <w:jc w:val="center"/>
              <w:ind w:left="1259"/>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399"/>
        </w:trPr>
        <w:tc>
          <w:tcPr>
            <w:tcW w:w="4640" w:type="dxa"/>
            <w:vAlign w:val="bottom"/>
            <w:gridSpan w:val="3"/>
          </w:tcPr>
          <w:p>
            <w:pPr>
              <w:jc w:val="center"/>
              <w:ind w:right="1270"/>
              <w:spacing w:after="0"/>
              <w:rPr>
                <w:sz w:val="20"/>
                <w:szCs w:val="20"/>
                <w:color w:val="auto"/>
              </w:rPr>
            </w:pPr>
            <w:r>
              <w:rPr>
                <w:rFonts w:ascii="Arial" w:cs="Arial" w:eastAsia="Arial" w:hAnsi="Arial"/>
                <w:sz w:val="18"/>
                <w:szCs w:val="18"/>
                <w:b w:val="1"/>
                <w:bCs w:val="1"/>
                <w:color w:val="auto"/>
                <w:w w:val="93"/>
              </w:rPr>
              <w:t>1900 W. Field Court</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40" w:type="dxa"/>
            <w:vAlign w:val="bottom"/>
            <w:gridSpan w:val="3"/>
          </w:tcPr>
          <w:p>
            <w:pPr>
              <w:jc w:val="center"/>
              <w:ind w:right="1250"/>
              <w:spacing w:after="0"/>
              <w:rPr>
                <w:sz w:val="20"/>
                <w:szCs w:val="20"/>
                <w:color w:val="auto"/>
              </w:rPr>
            </w:pPr>
            <w:r>
              <w:rPr>
                <w:rFonts w:ascii="Arial" w:cs="Arial" w:eastAsia="Arial" w:hAnsi="Arial"/>
                <w:sz w:val="18"/>
                <w:szCs w:val="18"/>
                <w:b w:val="1"/>
                <w:bCs w:val="1"/>
                <w:color w:val="auto"/>
                <w:w w:val="91"/>
              </w:rPr>
              <w:t>Lake Forest, Illinois</w:t>
            </w:r>
          </w:p>
        </w:tc>
        <w:tc>
          <w:tcPr>
            <w:tcW w:w="344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60045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640" w:type="dxa"/>
            <w:vAlign w:val="bottom"/>
            <w:gridSpan w:val="3"/>
          </w:tcPr>
          <w:p>
            <w:pPr>
              <w:jc w:val="center"/>
              <w:ind w:right="125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17"/>
        </w:trPr>
        <w:tc>
          <w:tcPr>
            <w:tcW w:w="1080" w:type="dxa"/>
            <w:vAlign w:val="bottom"/>
          </w:tcPr>
          <w:p>
            <w:pPr>
              <w:spacing w:after="0"/>
              <w:rPr>
                <w:sz w:val="24"/>
                <w:szCs w:val="24"/>
                <w:color w:val="auto"/>
              </w:rPr>
            </w:pPr>
          </w:p>
        </w:tc>
        <w:tc>
          <w:tcPr>
            <w:tcW w:w="7360" w:type="dxa"/>
            <w:vAlign w:val="bottom"/>
            <w:gridSpan w:val="5"/>
          </w:tcPr>
          <w:p>
            <w:pPr>
              <w:ind w:left="88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c>
          <w:tcPr>
            <w:tcW w:w="0" w:type="dxa"/>
            <w:vAlign w:val="bottom"/>
          </w:tcPr>
          <w:p>
            <w:pPr>
              <w:spacing w:after="0"/>
              <w:rPr>
                <w:sz w:val="1"/>
                <w:szCs w:val="1"/>
                <w:color w:val="auto"/>
              </w:rPr>
            </w:pPr>
          </w:p>
        </w:tc>
      </w:tr>
      <w:tr>
        <w:trPr>
          <w:trHeight w:val="369"/>
        </w:trPr>
        <w:tc>
          <w:tcPr>
            <w:tcW w:w="1080" w:type="dxa"/>
            <w:vAlign w:val="bottom"/>
          </w:tcPr>
          <w:p>
            <w:pPr>
              <w:spacing w:after="0"/>
              <w:rPr>
                <w:sz w:val="24"/>
                <w:szCs w:val="24"/>
                <w:color w:val="auto"/>
              </w:rPr>
            </w:pPr>
          </w:p>
        </w:tc>
        <w:tc>
          <w:tcPr>
            <w:tcW w:w="3560" w:type="dxa"/>
            <w:vAlign w:val="bottom"/>
            <w:gridSpan w:val="2"/>
          </w:tcPr>
          <w:p>
            <w:pPr>
              <w:jc w:val="center"/>
              <w:ind w:right="2350"/>
              <w:spacing w:after="0"/>
              <w:rPr>
                <w:sz w:val="20"/>
                <w:szCs w:val="20"/>
                <w:color w:val="auto"/>
              </w:rPr>
            </w:pPr>
            <w:r>
              <w:rPr>
                <w:rFonts w:ascii="Arial" w:cs="Arial" w:eastAsia="Arial" w:hAnsi="Arial"/>
                <w:sz w:val="14"/>
                <w:szCs w:val="14"/>
                <w:b w:val="1"/>
                <w:bCs w:val="1"/>
                <w:color w:val="auto"/>
                <w:w w:val="89"/>
              </w:rPr>
              <w:t>Title of each class</w:t>
            </w:r>
          </w:p>
        </w:tc>
        <w:tc>
          <w:tcPr>
            <w:tcW w:w="3800" w:type="dxa"/>
            <w:vAlign w:val="bottom"/>
            <w:gridSpan w:val="3"/>
          </w:tcPr>
          <w:p>
            <w:pPr>
              <w:jc w:val="center"/>
              <w:ind w:left="1259"/>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3560" w:type="dxa"/>
            <w:vAlign w:val="bottom"/>
            <w:gridSpan w:val="2"/>
          </w:tcPr>
          <w:p>
            <w:pPr>
              <w:jc w:val="center"/>
              <w:ind w:right="2330"/>
              <w:spacing w:after="0"/>
              <w:rPr>
                <w:sz w:val="20"/>
                <w:szCs w:val="20"/>
                <w:color w:val="auto"/>
              </w:rPr>
            </w:pPr>
            <w:r>
              <w:rPr>
                <w:rFonts w:ascii="Arial" w:cs="Arial" w:eastAsia="Arial" w:hAnsi="Arial"/>
                <w:sz w:val="14"/>
                <w:szCs w:val="14"/>
                <w:b w:val="1"/>
                <w:bCs w:val="1"/>
                <w:color w:val="auto"/>
                <w:w w:val="87"/>
              </w:rPr>
              <w:t>to be so registered</w:t>
            </w:r>
          </w:p>
        </w:tc>
        <w:tc>
          <w:tcPr>
            <w:tcW w:w="3800" w:type="dxa"/>
            <w:vAlign w:val="bottom"/>
            <w:gridSpan w:val="3"/>
          </w:tcPr>
          <w:p>
            <w:pPr>
              <w:jc w:val="center"/>
              <w:ind w:left="1259"/>
              <w:spacing w:after="0"/>
              <w:rPr>
                <w:sz w:val="20"/>
                <w:szCs w:val="20"/>
                <w:color w:val="auto"/>
              </w:rPr>
            </w:pPr>
            <w:r>
              <w:rPr>
                <w:rFonts w:ascii="Arial" w:cs="Arial" w:eastAsia="Arial" w:hAnsi="Arial"/>
                <w:sz w:val="14"/>
                <w:szCs w:val="14"/>
                <w:b w:val="1"/>
                <w:bCs w:val="1"/>
                <w:color w:val="auto"/>
                <w:w w:val="87"/>
              </w:rPr>
              <w:t>each class is to be registered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40" w:type="dxa"/>
            <w:vAlign w:val="bottom"/>
            <w:vMerge w:val="restart"/>
          </w:tcPr>
          <w:p>
            <w:pPr>
              <w:spacing w:after="0"/>
              <w:rPr>
                <w:sz w:val="20"/>
                <w:szCs w:val="20"/>
                <w:color w:val="auto"/>
              </w:rPr>
            </w:pPr>
            <w:r>
              <w:rPr>
                <w:rFonts w:ascii="Arial" w:cs="Arial" w:eastAsia="Arial" w:hAnsi="Arial"/>
                <w:sz w:val="18"/>
                <w:szCs w:val="18"/>
                <w:b w:val="1"/>
                <w:bCs w:val="1"/>
                <w:color w:val="auto"/>
              </w:rPr>
              <w:t>value per share</w:t>
            </w:r>
          </w:p>
        </w:tc>
        <w:tc>
          <w:tcPr>
            <w:tcW w:w="17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94"/>
              </w:rPr>
              <w:t>Common Stock, $0.001 par</w:t>
            </w:r>
          </w:p>
        </w:tc>
        <w:tc>
          <w:tcPr>
            <w:tcW w:w="2440" w:type="dxa"/>
            <w:vAlign w:val="bottom"/>
            <w:vMerge w:val="continue"/>
          </w:tcPr>
          <w:p>
            <w:pPr>
              <w:spacing w:after="0"/>
              <w:rPr>
                <w:sz w:val="19"/>
                <w:szCs w:val="19"/>
                <w:color w:val="auto"/>
              </w:rPr>
            </w:pPr>
          </w:p>
        </w:tc>
        <w:tc>
          <w:tcPr>
            <w:tcW w:w="3800" w:type="dxa"/>
            <w:vAlign w:val="bottom"/>
            <w:gridSpan w:val="3"/>
          </w:tcPr>
          <w:p>
            <w:pPr>
              <w:jc w:val="center"/>
              <w:ind w:left="1279"/>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211455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6"/>
          <w:szCs w:val="16"/>
          <w:b w:val="1"/>
          <w:bCs w:val="1"/>
          <w:color w:val="auto"/>
        </w:rPr>
        <w:t>Securities Act registration statement or Regulation A offering statement file number to which this form relates: 333-234731</w:t>
      </w:r>
    </w:p>
    <w:p>
      <w:pPr>
        <w:spacing w:after="0" w:line="248"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231775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description of the common stock, $0.001 par value per share, of Reynolds Consumer Products Inc., a Delaware corporation, as set forth under the caption “Description of Capital Stock” in the prospectus forming a part of the Registration Statement on Form S-1 (Registration No. 333-234731), originally filed with the Securities and Exchange Commission (the “Commission”) on November 15, 2019, as amended, including exhibits, and as may be subsequently amended from time to time (the “Registration Statement”), is hereby incorporated by reference. In addition, all of the above-referenced descriptions included in any prospectus relating to the Registration Statement filed with the Commission pursuant to Rule 424(b) under the Securities Act of 1933, as amended, shall be deemed to be incorporated by reference herein.</w:t>
      </w:r>
    </w:p>
    <w:p>
      <w:pPr>
        <w:spacing w:after="0" w:line="3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40"/>
          </w:cols>
          <w:pgMar w:left="440" w:top="270" w:right="5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REYNOLDS CONSUMER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2020</w:t>
      </w:r>
    </w:p>
    <w:p>
      <w:pPr>
        <w:spacing w:after="0" w:line="117"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Mitchell</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Lance Mitchell</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2020-01-29T14:43:37Z</dcterms:created>
  <dcterms:modified xsi:type="dcterms:W3CDTF">2020-01-29T14:43:37Z</dcterms:modified>
</cp:coreProperties>
</file>