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80" w:right="1620" w:hanging="3772"/>
        <w:spacing w:after="0" w:line="391" w:lineRule="auto"/>
        <w:tabs>
          <w:tab w:leader="none" w:pos="45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80" w:lineRule="exact"/>
        <w:rPr>
          <w:sz w:val="24"/>
          <w:szCs w:val="24"/>
          <w:color w:val="auto"/>
        </w:rPr>
      </w:pPr>
    </w:p>
    <w:p>
      <w:pPr>
        <w:ind w:left="3420" w:right="1620" w:hanging="3412"/>
        <w:spacing w:after="0" w:line="375" w:lineRule="auto"/>
        <w:tabs>
          <w:tab w:leader="none" w:pos="46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00" w:type="dxa"/>
            <w:vAlign w:val="bottom"/>
            <w:gridSpan w:val="3"/>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jc w:val="center"/>
              <w:ind w:right="2046"/>
              <w:spacing w:after="0"/>
              <w:rPr>
                <w:sz w:val="20"/>
                <w:szCs w:val="20"/>
                <w:color w:val="auto"/>
              </w:rPr>
            </w:pPr>
            <w:r>
              <w:rPr>
                <w:rFonts w:ascii="Times New Roman" w:cs="Times New Roman" w:eastAsia="Times New Roman" w:hAnsi="Times New Roman"/>
                <w:sz w:val="18"/>
                <w:szCs w:val="18"/>
                <w:b w:val="1"/>
                <w:bCs w:val="1"/>
                <w:color w:val="auto"/>
                <w:w w:val="98"/>
              </w:rPr>
              <w:t>45-3464426</w:t>
            </w:r>
          </w:p>
        </w:tc>
        <w:tc>
          <w:tcPr>
            <w:tcW w:w="0" w:type="dxa"/>
            <w:vAlign w:val="bottom"/>
          </w:tcPr>
          <w:p>
            <w:pPr>
              <w:spacing w:after="0"/>
              <w:rPr>
                <w:sz w:val="1"/>
                <w:szCs w:val="1"/>
                <w:color w:val="auto"/>
              </w:rPr>
            </w:pPr>
          </w:p>
        </w:tc>
      </w:tr>
      <w:tr>
        <w:trPr>
          <w:trHeight w:val="135"/>
        </w:trPr>
        <w:tc>
          <w:tcPr>
            <w:tcW w:w="4500" w:type="dxa"/>
            <w:vAlign w:val="bottom"/>
            <w:gridSpan w:val="3"/>
          </w:tcPr>
          <w:p>
            <w:pPr>
              <w:jc w:val="center"/>
              <w:ind w:left="106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Pr>
          <w:p>
            <w:pPr>
              <w:jc w:val="center"/>
              <w:ind w:right="20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4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tcPr>
          <w:p>
            <w:pPr>
              <w:jc w:val="center"/>
              <w:ind w:right="2046"/>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1900 W. Field Court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Lake Forest, Illinois 60045</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40" w:type="dxa"/>
            <w:vAlign w:val="bottom"/>
            <w:gridSpan w:val="7"/>
          </w:tcPr>
          <w:p>
            <w:pPr>
              <w:jc w:val="center"/>
              <w:ind w:left="344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4"/>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Telephone: (800) 879-5067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40" w:type="dxa"/>
            <w:vAlign w:val="bottom"/>
            <w:gridSpan w:val="7"/>
          </w:tcPr>
          <w:p>
            <w:pPr>
              <w:jc w:val="center"/>
              <w:ind w:left="3441"/>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500" w:type="dxa"/>
            <w:vAlign w:val="bottom"/>
            <w:gridSpan w:val="3"/>
            <w:vMerge w:val="continue"/>
          </w:tcPr>
          <w:p>
            <w:pPr>
              <w:spacing w:after="0"/>
              <w:rPr>
                <w:sz w:val="22"/>
                <w:szCs w:val="22"/>
                <w:color w:val="auto"/>
              </w:rPr>
            </w:pPr>
          </w:p>
        </w:tc>
        <w:tc>
          <w:tcPr>
            <w:tcW w:w="2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00" w:type="dxa"/>
            <w:vAlign w:val="bottom"/>
            <w:vMerge w:val="restart"/>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32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REYN</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jc w:val="center"/>
              <w:ind w:right="14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2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29, 2022, the registrant had 209,862,658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9740" w:type="dxa"/>
            <w:vAlign w:val="bottom"/>
            <w:gridSpan w:val="21"/>
            <w:vMerge w:val="continue"/>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32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for the three months ended March 31, 2022 and 2021</w:t>
            </w:r>
          </w:p>
        </w:tc>
        <w:tc>
          <w:tcPr>
            <w:tcW w:w="246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months ended March 31,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84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2022 and December 31, 2021</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82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2022 and 2021</w:t>
            </w:r>
          </w:p>
        </w:tc>
        <w:tc>
          <w:tcPr>
            <w:tcW w:w="14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5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 and 2021</w:t>
            </w:r>
          </w:p>
        </w:tc>
        <w:tc>
          <w:tcPr>
            <w:tcW w:w="216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9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330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96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86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8"/>
                <w:szCs w:val="18"/>
                <w:color w:val="auto"/>
              </w:rPr>
            </w:pPr>
          </w:p>
        </w:tc>
        <w:tc>
          <w:tcPr>
            <w:tcW w:w="842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00" w:type="dxa"/>
            <w:vAlign w:val="bottom"/>
            <w:gridSpan w:val="9"/>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42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9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3"/>
          </w:tcPr>
          <w:p>
            <w:pPr>
              <w:spacing w:after="0"/>
              <w:rPr>
                <w:sz w:val="18"/>
                <w:szCs w:val="18"/>
                <w:color w:val="auto"/>
              </w:rPr>
            </w:pPr>
          </w:p>
        </w:tc>
        <w:tc>
          <w:tcPr>
            <w:tcW w:w="8440" w:type="dxa"/>
            <w:vAlign w:val="bottom"/>
            <w:gridSpan w:val="1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980" w:type="dxa"/>
            <w:vAlign w:val="bottom"/>
            <w:gridSpan w:val="19"/>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2021 and as updated in our Quarterly Reports on Form 10-Q. You should specifically consider the numerous risks outlined in those “Risk Factors” sections. These risks and uncertainties include factors related to:</w:t>
      </w:r>
    </w:p>
    <w:p>
      <w:pPr>
        <w:spacing w:after="0" w:line="86" w:lineRule="exact"/>
        <w:rPr>
          <w:sz w:val="20"/>
          <w:szCs w:val="20"/>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and environmental concerns;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the emergence of a pandemic or disease outbreak, such as coronavirus or otherwise;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economic, operational and financial impacts of the global COVID-19 pandemic;</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or a phase-out or replacement of the LIBO rate as an interest rate benchmark.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2021 which was filed on February 9, 2022, under Part I, Item 1A. “Risk Factors” and as updated in our Quarterly Reports on Form 10-Q.</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20" w:type="dxa"/>
            <w:vAlign w:val="bottom"/>
            <w:gridSpan w:val="5"/>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5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5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8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bottom w:val="single" w:sz="8" w:color="CFF0FC"/>
            </w:tcBorders>
          </w:tcPr>
          <w:p>
            <w:pPr>
              <w:spacing w:after="0"/>
              <w:rPr>
                <w:sz w:val="22"/>
                <w:szCs w:val="22"/>
                <w:color w:val="auto"/>
              </w:rPr>
            </w:pPr>
          </w:p>
        </w:tc>
      </w:tr>
      <w:tr>
        <w:trPr>
          <w:trHeight w:val="210"/>
        </w:trPr>
        <w:tc>
          <w:tcPr>
            <w:tcW w:w="55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8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8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9"/>
                <w:szCs w:val="19"/>
                <w:color w:val="auto"/>
              </w:rPr>
            </w:pPr>
          </w:p>
        </w:tc>
        <w:tc>
          <w:tcPr>
            <w:tcW w:w="1120" w:type="dxa"/>
            <w:vAlign w:val="bottom"/>
            <w:gridSpan w:val="2"/>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r>
      <w:tr>
        <w:trPr>
          <w:trHeight w:val="223"/>
        </w:trPr>
        <w:tc>
          <w:tcPr>
            <w:tcW w:w="5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94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20" w:type="dxa"/>
            <w:vAlign w:val="bottom"/>
          </w:tcPr>
          <w:p>
            <w:pPr>
              <w:jc w:val="right"/>
              <w:ind w:right="14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3"/>
                <w:szCs w:val="13"/>
                <w:color w:val="auto"/>
              </w:rPr>
            </w:pPr>
          </w:p>
        </w:tc>
        <w:tc>
          <w:tcPr>
            <w:tcW w:w="1420" w:type="dxa"/>
            <w:vAlign w:val="bottom"/>
            <w:gridSpan w:val="2"/>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20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3"/>
                <w:szCs w:val="13"/>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18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1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$770 and $752)</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4,810</w:t>
            </w:r>
          </w:p>
        </w:tc>
        <w:tc>
          <w:tcPr>
            <w:tcW w:w="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payables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2,000 shares authorized; 210 shares issued and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4,810</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7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480" w:type="dxa"/>
            <w:vAlign w:val="bottom"/>
            <w:gridSpan w:val="2"/>
            <w:shd w:val="clear" w:color="auto" w:fill="CFF0FC"/>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6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4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6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payables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2021,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optional expedients and exceptions to applying the guidance on contract modifications, hedge accounting,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to simplify the accounting for transitioning from the London Interbank Offered Rate, and other interbank offered rates expected to be discontinued, to alternative reference rates. This ASU was effective upon its issuance and can be applied prospectively through December 31, 2022. We are currently assessing the impact of this standard on our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552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520" w:type="dxa"/>
            <w:vAlign w:val="bottom"/>
            <w:gridSpan w:val="2"/>
            <w:shd w:val="clear" w:color="auto" w:fill="CFF0FC"/>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5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4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Spare parts</w:t>
            </w:r>
          </w:p>
        </w:tc>
        <w:tc>
          <w:tcPr>
            <w:tcW w:w="43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3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360" w:type="dxa"/>
            <w:vAlign w:val="bottom"/>
            <w:vMerge w:val="restart"/>
          </w:tcPr>
          <w:p>
            <w:pPr>
              <w:jc w:val="right"/>
              <w:ind w:right="2036"/>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6"/>
        </w:trPr>
        <w:tc>
          <w:tcPr>
            <w:tcW w:w="52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4"/>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8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Original issue discounts</w:t>
            </w:r>
          </w:p>
        </w:tc>
        <w:tc>
          <w:tcPr>
            <w:tcW w:w="2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 During September 2020, we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Revolving Facility matures in February 2025 and includes a sub-facility for letters of credit. As of March 31, 2022, we had no outstanding borrowings under the Revolving Facility, and we had $8 million of letters of credit outstanding, which reduces the borrowing capacity under the Revolving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March 31, 2022, which is a Level 2 fair value measurement, approximates the carrying value due to the variable market interest rate and the stability of our credit profile.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we entered into a series of interest rate swaps which fixed the LIBO rate to an annual rate of 0.18% to 0.47% (for an annual effective interest rate of 1.93% to 2.22%, including margin) for an aggregate notional amount of $1,650 million, of which $800 million notional value was still in effect as of March 31, 2022. These interest rate swaps hedge a portion of the interest rate exposure resulting from our Term Loan Facility. We classified these instruments as cash flow hedges. Our cash flow hedge contracts outstanding as of March 31, 2022 cover periods ranging from one to four years. The effective portion of the gain or loss on the open hedging instrument is recorded in accumulated other comprehensive income and will be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notional amounts, the annual rates, the annual effective rates, and the fair value of our interest rate derivatives: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 Effective Rate</w:t>
            </w:r>
          </w:p>
        </w:tc>
        <w:tc>
          <w:tcPr>
            <w:tcW w:w="260" w:type="dxa"/>
            <w:vAlign w:val="bottom"/>
          </w:tcPr>
          <w:p>
            <w:pPr>
              <w:spacing w:after="0"/>
              <w:rPr>
                <w:sz w:val="15"/>
                <w:szCs w:val="15"/>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Asset</w:t>
            </w: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2022</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0.20% to 0.47%</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1.96% to 2.22%</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8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20"/>
                <w:szCs w:val="20"/>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0.20% to 0.47%</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1.96% to 2.22%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before tax effect of our interest rate derivatives on accumulated other comprehensive income and the consolidated statements of income:</w:t>
      </w:r>
    </w:p>
    <w:p>
      <w:pPr>
        <w:sectPr>
          <w:pgSz w:w="11900" w:h="16838" w:orient="portrait"/>
          <w:cols w:equalWidth="0" w:num="1">
            <w:col w:w="11240"/>
          </w:cols>
          <w:pgMar w:left="320" w:top="657" w:right="339" w:bottom="1440" w:gutter="0" w:footer="0" w:header="0"/>
        </w:sect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9" w:lineRule="exact"/>
        <w:rPr>
          <w:sz w:val="20"/>
          <w:szCs w:val="20"/>
          <w:color w:val="auto"/>
        </w:rPr>
      </w:pPr>
    </w:p>
    <w:p>
      <w:pPr>
        <w:ind w:right="920"/>
        <w:spacing w:after="0" w:line="319" w:lineRule="auto"/>
        <w:rPr>
          <w:sz w:val="20"/>
          <w:szCs w:val="20"/>
          <w:color w:val="auto"/>
        </w:rPr>
      </w:pPr>
      <w:r>
        <w:rPr>
          <w:rFonts w:ascii="Times New Roman" w:cs="Times New Roman" w:eastAsia="Times New Roman" w:hAnsi="Times New Roman"/>
          <w:sz w:val="17"/>
          <w:szCs w:val="17"/>
          <w:color w:val="auto"/>
        </w:rPr>
        <w:t>For the three months ended March 31, 2022 For the three months ended March 31, 2021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Amount of Gain (Loss) Recognized in Other</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Into</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260" w:type="dxa"/>
            <w:vAlign w:val="bottom"/>
          </w:tcPr>
          <w:p>
            <w:pPr>
              <w:spacing w:after="0"/>
              <w:rPr>
                <w:sz w:val="7"/>
                <w:szCs w:val="7"/>
                <w:color w:val="auto"/>
              </w:rPr>
            </w:pPr>
          </w:p>
        </w:tc>
        <w:tc>
          <w:tcPr>
            <w:tcW w:w="3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-299720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45" w:lineRule="exact"/>
        <w:rPr>
          <w:sz w:val="20"/>
          <w:szCs w:val="20"/>
          <w:color w:val="auto"/>
        </w:rPr>
      </w:pPr>
    </w:p>
    <w:p>
      <w:pPr>
        <w:sectPr>
          <w:pgSz w:w="11900" w:h="16838" w:orient="portrait"/>
          <w:cols w:equalWidth="0" w:num="2">
            <w:col w:w="4080" w:space="720"/>
            <w:col w:w="6440"/>
          </w:cols>
          <w:pgMar w:left="320" w:top="657"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granted restricted stock units (“RSUs”) in July 2019 to certain members of management, pursuant to retention agreements entered into with these employees (the “IPO Grants”). These RSUs vest upon satisfaction of both a performance-based vesting condition (the “IPO Condition”), which was satisfied when we completed our IPO on February 4, 2020, and a service-based vesting condition, which will be satisfied with respect to one-third of an employee’s RSUs on each anniversary from the date of our IPO for three consecutive years, subject to the employee’s continued employment through the applicable vesting date.</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established an equity incentive plan for purposes of granting stock-based compensation awards to certain members of our senior management, our non-executive directors and to certain employees, to incentivize their performance and align their interests with ours. We have granted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months ended March 31, 2022, 0.2 million RSUs and 0.2 million PSUs were granted, respectively.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there were stock-based compensation awards representing 0.7 million shares outstanding compared to 0.4 million shares outstanding as of December 31, 2021. For each of the three months ended March 31, 2022 and 2021, stock-based compensation expense was $2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there were no legal proceedings pending other than those for which we have determined that the possibility of a material outflow is remote.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68"/>
        </w:trPr>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14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Employee Benefit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3"/>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80" w:type="dxa"/>
            <w:vAlign w:val="bottom"/>
          </w:tcPr>
          <w:p>
            <w:pPr>
              <w:spacing w:after="0"/>
              <w:rPr>
                <w:sz w:val="5"/>
                <w:szCs w:val="5"/>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81"/>
        </w:trPr>
        <w:tc>
          <w:tcPr>
            <w:tcW w:w="5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3"/>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Pr>
          <w:p>
            <w:pPr>
              <w:spacing w:after="0"/>
              <w:rPr>
                <w:sz w:val="5"/>
                <w:szCs w:val="5"/>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81"/>
        </w:trPr>
        <w:tc>
          <w:tcPr>
            <w:tcW w:w="5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40" w:type="dxa"/>
            <w:vAlign w:val="bottom"/>
            <w:tcBorders>
              <w:bottom w:val="single" w:sz="8" w:color="CFF0FC"/>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CFF0FC"/>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the three months ended March 31, 2022 was 24.3%, compared to 25.0% in the prior year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is further adjusted to exclude IPO and separation-related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2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13"/>
                <w:szCs w:val="13"/>
                <w:color w:val="auto"/>
              </w:rPr>
            </w:pPr>
          </w:p>
        </w:tc>
        <w:tc>
          <w:tcPr>
            <w:tcW w:w="8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80" w:type="dxa"/>
            <w:vAlign w:val="bottom"/>
          </w:tcPr>
          <w:p>
            <w:pPr>
              <w:spacing w:after="0"/>
              <w:rPr>
                <w:sz w:val="13"/>
                <w:szCs w:val="13"/>
                <w:color w:val="auto"/>
              </w:rPr>
            </w:pPr>
          </w:p>
        </w:tc>
        <w:tc>
          <w:tcPr>
            <w:tcW w:w="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0" w:type="dxa"/>
            <w:vAlign w:val="bottom"/>
          </w:tcPr>
          <w:p>
            <w:pPr>
              <w:spacing w:after="0"/>
              <w:rPr>
                <w:sz w:val="15"/>
                <w:szCs w:val="15"/>
                <w:color w:val="auto"/>
              </w:rPr>
            </w:pPr>
          </w:p>
        </w:tc>
        <w:tc>
          <w:tcPr>
            <w:tcW w:w="8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5"/>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left w:val="single" w:sz="8" w:color="CFF0FC"/>
            </w:tcBorders>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2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24"/>
                <w:szCs w:val="24"/>
                <w:color w:val="auto"/>
              </w:rPr>
            </w:pPr>
          </w:p>
        </w:tc>
        <w:tc>
          <w:tcPr>
            <w:tcW w:w="8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80" w:type="dxa"/>
            <w:vAlign w:val="bottom"/>
          </w:tcPr>
          <w:p>
            <w:pPr>
              <w:spacing w:after="0"/>
              <w:rPr>
                <w:sz w:val="24"/>
                <w:szCs w:val="24"/>
                <w:color w:val="auto"/>
              </w:rPr>
            </w:pPr>
          </w:p>
        </w:tc>
        <w:tc>
          <w:tcPr>
            <w:tcW w:w="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0" w:type="dxa"/>
            <w:vAlign w:val="bottom"/>
          </w:tcPr>
          <w:p>
            <w:pPr>
              <w:spacing w:after="0"/>
              <w:rPr>
                <w:sz w:val="15"/>
                <w:szCs w:val="15"/>
                <w:color w:val="auto"/>
              </w:rPr>
            </w:pPr>
          </w:p>
        </w:tc>
        <w:tc>
          <w:tcPr>
            <w:tcW w:w="8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5"/>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220" w:type="dxa"/>
            <w:vAlign w:val="bottom"/>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left w:val="single" w:sz="8" w:color="CFF0FC"/>
            </w:tcBorders>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24"/>
                <w:szCs w:val="24"/>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80" w:type="dxa"/>
            <w:vAlign w:val="bottom"/>
          </w:tcPr>
          <w:p>
            <w:pPr>
              <w:spacing w:after="0"/>
              <w:rPr>
                <w:sz w:val="24"/>
                <w:szCs w:val="24"/>
                <w:color w:val="auto"/>
              </w:rPr>
            </w:pP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0" w:type="dxa"/>
            <w:vAlign w:val="bottom"/>
          </w:tcPr>
          <w:p>
            <w:pPr>
              <w:spacing w:after="0"/>
              <w:rPr>
                <w:sz w:val="24"/>
                <w:szCs w:val="24"/>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8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5"/>
          </w:tcPr>
          <w:p>
            <w:pPr>
              <w:ind w:left="4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2022</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1,329</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1,264</w:t>
            </w: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 w:name="page14"/>
    <w:bookmarkEnd w:id="13"/>
    <w:p>
      <w:pPr>
        <w:jc w:val="both"/>
        <w:ind w:left="50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4"/>
          </w:tcPr>
          <w:p>
            <w:pPr>
              <w:jc w:val="center"/>
              <w:ind w:left="69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98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1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16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tc>
        <w:tc>
          <w:tcPr>
            <w:tcW w:w="1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1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4"/>
          </w:tcPr>
          <w:p>
            <w:pPr>
              <w:jc w:val="center"/>
              <w:ind w:left="69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15"/>
                <w:szCs w:val="15"/>
                <w:color w:val="auto"/>
              </w:rPr>
              <w:t>(1)</w:t>
            </w:r>
          </w:p>
        </w:tc>
        <w:tc>
          <w:tcPr>
            <w:tcW w:w="198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Cooking products</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Tableware</w:t>
            </w:r>
          </w:p>
        </w:tc>
        <w:tc>
          <w:tcPr>
            <w:tcW w:w="1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Transactions between us and PEI Group are described below.</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2022, revenues from products sold to PEI Group were $27 million, compared to $25 million in the comparable prior year period. For the three months ended March 31, 2022, products purchased from PEI Group were $93 million, compared to $74 million in the comparable prior year period. For each of the three months ended March 31, 2022, and March 31, 2021, PEI Group charged us freight and warehousing costs of $14 million, which were included in cost of sales. The resulting related party receivables and payables are settled regularly in the normal course of business.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March 31, 2022 and March 31, 2021, were paid to PFL.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28, 2022, our Board of Directors approved a cash dividend of $0.23 per common share to be paid on May 31, 2022 to shareholders of record on May 17,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March 31, 2022 which would require accrual or disclosure in these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760" w:hanging="253"/>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produce branded and store brand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w:t>
      </w:r>
    </w:p>
    <w:p>
      <w:pPr>
        <w:spacing w:after="0" w:line="80" w:lineRule="exact"/>
        <w:rPr>
          <w:rFonts w:ascii="Times New Roman" w:cs="Times New Roman" w:eastAsia="Times New Roman" w:hAnsi="Times New Roman"/>
          <w:sz w:val="18"/>
          <w:szCs w:val="18"/>
          <w:color w:val="auto"/>
        </w:rPr>
      </w:pPr>
    </w:p>
    <w:p>
      <w:pPr>
        <w:jc w:val="both"/>
        <w:ind w:left="760" w:hanging="253"/>
        <w:spacing w:after="0" w:line="25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the Hefty EnergyBag Program.</w:t>
      </w:r>
    </w:p>
    <w:p>
      <w:pPr>
        <w:spacing w:after="0" w:line="79" w:lineRule="exact"/>
        <w:rPr>
          <w:rFonts w:ascii="Times New Roman" w:cs="Times New Roman" w:eastAsia="Times New Roman" w:hAnsi="Times New Roman"/>
          <w:sz w:val="18"/>
          <w:szCs w:val="18"/>
          <w:color w:val="auto"/>
        </w:rPr>
      </w:pPr>
    </w:p>
    <w:p>
      <w:pPr>
        <w:jc w:val="both"/>
        <w:ind w:left="760" w:hanging="253"/>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75" w:lineRule="exact"/>
        <w:rPr>
          <w:rFonts w:ascii="Times New Roman" w:cs="Times New Roman" w:eastAsia="Times New Roman" w:hAnsi="Times New Roman"/>
          <w:sz w:val="18"/>
          <w:szCs w:val="18"/>
          <w:color w:val="auto"/>
        </w:rPr>
      </w:pPr>
    </w:p>
    <w:p>
      <w:pPr>
        <w:jc w:val="both"/>
        <w:ind w:left="760" w:hanging="253"/>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Our Presto Products segment also includes our specialty business, which serves other consumer products companies by providing Fresh-Lock and Slide-Rite resealable closure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increased 12% in the three months ended March 31, 2022, compared to the same period in 2021. Pricing actions in response to increased costs contributed a 14% increase in revenue, which was partially offset by lower volume of 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continued to experience significant increases in material costs as well as increases in labor and logistics costs in the three months ended March 31, 2022. We continue to aggressively implement price increases in an effort to recover these costs and maintain our profitability. Our earnings decline in the three months ended March 31, 2022 compared to the same prior year period was primarily attributable to increased manufacturing and logistics costs as well as increased advertising costs.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discussed, in connection with the COVID-19 pandemic, we implemented policies and procedures designed to protect our employees and our customers, including implementing recommendations from the Centers for Disease Control and Prevention. As the pandemic evolves, we remain committed to adapting our policies and procedures to ensure the safety of our employees and compliance with federal, state and local regulations.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anticipate that the COVID-19 pandemic will materially impact our liquidity over the next 12 months.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further adjusted to exclude IPO and separation-related costs. We define Adjusted Net Income and Adjusted EPS as Net Income and Earnings Per Share calculated in accordance with GAAP, plus IPO and separation-related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80" w:type="dxa"/>
            <w:vAlign w:val="bottom"/>
            <w:tcBorders>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12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20" w:type="dxa"/>
            <w:vAlign w:val="bottom"/>
            <w:gridSpan w:val="4"/>
          </w:tcPr>
          <w:p>
            <w:pPr>
              <w:jc w:val="right"/>
              <w:ind w:right="80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3640" w:type="dxa"/>
            <w:vAlign w:val="bottom"/>
            <w:gridSpan w:val="2"/>
            <w:shd w:val="clear" w:color="auto" w:fill="CFF0FC"/>
          </w:tcPr>
          <w:p>
            <w:pPr>
              <w:jc w:val="right"/>
              <w:ind w:right="924"/>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9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25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560" w:type="dxa"/>
            <w:vAlign w:val="bottom"/>
          </w:tcPr>
          <w:p>
            <w:pPr>
              <w:spacing w:after="0"/>
              <w:rPr>
                <w:sz w:val="19"/>
                <w:szCs w:val="19"/>
                <w:color w:val="auto"/>
              </w:rPr>
            </w:pPr>
          </w:p>
        </w:tc>
        <w:tc>
          <w:tcPr>
            <w:tcW w:w="108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IPO process, as well as costs related to our separation to operate as a stand-alone public company. These costs are included in Other expense, net in our condensed consolidated statements of income.</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our net income and diluted EPS, the most directly comparable GAAP financial measures, to Adjusted Net Income and Adjusted Diluted EPS: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200" w:type="dxa"/>
            <w:vAlign w:val="bottom"/>
          </w:tcPr>
          <w:p>
            <w:pPr>
              <w:spacing w:after="0"/>
              <w:rPr>
                <w:sz w:val="11"/>
                <w:szCs w:val="11"/>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60" w:hanging="552"/>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24.3% and 25.0% for the three months ended March 31, 2022 and 2021, respectively, which is our effective tax rate for the periods presented.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 for the three months ended March 31:</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jc w:val="right"/>
              <w:ind w:right="469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jc w:val="right"/>
              <w:ind w:right="469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for the three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right"/>
              <w:ind w:right="4432"/>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jc w:val="right"/>
              <w:ind w:right="469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right"/>
              <w:ind w:right="469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with the Three Months Ended March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80" w:type="dxa"/>
            <w:vAlign w:val="bottom"/>
          </w:tcPr>
          <w:p>
            <w:pPr>
              <w:spacing w:after="0"/>
              <w:rPr>
                <w:sz w:val="11"/>
                <w:szCs w:val="11"/>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34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1"/>
                <w:szCs w:val="11"/>
                <w:color w:val="auto"/>
              </w:rPr>
            </w:pPr>
          </w:p>
        </w:tc>
        <w:tc>
          <w:tcPr>
            <w:tcW w:w="1160" w:type="dxa"/>
            <w:vAlign w:val="bottom"/>
            <w:gridSpan w:val="2"/>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1"/>
                <w:szCs w:val="11"/>
                <w:color w:val="auto"/>
              </w:rPr>
            </w:pPr>
          </w:p>
        </w:tc>
        <w:tc>
          <w:tcPr>
            <w:tcW w:w="7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8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CFF0FC"/>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FF0FC"/>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2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Borders>
              <w:right w:val="single" w:sz="8" w:color="CFF0FC"/>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line="20" w:lineRule="exact"/>
              <w:rPr>
                <w:sz w:val="1"/>
                <w:szCs w:val="1"/>
                <w:color w:val="auto"/>
              </w:rPr>
            </w:pPr>
          </w:p>
        </w:tc>
      </w:tr>
      <w:tr>
        <w:trPr>
          <w:trHeight w:val="243"/>
        </w:trPr>
        <w:tc>
          <w:tcPr>
            <w:tcW w:w="446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5"/>
                <w:szCs w:val="15"/>
                <w:b w:val="1"/>
                <w:bCs w:val="1"/>
                <w:color w:val="auto"/>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vMerge w:val="restart"/>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1140" w:type="dxa"/>
            <w:vAlign w:val="bottom"/>
            <w:tcBorders>
              <w:top w:val="single" w:sz="8" w:color="CFF0FC"/>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8" w:name="page19"/>
    <w:bookmarkEnd w:id="18"/>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March 31, 2022 vs. the Three Months Ended March 31,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tcPr>
          <w:p>
            <w:pPr>
              <w:spacing w:after="0"/>
              <w:rPr>
                <w:sz w:val="15"/>
                <w:szCs w:val="15"/>
                <w:color w:val="auto"/>
              </w:rPr>
            </w:pPr>
          </w:p>
        </w:tc>
      </w:tr>
      <w:tr>
        <w:trPr>
          <w:trHeight w:val="22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(14)</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Hefty Waste &amp; Storage</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tcPr>
          <w:p>
            <w:pPr>
              <w:spacing w:after="0"/>
              <w:rPr>
                <w:sz w:val="19"/>
                <w:szCs w:val="19"/>
                <w:color w:val="auto"/>
              </w:rPr>
            </w:pP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Hefty Tableware</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Presto Products</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spacing w:after="0"/>
              <w:rPr>
                <w:sz w:val="19"/>
                <w:szCs w:val="19"/>
                <w:color w:val="auto"/>
              </w:rPr>
            </w:pP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14%</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w:t>
            </w: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$88 million, or 12%, to $845 million. The increase was primarily driven by higher pricing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actions taken in response to increased material costs, partially offset by lower volume.</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$112 million, or 20%, to $677 million. The increase was driven by an increase of $105 million in material costs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increased labor and logistics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$5 million, or 6%, to $83 million,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advertising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increased by $2 million, or 67%, to $5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remained flat.</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$16 million on income before income taxes of $68 million (an effective tax rate of 24.3%)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2022 compared to income tax expense of $25 million on income before income taxes of $99 million (an effective tax rate of 25.0%) for the three months ended March 31, 2021.</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$28 million, or 20%, to $112 million. The decrease in Adjusted EBITDA was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material, manufacturing, logistics and advertising costs as well as lower volume, which was significantly offset by price increases.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$4 million, or 1%, to $268 million. The decrease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timing of retailer inventory replenishment as well as lower consumption and reroll sales, partially offset by higher pricing as a result of pricing actions taken in response to increased material costs.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$25 million, or 47%, to $28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 as well as pricing actions lagging material cost increases.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vMerge w:val="continue"/>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40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9" w:name="page20"/>
    <w:bookmarkEnd w:id="19"/>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$34 million, or 18%, to $228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pricing actions taken in response to increased material costs and higher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 million, or 2%, to $45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volume and price increases, offset by higher material, manufacturing and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increased by $40 million, or 24%, to $210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pricing as a result of pricing actions taken in response to increased material costs and higher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$11 million, or 32%, to $23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pricing actions lagging material, manufacturing and logistics costs, partially offset by higher volume.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$15 million, or 12%, to $141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pricing actions taken in response to increased material costs and improved portfolio mix, partially offset by lower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$1 million, or 6%, to $19 million due to price increases and improved portfolio mix,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higher material and manufacturing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2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Net cash from operating activities increased by $10 million, to $19 million in the three months ended March 31, 2022. </w:t>
      </w:r>
      <w:r>
        <w:rPr>
          <w:rFonts w:ascii="Times New Roman" w:cs="Times New Roman" w:eastAsia="Times New Roman" w:hAnsi="Times New Roman"/>
          <w:sz w:val="18"/>
          <w:szCs w:val="18"/>
          <w:color w:val="212529"/>
        </w:rPr>
        <w:t>T</w:t>
      </w:r>
      <w:r>
        <w:rPr>
          <w:rFonts w:ascii="Times New Roman" w:cs="Times New Roman" w:eastAsia="Times New Roman" w:hAnsi="Times New Roman"/>
          <w:sz w:val="18"/>
          <w:szCs w:val="18"/>
          <w:color w:val="auto"/>
        </w:rPr>
        <w:t>he increase was primarily driven by lower net cash outlays in the current year period, mainly related to employee costs and inventory investment, compared to the prior year period, partially offset by lower net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investing activities increased by $5 million to $28 million. The increase was driven by </w:t>
      </w:r>
      <w:r>
        <w:rPr>
          <w:rFonts w:ascii="Times New Roman" w:cs="Times New Roman" w:eastAsia="Times New Roman" w:hAnsi="Times New Roman"/>
          <w:sz w:val="18"/>
          <w:szCs w:val="18"/>
          <w:color w:val="212529"/>
        </w:rPr>
        <w:t>increased acquisition of 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$100 million to $54 million. The decrease was attributable to a voluntary payment of debt made in the prior year period that did not repeat in the current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4, 2020, in conjunction with our Corporate Reorganization and IPO, we entered into the External Debt Facilities which consist of a $2,475 million Term Loan Facility and a Revolving Facility that provides for additional borrowing capacity of up to $250 million, reduced by amounts used for letters of credit.</w:t>
      </w:r>
    </w:p>
    <w:p>
      <w:pPr>
        <w:spacing w:after="0" w:line="68"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As of March 31, 2022, the outstanding balance under the Term Loan Facility was $2,126 million. As of March 31, 2022, we had no outstanding borrowings under the Revolving Facility, and we had $8 million of letters of credit outstanding, which reduces the borrowing capacity under the Revolving Facility.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of which $800 million notional value was still in effect as of March 31, 2022. The interest rate swaps outstanding as of March 31, 2022 hedge a portion of the interest rate exposure resulting from our Term Loan Facility for periods ranging from one to four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LIBO rate loans.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The Revolving Facility matures in February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a cash dividend of $0.23 per share, was declared and paid. On April 28, 2022, a quarterly cash dividend of $0.23 per share was declared and is to be paid on May 31, 2022. We expect to continue paying cash dividends on a quarterly basis; however, future dividends are at the discretion of our Board of Directors and will depend upon our earnings, capital requirements, financial condition, contractual limitations (including under the Term Loan Facility) and other factors.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2021. During the three months ended March 31, 2022,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March 31, 2022. Based on that evaluation, our Chief Executive Officer and Chief Financial Officer have concluded that, as of March 31, 2022, our disclosure controls and procedures were effective.</w:t>
      </w:r>
    </w:p>
    <w:p>
      <w:pPr>
        <w:spacing w:after="0" w:line="72" w:lineRule="exact"/>
        <w:rPr>
          <w:sz w:val="20"/>
          <w:szCs w:val="20"/>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2022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353"/>
        </w:trPr>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10200" w:type="dxa"/>
            <w:vAlign w:val="bottom"/>
            <w:tcBorders>
              <w:top w:val="single" w:sz="8" w:color="auto"/>
              <w:bottom w:val="single" w:sz="8" w:color="0000EE"/>
            </w:tcBorders>
            <w:gridSpan w:val="6"/>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Amended and Restated Certificate of Incorporation (incorporated herein by reference to Exhibit 3.1 to the Company’s Current Report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8-K filed with the SEC on February 4, 2020)</w:t>
              </w:r>
            </w:hyperlink>
          </w:p>
        </w:tc>
        <w:tc>
          <w:tcPr>
            <w:tcW w:w="6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Amended and Restated By-Laws (incorporated herein by reference to Exhibit 3.2 to the Company’s Current Report on Form 8-K filed with</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the SEC on February 4, 2020)</w:t>
              </w:r>
            </w:hyperlink>
          </w:p>
        </w:tc>
        <w:tc>
          <w:tcPr>
            <w:tcW w:w="80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0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040" w:hanging="103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May 10, 2022</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549"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40" w:val="left"/>
          <w:tab w:leader="none" w:pos="776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34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Graham, certify that:</w:t>
      </w:r>
    </w:p>
    <w:p>
      <w:pPr>
        <w:spacing w:after="0" w:line="225"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40" w:val="left"/>
          <w:tab w:leader="none" w:pos="770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34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2022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34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2022 as filed with the Securities and Exchange Commission on the date hereof (the “Report”), I, Michael Graham, Chief Financial Officer, certify, pursuant to 18 U.S.C.</w:t>
      </w:r>
    </w:p>
    <w:p>
      <w:pPr>
        <w:ind w:left="140" w:hanging="132"/>
        <w:spacing w:after="0"/>
        <w:tabs>
          <w:tab w:leader="none" w:pos="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20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7" Type="http://schemas.openxmlformats.org/officeDocument/2006/relationships/hyperlink" Target="http://www.sec.gov/Archives/edgar/data/0001786431/000119312520024304/d874780dex31.htm" TargetMode="External"/><Relationship Id="rId48" Type="http://schemas.openxmlformats.org/officeDocument/2006/relationships/hyperlink" Target="http://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2022-05-10T08:19:49Z</dcterms:created>
  <dcterms:modified xsi:type="dcterms:W3CDTF">2022-05-10T08:19:49Z</dcterms:modified>
</cp:coreProperties>
</file>